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8838" w:type="dxa"/>
        <w:jc w:val="start"/>
        <w:tblInd w:w="0" w:type="dxa"/>
        <w:tblLayout w:type="fixed"/>
        <w:tblCellMar>
          <w:top w:w="0" w:type="dxa"/>
          <w:start w:w="108" w:type="dxa"/>
          <w:bottom w:w="0" w:type="dxa"/>
          <w:end w:w="108" w:type="dxa"/>
        </w:tblCellMar>
      </w:tblPr>
      <w:tblGrid>
        <w:gridCol w:w="2430"/>
        <w:gridCol w:w="2430"/>
        <w:gridCol w:w="3978"/>
      </w:tblGrid>
      <w:tr>
        <w:trPr>
          <w:trHeight w:val="2070" w:hRule="atLeast"/>
        </w:trPr>
        <w:tc>
          <w:tcPr>
            <w:tcW w:w="2430" w:type="dxa"/>
            <w:tcBorders/>
          </w:tcPr>
          <w:p>
            <w:pPr>
              <w:pStyle w:val="Footer"/>
              <w:tabs>
                <w:tab w:val="clear" w:pos="4320"/>
                <w:tab w:val="clear" w:pos="8640"/>
              </w:tabs>
              <w:spacing w:before="20" w:after="0"/>
              <w:rPr>
                <w:sz w:val="24"/>
              </w:rPr>
            </w:pPr>
            <w:r>
              <w:rPr>
                <w:sz w:val="24"/>
              </w:rPr>
              <w:drawing>
                <wp:inline distT="0" distB="0" distL="0" distR="0">
                  <wp:extent cx="1106170" cy="11017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106170" cy="1101725"/>
                          </a:xfrm>
                          <a:prstGeom prst="rect">
                            <a:avLst/>
                          </a:prstGeom>
                          <a:noFill/>
                        </pic:spPr>
                      </pic:pic>
                    </a:graphicData>
                  </a:graphic>
                </wp:inline>
              </w:drawing>
            </w:r>
          </w:p>
        </w:tc>
        <w:tc>
          <w:tcPr>
            <w:tcW w:w="2430" w:type="dxa"/>
            <w:tcBorders/>
          </w:tcPr>
          <w:p>
            <w:pPr>
              <w:pStyle w:val="Normal"/>
              <w:snapToGrid w:val="false"/>
              <w:rPr>
                <w:sz w:val="24"/>
              </w:rPr>
            </w:pPr>
            <w:r>
              <w:rPr>
                <w:sz w:val="24"/>
              </w:rPr>
            </w:r>
          </w:p>
          <w:p>
            <w:pPr>
              <w:pStyle w:val="Normal"/>
              <w:rPr>
                <w:sz w:val="24"/>
              </w:rPr>
            </w:pPr>
            <w:r>
              <w:rPr>
                <w:sz w:val="24"/>
              </w:rPr>
            </w:r>
          </w:p>
          <w:p>
            <w:pPr>
              <w:pStyle w:val="Normal"/>
              <w:rPr>
                <w:sz w:val="24"/>
              </w:rPr>
            </w:pPr>
            <w:r>
              <w:rPr>
                <w:sz w:val="24"/>
              </w:rPr>
              <w:t xml:space="preserve">ENRON NORTH AMERICA </w:t>
            </w:r>
          </w:p>
          <w:p>
            <w:pPr>
              <w:pStyle w:val="Normal"/>
              <w:rPr>
                <w:i/>
                <w:i/>
                <w:sz w:val="24"/>
              </w:rPr>
            </w:pPr>
            <w:r>
              <w:rPr>
                <w:i/>
                <w:sz w:val="24"/>
              </w:rPr>
              <w:t>WORLDWIDE ENERGY SOLUTIONS</w:t>
            </w:r>
          </w:p>
          <w:p>
            <w:pPr>
              <w:pStyle w:val="Normal"/>
              <w:rPr>
                <w:i/>
                <w:i/>
                <w:sz w:val="24"/>
              </w:rPr>
            </w:pPr>
            <w:r>
              <w:rPr>
                <w:i/>
                <w:sz w:val="24"/>
              </w:rPr>
            </w:r>
          </w:p>
        </w:tc>
        <w:tc>
          <w:tcPr>
            <w:tcW w:w="3978" w:type="dxa"/>
            <w:tcBorders/>
          </w:tcPr>
          <w:p>
            <w:pPr>
              <w:pStyle w:val="Heading6"/>
              <w:snapToGrid w:val="false"/>
              <w:ind w:hanging="0" w:start="0"/>
              <w:rPr>
                <w:sz w:val="24"/>
              </w:rPr>
            </w:pPr>
            <w:r>
              <w:rPr>
                <w:sz w:val="24"/>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c>
      </w:tr>
    </w:tbl>
    <w:p>
      <w:pPr>
        <w:pStyle w:val="Caption"/>
        <w:tabs>
          <w:tab w:val="clear" w:pos="5040"/>
          <w:tab w:val="clear" w:pos="5580"/>
          <w:tab w:val="left" w:pos="1530" w:leader="none"/>
          <w:tab w:val="left" w:pos="5220" w:leader="none"/>
        </w:tabs>
        <w:ind w:start="-90" w:end="0"/>
        <w:jc w:val="end"/>
        <w:rPr/>
      </w:pPr>
      <w:r>
        <w:rPr/>
        <w:tab/>
        <w:tab/>
      </w:r>
    </w:p>
    <w:p>
      <w:pPr>
        <w:pStyle w:val="Heading7"/>
        <w:ind w:hanging="0" w:start="0"/>
        <w:rPr/>
      </w:pPr>
      <w:r>
        <w:rPr/>
        <w:tab/>
        <w:t>INTEROFFICE MORANDUM</w:t>
      </w:r>
    </w:p>
    <w:p>
      <w:pPr>
        <w:pStyle w:val="Normal"/>
        <w:tabs>
          <w:tab w:val="clear" w:pos="720"/>
          <w:tab w:val="left" w:pos="1530" w:leader="none"/>
          <w:tab w:val="left" w:pos="5580" w:leader="none"/>
        </w:tabs>
        <w:spacing w:before="120" w:after="240"/>
        <w:rPr/>
      </w:pPr>
      <w:r>
        <w:rPr>
          <w:b/>
          <w:sz w:val="24"/>
        </w:rPr>
        <w:t>TO:</w:t>
      </w:r>
      <w:r>
        <w:rPr>
          <w:sz w:val="24"/>
        </w:rPr>
        <w:tab/>
        <w:t>Distribution List</w:t>
        <w:tab/>
        <w:tab/>
      </w:r>
      <w:r>
        <w:rPr>
          <w:b/>
          <w:sz w:val="24"/>
        </w:rPr>
        <w:t xml:space="preserve">DATE:  </w:t>
      </w:r>
      <w:r>
        <w:rPr>
          <w:sz w:val="24"/>
        </w:rPr>
        <w:t>January 31, 2000</w:t>
      </w:r>
    </w:p>
    <w:p>
      <w:pPr>
        <w:pStyle w:val="Normal"/>
        <w:tabs>
          <w:tab w:val="left" w:pos="720" w:leader="none"/>
          <w:tab w:val="left" w:pos="1530" w:leader="none"/>
          <w:tab w:val="left" w:pos="5580" w:leader="none"/>
          <w:tab w:val="left" w:pos="6480" w:leader="none"/>
        </w:tabs>
        <w:spacing w:before="0" w:after="240"/>
        <w:rPr/>
      </w:pPr>
      <w:r>
        <w:rPr>
          <w:b/>
          <w:sz w:val="24"/>
        </w:rPr>
        <w:t>FROM:</w:t>
      </w:r>
      <w:r>
        <w:rPr>
          <w:sz w:val="24"/>
        </w:rPr>
        <w:tab/>
        <w:t>Brian Redmond</w:t>
      </w:r>
    </w:p>
    <w:p>
      <w:pPr>
        <w:pStyle w:val="Normal"/>
        <w:tabs>
          <w:tab w:val="left" w:pos="720" w:leader="none"/>
          <w:tab w:val="left" w:pos="1530" w:leader="none"/>
          <w:tab w:val="left" w:pos="5040" w:leader="none"/>
          <w:tab w:val="left" w:pos="6480" w:leader="none"/>
        </w:tabs>
        <w:ind w:hanging="1530" w:start="1530" w:end="0"/>
        <w:rPr/>
      </w:pPr>
      <w:r>
        <w:rPr>
          <w:b/>
          <w:sz w:val="24"/>
        </w:rPr>
        <w:t>SUBJECT:</w:t>
      </w:r>
      <w:r>
        <w:rPr>
          <w:sz w:val="24"/>
        </w:rPr>
        <w:tab/>
        <w:t>Project Hurricane – Certain “noncompete” restrictions on Enron Corp. and all of its affiliates</w:t>
      </w:r>
    </w:p>
    <w:p>
      <w:pPr>
        <w:pStyle w:val="Normal"/>
        <w:pBdr>
          <w:bottom w:val="single" w:sz="18" w:space="1" w:color="000000"/>
        </w:pBdr>
        <w:tabs>
          <w:tab w:val="left" w:pos="720" w:leader="none"/>
          <w:tab w:val="left" w:pos="1530" w:leader="none"/>
          <w:tab w:val="left" w:pos="5040" w:leader="none"/>
          <w:tab w:val="left" w:pos="6480" w:leader="none"/>
        </w:tabs>
        <w:rPr>
          <w:sz w:val="24"/>
        </w:rPr>
      </w:pPr>
      <w:r>
        <w:rPr>
          <w:sz w:val="24"/>
        </w:rPr>
      </w:r>
    </w:p>
    <w:p>
      <w:pPr>
        <w:pStyle w:val="Normal"/>
        <w:tabs>
          <w:tab w:val="left" w:pos="720" w:leader="none"/>
          <w:tab w:val="left" w:pos="1530" w:leader="none"/>
          <w:tab w:val="left" w:pos="5040" w:leader="none"/>
          <w:tab w:val="left" w:pos="6480" w:leader="none"/>
        </w:tabs>
        <w:jc w:val="both"/>
        <w:rPr>
          <w:sz w:val="24"/>
        </w:rPr>
      </w:pPr>
      <w:r>
        <w:rPr>
          <w:sz w:val="24"/>
        </w:rPr>
      </w:r>
    </w:p>
    <w:p>
      <w:pPr>
        <w:pStyle w:val="BodyText"/>
        <w:spacing w:before="0" w:after="0"/>
        <w:rPr/>
      </w:pPr>
      <w:r>
        <w:rPr/>
        <w:tab/>
        <w:t>As part of a proposed joint venture with Texaco, and in keeping with Enron’s internal policies, we are seeking your approval to restrict Enron Corp. and its affiliates from pursuing certain limited business opportunities in the State of Louisiana.  The restriction, which is fairly convoluted and subject to a fiduciary duty exception, would apply only if you consummate an acquisition transaction that involves certain specified assets that may be competitive with the joint venture.</w:t>
      </w:r>
    </w:p>
    <w:p>
      <w:pPr>
        <w:pStyle w:val="Normal"/>
        <w:tabs>
          <w:tab w:val="left" w:pos="720" w:leader="none"/>
          <w:tab w:val="left" w:pos="1530" w:leader="none"/>
          <w:tab w:val="left" w:pos="5040" w:leader="none"/>
          <w:tab w:val="left" w:pos="6480" w:leader="none"/>
        </w:tabs>
        <w:jc w:val="both"/>
        <w:rPr>
          <w:sz w:val="24"/>
        </w:rPr>
      </w:pPr>
      <w:r>
        <w:rPr>
          <w:sz w:val="24"/>
        </w:rPr>
      </w:r>
    </w:p>
    <w:p>
      <w:pPr>
        <w:pStyle w:val="Normal"/>
        <w:tabs>
          <w:tab w:val="left" w:pos="720" w:leader="none"/>
          <w:tab w:val="left" w:pos="1530" w:leader="none"/>
          <w:tab w:val="left" w:pos="5040" w:leader="none"/>
          <w:tab w:val="left" w:pos="6480" w:leader="none"/>
        </w:tabs>
        <w:jc w:val="both"/>
        <w:rPr>
          <w:sz w:val="24"/>
        </w:rPr>
      </w:pPr>
      <w:r>
        <w:rPr>
          <w:sz w:val="24"/>
        </w:rPr>
        <w:tab/>
        <w:t>Enron North America is finalizing the proposed joint venture, whereby each entity would contribute its Louisiana pipeline and natural gas storage facilities to the joint venture.  The joint venture will be in the business of purchasing, marketing, storing and transporting natural gas, and providing related services and products (including parking and loaning services and physical and risk management products) to facilities located in the State of Louisiana that are connected to the joint venture’s pipelines and/or other intrastate pipelines.  Enron North America has agreed that it will not sell natural gas to facilities located in the State of Louisiana that are directly and exclusively connected to the joint venture’s pipelines and/or other intrastate pipelines (a "Prohibited Activity").  As part of the final negotiations with respect to the joint venture, we are being required to covenant that, if any affiliate of Enron North America acquires "Restricted Assets", the affiliate will subsequently offer to the joint venture the opportunity to perform the business associated with those Restricted Assets that would constitute a Prohibited Activity and, subject to certain limited exceptions, will cease to perform such Prohibited Activity.</w:t>
      </w:r>
    </w:p>
    <w:p>
      <w:pPr>
        <w:pStyle w:val="Normal"/>
        <w:tabs>
          <w:tab w:val="left" w:pos="720" w:leader="none"/>
          <w:tab w:val="left" w:pos="1530" w:leader="none"/>
          <w:tab w:val="left" w:pos="5040" w:leader="none"/>
          <w:tab w:val="left" w:pos="6480" w:leader="none"/>
        </w:tabs>
        <w:jc w:val="both"/>
        <w:rPr>
          <w:sz w:val="24"/>
        </w:rPr>
      </w:pPr>
      <w:r>
        <w:rPr>
          <w:sz w:val="24"/>
        </w:rPr>
      </w:r>
    </w:p>
    <w:p>
      <w:pPr>
        <w:pStyle w:val="Normal"/>
        <w:tabs>
          <w:tab w:val="left" w:pos="720" w:leader="none"/>
          <w:tab w:val="left" w:pos="1530" w:leader="none"/>
          <w:tab w:val="left" w:pos="5040" w:leader="none"/>
          <w:tab w:val="left" w:pos="6480" w:leader="none"/>
        </w:tabs>
        <w:jc w:val="both"/>
        <w:rPr>
          <w:sz w:val="24"/>
        </w:rPr>
      </w:pPr>
      <w:r>
        <w:rPr>
          <w:sz w:val="24"/>
        </w:rPr>
        <w:tab/>
        <w:t>This restriction on affiliates of Enron North America will apply to any such affiliate only if it consummates an acquisition, merger, joint venture or other business combination transaction with a "Restricted Entity" and if "Restricted Assets" constitute more than 50% of the overall value of the assets, stock or other ownership interests involved in the proposed transaction.  The term "Restricted Entity" means any entity that owns or controls, directly or indirectly, any Restricted Assets and any entity that owns or controls, directly or indirectly, an entity that owns any Restricted Entity.  The term "Restricted Assets" means (i) the Acadian Gas Pipeline System (currently ultimately owned by Shell Petroleum Inc. USA), (ii) the Cypress Gas Pipeline System (currently ultimately owned by Shell Petroleum Inc. USA), (iii) the Louisiana Intrastate Gas System (currently ultimately owned by American Electric Power Co. Inc.), (iv) the Louisiana Gas System (currently ultimately owned by Conoco Inc.); and (v) the Louisiana gas pipeline assets of Koch Gateway Pipeline Co. (currently ultimately owned by Koch Industries).  These restrictions, along with certain restrictions on the hiring of employees of Texaco or of the joint venture, would also apply to affiliates of Enron North America if the affiliate is a successor in interest to a significant portion of the assets or activities of Enron North America or its controlled affiliates that are related to natural gas marketing, trading, transportation or storage.</w:t>
      </w:r>
    </w:p>
    <w:p>
      <w:pPr>
        <w:pStyle w:val="Normal"/>
        <w:tabs>
          <w:tab w:val="left" w:pos="720" w:leader="none"/>
          <w:tab w:val="left" w:pos="1530" w:leader="none"/>
          <w:tab w:val="left" w:pos="5040" w:leader="none"/>
          <w:tab w:val="left" w:pos="6480" w:leader="none"/>
        </w:tabs>
        <w:jc w:val="both"/>
        <w:rPr>
          <w:sz w:val="24"/>
        </w:rPr>
      </w:pPr>
      <w:r>
        <w:rPr>
          <w:sz w:val="24"/>
        </w:rPr>
      </w:r>
    </w:p>
    <w:p>
      <w:pPr>
        <w:pStyle w:val="BodyText"/>
        <w:spacing w:before="0" w:after="0"/>
        <w:rPr/>
      </w:pPr>
      <w:r>
        <w:rPr/>
        <w:tab/>
        <w:t>Closing of the joint venture is scheduled for March 1.  We would appreciate hearing from you as early as we can if you have any issues with respect to this matter.  We appreciate your time to consider this matter.</w:t>
      </w:r>
    </w:p>
    <w:p>
      <w:pPr>
        <w:pStyle w:val="BodyText"/>
        <w:spacing w:before="0" w:after="0"/>
        <w:rPr/>
      </w:pPr>
      <w:r>
        <w:rPr/>
      </w:r>
    </w:p>
    <w:p>
      <w:pPr>
        <w:pStyle w:val="Normal"/>
        <w:tabs>
          <w:tab w:val="left" w:pos="720" w:leader="none"/>
          <w:tab w:val="left" w:pos="1530" w:leader="none"/>
          <w:tab w:val="left" w:pos="5040" w:leader="none"/>
          <w:tab w:val="left" w:pos="6480" w:leader="none"/>
        </w:tabs>
        <w:jc w:val="both"/>
        <w:rPr>
          <w:sz w:val="24"/>
        </w:rPr>
      </w:pPr>
      <w:r>
        <w:rPr>
          <w:sz w:val="24"/>
        </w:rPr>
        <w:tab/>
        <w:t>We would also appreciate receiving confirmation that no provision of any agreement to which Enron Corp. or any of its affiliates is a party or by which any of them is bound restricts the ability of the joint venture to engage in its business as described herein.</w:t>
      </w:r>
    </w:p>
    <w:p>
      <w:pPr>
        <w:pStyle w:val="BodyText"/>
        <w:spacing w:before="0" w:after="0"/>
        <w:rPr>
          <w:sz w:val="24"/>
        </w:rPr>
      </w:pPr>
      <w:r>
        <w:rPr>
          <w:sz w:val="24"/>
        </w:rPr>
      </w:r>
    </w:p>
    <w:p>
      <w:pPr>
        <w:pStyle w:val="BodyText"/>
        <w:spacing w:before="0" w:after="0"/>
        <w:rPr/>
      </w:pPr>
      <w:r>
        <w:rPr/>
        <w:tab/>
        <w:t>Please feel free to call Brian Redmond at 713/853-1839 or Lance Schuler at 713/853</w:t>
        <w:softHyphen/>
        <w:t>-5419 if you have any questions regarding this matter.  Thank you.</w:t>
      </w:r>
    </w:p>
    <w:p>
      <w:pPr>
        <w:pStyle w:val="BodyText"/>
        <w:tabs>
          <w:tab w:val="left" w:pos="720" w:leader="none"/>
          <w:tab w:val="left" w:pos="1530" w:leader="none"/>
          <w:tab w:val="left" w:pos="2160" w:leader="none"/>
          <w:tab w:val="left" w:pos="5040" w:leader="none"/>
          <w:tab w:val="left" w:pos="6480" w:leader="none"/>
        </w:tabs>
        <w:spacing w:before="120" w:after="120"/>
        <w:rPr/>
      </w:pPr>
      <w:r>
        <w:rPr/>
      </w:r>
    </w:p>
    <w:p>
      <w:pPr>
        <w:pStyle w:val="BodyText"/>
        <w:tabs>
          <w:tab w:val="left" w:pos="720" w:leader="none"/>
          <w:tab w:val="left" w:pos="1530" w:leader="none"/>
          <w:tab w:val="left" w:pos="2160" w:leader="none"/>
          <w:tab w:val="left" w:pos="5040" w:leader="none"/>
          <w:tab w:val="left" w:pos="6480" w:leader="none"/>
        </w:tabs>
        <w:spacing w:before="120" w:after="120"/>
        <w:rPr/>
      </w:pPr>
      <w:r>
        <w:rPr/>
      </w:r>
    </w:p>
    <w:p>
      <w:pPr>
        <w:pStyle w:val="BodyText"/>
        <w:tabs>
          <w:tab w:val="left" w:pos="720" w:leader="none"/>
          <w:tab w:val="left" w:pos="1530" w:leader="none"/>
          <w:tab w:val="left" w:pos="2160" w:leader="none"/>
          <w:tab w:val="left" w:pos="5040" w:leader="none"/>
          <w:tab w:val="left" w:pos="6480" w:leader="none"/>
        </w:tabs>
        <w:spacing w:before="120" w:after="120"/>
        <w:rPr/>
      </w:pPr>
      <w:r>
        <w:rPr/>
        <w:t>cc:</w:t>
        <w:tab/>
        <w:t>Lance Schuler</w:t>
      </w:r>
      <w:r>
        <w:br w:type="page"/>
      </w:r>
    </w:p>
    <w:p>
      <w:pPr>
        <w:pStyle w:val="BodyText"/>
        <w:tabs>
          <w:tab w:val="left" w:pos="720" w:leader="none"/>
          <w:tab w:val="left" w:pos="1530" w:leader="none"/>
          <w:tab w:val="left" w:pos="2160" w:leader="none"/>
          <w:tab w:val="left" w:pos="5040" w:leader="none"/>
          <w:tab w:val="left" w:pos="6480" w:leader="none"/>
        </w:tabs>
        <w:spacing w:before="120" w:after="120"/>
        <w:rPr/>
      </w:pPr>
      <w:r>
        <w:rPr/>
        <w:t>DISTRIBUTION LIST</w:t>
      </w:r>
    </w:p>
    <w:p>
      <w:pPr>
        <w:pStyle w:val="Normal"/>
        <w:rPr>
          <w:sz w:val="24"/>
          <w:u w:val="single"/>
        </w:rPr>
      </w:pPr>
      <w:r>
        <w:rPr>
          <w:sz w:val="24"/>
          <w:u w:val="single"/>
        </w:rPr>
      </w:r>
    </w:p>
    <w:p>
      <w:pPr>
        <w:pStyle w:val="Normal"/>
        <w:rPr>
          <w:sz w:val="24"/>
        </w:rPr>
      </w:pPr>
      <w:r>
        <w:rPr>
          <w:sz w:val="24"/>
          <w:u w:val="single"/>
        </w:rPr>
        <w:t>Enron Corp.</w:t>
      </w:r>
    </w:p>
    <w:p>
      <w:pPr>
        <w:pStyle w:val="Normal"/>
        <w:rPr>
          <w:sz w:val="24"/>
          <w:u w:val="single"/>
        </w:rPr>
      </w:pPr>
      <w:r>
        <w:rPr>
          <w:sz w:val="24"/>
          <w:u w:val="single"/>
        </w:rPr>
      </w:r>
    </w:p>
    <w:p>
      <w:pPr>
        <w:pStyle w:val="Heading1"/>
        <w:rPr/>
      </w:pPr>
      <w:r>
        <w:rPr/>
        <w:t>Jeffrey K. Skilling – President and Chief Operating Officer</w:t>
      </w:r>
    </w:p>
    <w:p>
      <w:pPr>
        <w:pStyle w:val="Normal"/>
        <w:ind w:start="360" w:end="0"/>
        <w:rPr>
          <w:sz w:val="24"/>
        </w:rPr>
      </w:pPr>
      <w:r>
        <w:rPr>
          <w:sz w:val="24"/>
        </w:rPr>
        <w:t>Mark Metts – Executive Vice President, Corporate Development</w:t>
      </w:r>
    </w:p>
    <w:p>
      <w:pPr>
        <w:pStyle w:val="Normal"/>
        <w:ind w:start="360" w:end="0"/>
        <w:rPr>
          <w:sz w:val="24"/>
        </w:rPr>
      </w:pPr>
      <w:r>
        <w:rPr>
          <w:sz w:val="24"/>
        </w:rPr>
        <w:t>James V. Derrick, Jr. – Executive Vice President and General Counsel</w:t>
      </w:r>
    </w:p>
    <w:p>
      <w:pPr>
        <w:pStyle w:val="Normal"/>
        <w:ind w:start="360" w:end="0"/>
        <w:rPr>
          <w:sz w:val="24"/>
        </w:rPr>
      </w:pPr>
      <w:r>
        <w:rPr>
          <w:sz w:val="24"/>
        </w:rPr>
        <w:t>Robert H. Walls, Jr. – Senior Vice President and Deputy General Counsel</w:t>
      </w:r>
    </w:p>
    <w:p>
      <w:pPr>
        <w:pStyle w:val="Normal"/>
        <w:ind w:start="360" w:end="0"/>
        <w:rPr>
          <w:sz w:val="24"/>
        </w:rPr>
      </w:pPr>
      <w:r>
        <w:rPr>
          <w:sz w:val="24"/>
        </w:rPr>
        <w:t>Rex R. Rogers – Vice President, Associate General Counsel and Assistant Secretary</w:t>
      </w:r>
    </w:p>
    <w:p>
      <w:pPr>
        <w:pStyle w:val="Normal"/>
        <w:ind w:start="360" w:end="0"/>
        <w:rPr>
          <w:sz w:val="24"/>
        </w:rPr>
      </w:pPr>
      <w:r>
        <w:rPr>
          <w:sz w:val="24"/>
        </w:rPr>
        <w:t>Charles E. Cheek – Chief Litigation Counsel</w:t>
      </w:r>
    </w:p>
    <w:p>
      <w:pPr>
        <w:pStyle w:val="Normal"/>
        <w:ind w:start="360" w:end="0"/>
        <w:rPr>
          <w:sz w:val="24"/>
        </w:rPr>
      </w:pPr>
      <w:r>
        <w:rPr>
          <w:sz w:val="24"/>
        </w:rPr>
      </w:r>
    </w:p>
    <w:p>
      <w:pPr>
        <w:pStyle w:val="Normal"/>
        <w:rPr>
          <w:sz w:val="24"/>
        </w:rPr>
      </w:pPr>
      <w:r>
        <w:rPr>
          <w:sz w:val="24"/>
          <w:u w:val="single"/>
        </w:rPr>
        <w:t>Portland General Electric Company</w:t>
      </w:r>
    </w:p>
    <w:p>
      <w:pPr>
        <w:pStyle w:val="Normal"/>
        <w:rPr>
          <w:sz w:val="24"/>
        </w:rPr>
      </w:pPr>
      <w:r>
        <w:rPr>
          <w:sz w:val="24"/>
        </w:rPr>
      </w:r>
    </w:p>
    <w:p>
      <w:pPr>
        <w:pStyle w:val="Normal"/>
        <w:ind w:start="360" w:end="0"/>
        <w:rPr>
          <w:sz w:val="24"/>
        </w:rPr>
      </w:pPr>
      <w:r>
        <w:rPr>
          <w:sz w:val="24"/>
        </w:rPr>
        <w:t>Peggy Y. Fowler – President and Chief Operating Officer</w:t>
      </w:r>
    </w:p>
    <w:p>
      <w:pPr>
        <w:pStyle w:val="Normal"/>
        <w:ind w:start="360" w:end="0"/>
        <w:rPr>
          <w:sz w:val="24"/>
        </w:rPr>
      </w:pPr>
      <w:r>
        <w:rPr>
          <w:sz w:val="24"/>
        </w:rPr>
        <w:t>Alvin L. Alexanderson – Senior Vice President, General counsel and Secretary</w:t>
      </w:r>
    </w:p>
    <w:p>
      <w:pPr>
        <w:pStyle w:val="Normal"/>
        <w:ind w:start="360" w:end="0"/>
        <w:rPr>
          <w:sz w:val="24"/>
        </w:rPr>
      </w:pPr>
      <w:r>
        <w:rPr>
          <w:sz w:val="24"/>
        </w:rPr>
      </w:r>
    </w:p>
    <w:p>
      <w:pPr>
        <w:pStyle w:val="Normal"/>
        <w:rPr>
          <w:sz w:val="24"/>
        </w:rPr>
      </w:pPr>
      <w:r>
        <w:rPr>
          <w:sz w:val="24"/>
          <w:u w:val="single"/>
        </w:rPr>
        <w:t>Azurix Corp.</w:t>
      </w:r>
    </w:p>
    <w:p>
      <w:pPr>
        <w:pStyle w:val="Normal"/>
        <w:rPr>
          <w:sz w:val="24"/>
        </w:rPr>
      </w:pPr>
      <w:r>
        <w:rPr>
          <w:sz w:val="24"/>
        </w:rPr>
      </w:r>
    </w:p>
    <w:p>
      <w:pPr>
        <w:pStyle w:val="Normal"/>
        <w:ind w:start="360" w:end="0"/>
        <w:rPr>
          <w:sz w:val="24"/>
        </w:rPr>
      </w:pPr>
      <w:r>
        <w:rPr>
          <w:sz w:val="24"/>
        </w:rPr>
        <w:t>Rebecca P. Mark – Chairman and Chief Executive Officer</w:t>
      </w:r>
    </w:p>
    <w:p>
      <w:pPr>
        <w:pStyle w:val="Normal"/>
        <w:ind w:start="360" w:end="0"/>
        <w:rPr>
          <w:sz w:val="24"/>
        </w:rPr>
      </w:pPr>
      <w:r>
        <w:rPr>
          <w:sz w:val="24"/>
        </w:rPr>
        <w:t>John C. Ale – Executive Director, General Counsel and Assistant Secretary</w:t>
      </w:r>
    </w:p>
    <w:p>
      <w:pPr>
        <w:pStyle w:val="Normal"/>
        <w:rPr>
          <w:sz w:val="24"/>
        </w:rPr>
      </w:pPr>
      <w:r>
        <w:rPr>
          <w:sz w:val="24"/>
        </w:rPr>
      </w:r>
    </w:p>
    <w:p>
      <w:pPr>
        <w:pStyle w:val="Normal"/>
        <w:rPr>
          <w:sz w:val="24"/>
        </w:rPr>
      </w:pPr>
      <w:r>
        <w:rPr>
          <w:sz w:val="24"/>
          <w:u w:val="single"/>
        </w:rPr>
        <w:t>Enron Europe L.L.C.</w:t>
      </w:r>
    </w:p>
    <w:p>
      <w:pPr>
        <w:pStyle w:val="Normal"/>
        <w:rPr>
          <w:sz w:val="24"/>
        </w:rPr>
      </w:pPr>
      <w:r>
        <w:rPr>
          <w:sz w:val="24"/>
        </w:rPr>
      </w:r>
    </w:p>
    <w:p>
      <w:pPr>
        <w:pStyle w:val="Normal"/>
        <w:ind w:start="360" w:end="0"/>
        <w:rPr>
          <w:sz w:val="24"/>
        </w:rPr>
      </w:pPr>
      <w:r>
        <w:rPr>
          <w:sz w:val="24"/>
        </w:rPr>
        <w:t>Mark A. Frevert – President</w:t>
      </w:r>
    </w:p>
    <w:p>
      <w:pPr>
        <w:pStyle w:val="Normal"/>
        <w:ind w:start="360" w:end="0"/>
        <w:rPr>
          <w:sz w:val="24"/>
        </w:rPr>
      </w:pPr>
      <w:r>
        <w:rPr>
          <w:sz w:val="24"/>
        </w:rPr>
        <w:t>Michael Brown – Vice President and General Counsel</w:t>
      </w:r>
    </w:p>
    <w:p>
      <w:pPr>
        <w:pStyle w:val="Normal"/>
        <w:ind w:start="360" w:end="0"/>
        <w:rPr>
          <w:sz w:val="24"/>
        </w:rPr>
      </w:pPr>
      <w:r>
        <w:rPr>
          <w:sz w:val="24"/>
        </w:rPr>
      </w:r>
    </w:p>
    <w:p>
      <w:pPr>
        <w:pStyle w:val="Normal"/>
        <w:rPr>
          <w:sz w:val="24"/>
        </w:rPr>
      </w:pPr>
      <w:r>
        <w:rPr>
          <w:sz w:val="24"/>
          <w:u w:val="single"/>
        </w:rPr>
        <w:t>EOTT Energy Corp.</w:t>
      </w:r>
    </w:p>
    <w:p>
      <w:pPr>
        <w:pStyle w:val="Normal"/>
        <w:rPr>
          <w:sz w:val="24"/>
        </w:rPr>
      </w:pPr>
      <w:r>
        <w:rPr>
          <w:sz w:val="24"/>
        </w:rPr>
      </w:r>
    </w:p>
    <w:p>
      <w:pPr>
        <w:pStyle w:val="Normal"/>
        <w:ind w:start="360" w:end="0"/>
        <w:rPr>
          <w:sz w:val="24"/>
        </w:rPr>
      </w:pPr>
      <w:r>
        <w:rPr>
          <w:sz w:val="24"/>
        </w:rPr>
        <w:t>Michael D. Burke – President and Chief Executive Officer</w:t>
      </w:r>
    </w:p>
    <w:p>
      <w:pPr>
        <w:pStyle w:val="Normal"/>
        <w:ind w:start="360" w:end="0"/>
        <w:rPr>
          <w:sz w:val="24"/>
        </w:rPr>
      </w:pPr>
      <w:r>
        <w:rPr>
          <w:sz w:val="24"/>
        </w:rPr>
        <w:t>Stephen W. Duffy – Vice President and General Counsel</w:t>
      </w:r>
    </w:p>
    <w:p>
      <w:pPr>
        <w:pStyle w:val="Normal"/>
        <w:rPr>
          <w:sz w:val="24"/>
        </w:rPr>
      </w:pPr>
      <w:r>
        <w:rPr>
          <w:sz w:val="24"/>
        </w:rPr>
      </w:r>
    </w:p>
    <w:p>
      <w:pPr>
        <w:pStyle w:val="Normal"/>
        <w:rPr>
          <w:sz w:val="24"/>
        </w:rPr>
      </w:pPr>
      <w:r>
        <w:rPr>
          <w:sz w:val="24"/>
          <w:u w:val="single"/>
        </w:rPr>
        <w:t>Enron North America Corp.</w:t>
      </w:r>
    </w:p>
    <w:p>
      <w:pPr>
        <w:pStyle w:val="Normal"/>
        <w:rPr>
          <w:sz w:val="24"/>
        </w:rPr>
      </w:pPr>
      <w:r>
        <w:rPr>
          <w:sz w:val="24"/>
        </w:rPr>
      </w:r>
    </w:p>
    <w:p>
      <w:pPr>
        <w:pStyle w:val="Heading5"/>
        <w:rPr/>
      </w:pPr>
      <w:r>
        <w:rPr/>
        <w:t>J. Clifford Baxter – Chairman of the Board, Chief Executive Officer and</w:t>
      </w:r>
    </w:p>
    <w:p>
      <w:pPr>
        <w:pStyle w:val="Heading5"/>
        <w:ind w:firstLine="720" w:end="0"/>
        <w:rPr/>
      </w:pPr>
      <w:r>
        <w:rPr/>
        <w:t>Managing Director</w:t>
        <w:tab/>
        <w:tab/>
      </w:r>
    </w:p>
    <w:p>
      <w:pPr>
        <w:pStyle w:val="Normal"/>
        <w:ind w:start="360" w:end="0"/>
        <w:rPr>
          <w:sz w:val="24"/>
        </w:rPr>
      </w:pPr>
      <w:r>
        <w:rPr>
          <w:sz w:val="24"/>
        </w:rPr>
        <w:t>Lawrence G. Whalley – President and Chief Operating Officer</w:t>
      </w:r>
    </w:p>
    <w:p>
      <w:pPr>
        <w:pStyle w:val="Normal"/>
        <w:ind w:start="360" w:end="0"/>
        <w:rPr>
          <w:sz w:val="24"/>
        </w:rPr>
      </w:pPr>
      <w:r>
        <w:rPr>
          <w:sz w:val="24"/>
        </w:rPr>
        <w:t>Mark E. Haedicke – Managing Director and General Counsel</w:t>
      </w:r>
    </w:p>
    <w:p>
      <w:pPr>
        <w:pStyle w:val="Normal"/>
        <w:ind w:start="360" w:end="0"/>
        <w:rPr>
          <w:sz w:val="24"/>
        </w:rPr>
      </w:pPr>
      <w:r>
        <w:rPr>
          <w:sz w:val="24"/>
        </w:rPr>
        <w:t>Tim Detmering – Vice President</w:t>
      </w:r>
    </w:p>
    <w:p>
      <w:pPr>
        <w:pStyle w:val="Normal"/>
        <w:ind w:start="360" w:end="0"/>
        <w:rPr>
          <w:sz w:val="24"/>
        </w:rPr>
      </w:pPr>
      <w:r>
        <w:rPr>
          <w:sz w:val="24"/>
        </w:rPr>
      </w:r>
    </w:p>
    <w:p>
      <w:pPr>
        <w:pStyle w:val="Normal"/>
        <w:rPr>
          <w:sz w:val="24"/>
        </w:rPr>
      </w:pPr>
      <w:r>
        <w:rPr>
          <w:sz w:val="24"/>
          <w:u w:val="single"/>
        </w:rPr>
        <w:t>Enron Property &amp; Services Corp.</w:t>
      </w:r>
    </w:p>
    <w:p>
      <w:pPr>
        <w:pStyle w:val="Normal"/>
        <w:rPr>
          <w:sz w:val="24"/>
        </w:rPr>
      </w:pPr>
      <w:r>
        <w:rPr>
          <w:sz w:val="24"/>
        </w:rPr>
      </w:r>
    </w:p>
    <w:p>
      <w:pPr>
        <w:pStyle w:val="Normal"/>
        <w:ind w:start="360" w:end="0"/>
        <w:rPr>
          <w:sz w:val="24"/>
        </w:rPr>
      </w:pPr>
      <w:r>
        <w:rPr>
          <w:sz w:val="24"/>
        </w:rPr>
        <w:t>William R. Donovan – Chairman, President and Chief Executive Officer</w:t>
      </w:r>
    </w:p>
    <w:p>
      <w:pPr>
        <w:pStyle w:val="Normal"/>
        <w:ind w:start="360" w:end="0"/>
        <w:rPr>
          <w:sz w:val="24"/>
        </w:rPr>
      </w:pPr>
      <w:r>
        <w:rPr>
          <w:sz w:val="24"/>
        </w:rPr>
        <w:t>Elizabeth J. Labanowski – Vice President and General Counsel</w:t>
      </w:r>
    </w:p>
    <w:p>
      <w:pPr>
        <w:pStyle w:val="Normal"/>
        <w:rPr>
          <w:sz w:val="24"/>
        </w:rPr>
      </w:pPr>
      <w:r>
        <w:rPr>
          <w:sz w:val="24"/>
        </w:rPr>
      </w:r>
    </w:p>
    <w:p>
      <w:pPr>
        <w:pStyle w:val="Normal"/>
        <w:rPr>
          <w:sz w:val="24"/>
        </w:rPr>
      </w:pPr>
      <w:r>
        <w:rPr>
          <w:sz w:val="24"/>
          <w:u w:val="single"/>
        </w:rPr>
        <w:t>Enron Pipeline Company</w:t>
      </w:r>
    </w:p>
    <w:p>
      <w:pPr>
        <w:pStyle w:val="Normal"/>
        <w:rPr>
          <w:sz w:val="24"/>
        </w:rPr>
      </w:pPr>
      <w:r>
        <w:rPr>
          <w:sz w:val="24"/>
        </w:rPr>
      </w:r>
    </w:p>
    <w:p>
      <w:pPr>
        <w:pStyle w:val="Normal"/>
        <w:ind w:start="360" w:end="0"/>
        <w:rPr>
          <w:sz w:val="24"/>
        </w:rPr>
      </w:pPr>
      <w:r>
        <w:rPr>
          <w:sz w:val="24"/>
        </w:rPr>
        <w:t>Stanley C. Horton – Chairman of the Board, President and Chief Executive officer</w:t>
      </w:r>
    </w:p>
    <w:p>
      <w:pPr>
        <w:pStyle w:val="Normal"/>
        <w:ind w:start="360" w:end="0"/>
        <w:rPr>
          <w:sz w:val="24"/>
        </w:rPr>
      </w:pPr>
      <w:r>
        <w:rPr>
          <w:sz w:val="24"/>
        </w:rPr>
        <w:t>Michael P. Moran – Senior Vice President, General Counsel and Assistant Secretary</w:t>
      </w:r>
    </w:p>
    <w:p>
      <w:pPr>
        <w:pStyle w:val="Normal"/>
        <w:rPr>
          <w:sz w:val="24"/>
          <w:u w:val="single"/>
        </w:rPr>
      </w:pPr>
      <w:r>
        <w:rPr>
          <w:sz w:val="24"/>
          <w:u w:val="single"/>
        </w:rPr>
      </w:r>
    </w:p>
    <w:p>
      <w:pPr>
        <w:pStyle w:val="Normal"/>
        <w:rPr>
          <w:sz w:val="24"/>
        </w:rPr>
      </w:pPr>
      <w:r>
        <w:rPr>
          <w:sz w:val="24"/>
          <w:u w:val="single"/>
        </w:rPr>
        <w:t>Enron Communications, Inc.</w:t>
      </w:r>
    </w:p>
    <w:p>
      <w:pPr>
        <w:pStyle w:val="Normal"/>
        <w:rPr>
          <w:sz w:val="24"/>
        </w:rPr>
      </w:pPr>
      <w:r>
        <w:rPr>
          <w:sz w:val="24"/>
        </w:rPr>
      </w:r>
    </w:p>
    <w:p>
      <w:pPr>
        <w:pStyle w:val="Normal"/>
        <w:ind w:start="360" w:end="0"/>
        <w:rPr>
          <w:sz w:val="24"/>
        </w:rPr>
      </w:pPr>
      <w:r>
        <w:rPr>
          <w:sz w:val="24"/>
        </w:rPr>
        <w:t>Kenneth D. Rice – Co-Chairman and Co-Chief Executive Officer and President</w:t>
      </w:r>
    </w:p>
    <w:p>
      <w:pPr>
        <w:pStyle w:val="Normal"/>
        <w:ind w:start="360" w:end="0"/>
        <w:rPr>
          <w:sz w:val="24"/>
        </w:rPr>
      </w:pPr>
      <w:r>
        <w:rPr>
          <w:sz w:val="24"/>
        </w:rPr>
        <w:t>Kristina M. Mordaunt – Vice President, General Counsel and Assistant Secretary</w:t>
      </w:r>
    </w:p>
    <w:p>
      <w:pPr>
        <w:pStyle w:val="Normal"/>
        <w:ind w:start="360" w:end="0"/>
        <w:rPr>
          <w:sz w:val="24"/>
        </w:rPr>
      </w:pPr>
      <w:r>
        <w:rPr>
          <w:sz w:val="24"/>
        </w:rPr>
      </w:r>
    </w:p>
    <w:p>
      <w:pPr>
        <w:pStyle w:val="Normal"/>
        <w:rPr>
          <w:sz w:val="24"/>
        </w:rPr>
      </w:pPr>
      <w:r>
        <w:rPr>
          <w:sz w:val="24"/>
          <w:u w:val="single"/>
        </w:rPr>
        <w:t>Northern Natural Gas Company</w:t>
      </w:r>
    </w:p>
    <w:p>
      <w:pPr>
        <w:pStyle w:val="Normal"/>
        <w:rPr>
          <w:sz w:val="24"/>
        </w:rPr>
      </w:pPr>
      <w:r>
        <w:rPr>
          <w:sz w:val="24"/>
        </w:rPr>
      </w:r>
    </w:p>
    <w:p>
      <w:pPr>
        <w:pStyle w:val="Normal"/>
        <w:ind w:start="360" w:end="0"/>
        <w:rPr>
          <w:sz w:val="24"/>
        </w:rPr>
      </w:pPr>
      <w:r>
        <w:rPr>
          <w:sz w:val="24"/>
        </w:rPr>
        <w:t>William R. Cordes, President</w:t>
      </w:r>
    </w:p>
    <w:p>
      <w:pPr>
        <w:pStyle w:val="Normal"/>
        <w:ind w:start="360" w:end="0"/>
        <w:rPr>
          <w:sz w:val="24"/>
        </w:rPr>
      </w:pPr>
      <w:r>
        <w:rPr>
          <w:sz w:val="24"/>
        </w:rPr>
        <w:t>Michael P. Moran – Senior Vice President, Law, and Assistant Secretary</w:t>
      </w:r>
    </w:p>
    <w:p>
      <w:pPr>
        <w:pStyle w:val="Normal"/>
        <w:rPr>
          <w:sz w:val="24"/>
        </w:rPr>
      </w:pPr>
      <w:r>
        <w:rPr>
          <w:sz w:val="24"/>
        </w:rPr>
      </w:r>
    </w:p>
    <w:p>
      <w:pPr>
        <w:pStyle w:val="Normal"/>
        <w:rPr>
          <w:sz w:val="24"/>
        </w:rPr>
      </w:pPr>
      <w:r>
        <w:rPr>
          <w:sz w:val="24"/>
          <w:u w:val="single"/>
        </w:rPr>
        <w:t>Northern Plains Natural Gas Company</w:t>
      </w:r>
    </w:p>
    <w:p>
      <w:pPr>
        <w:pStyle w:val="Normal"/>
        <w:rPr>
          <w:sz w:val="24"/>
        </w:rPr>
      </w:pPr>
      <w:r>
        <w:rPr>
          <w:sz w:val="24"/>
        </w:rPr>
      </w:r>
    </w:p>
    <w:p>
      <w:pPr>
        <w:pStyle w:val="Normal"/>
        <w:ind w:start="360" w:end="0"/>
        <w:rPr>
          <w:sz w:val="24"/>
        </w:rPr>
      </w:pPr>
      <w:r>
        <w:rPr>
          <w:sz w:val="24"/>
        </w:rPr>
        <w:t>Larry L. DeRoin – President</w:t>
      </w:r>
    </w:p>
    <w:p>
      <w:pPr>
        <w:pStyle w:val="Normal"/>
        <w:ind w:start="360" w:end="0"/>
        <w:rPr>
          <w:sz w:val="24"/>
        </w:rPr>
      </w:pPr>
      <w:r>
        <w:rPr>
          <w:sz w:val="24"/>
        </w:rPr>
        <w:t>Janet K. Place – Vice President, General Counsel and Assistant Secretary</w:t>
      </w:r>
    </w:p>
    <w:p>
      <w:pPr>
        <w:pStyle w:val="Normal"/>
        <w:rPr>
          <w:sz w:val="24"/>
        </w:rPr>
      </w:pPr>
      <w:r>
        <w:rPr>
          <w:sz w:val="24"/>
        </w:rPr>
      </w:r>
    </w:p>
    <w:p>
      <w:pPr>
        <w:pStyle w:val="Normal"/>
        <w:rPr>
          <w:sz w:val="24"/>
        </w:rPr>
      </w:pPr>
      <w:r>
        <w:rPr>
          <w:sz w:val="24"/>
          <w:u w:val="single"/>
        </w:rPr>
        <w:t>Enron Capital Management, a division of Enron Corp.</w:t>
      </w:r>
    </w:p>
    <w:p>
      <w:pPr>
        <w:pStyle w:val="Normal"/>
        <w:rPr>
          <w:sz w:val="24"/>
        </w:rPr>
      </w:pPr>
      <w:r>
        <w:rPr>
          <w:sz w:val="24"/>
        </w:rPr>
      </w:r>
    </w:p>
    <w:p>
      <w:pPr>
        <w:pStyle w:val="Normal"/>
        <w:ind w:start="360" w:end="0"/>
        <w:rPr>
          <w:sz w:val="24"/>
        </w:rPr>
      </w:pPr>
      <w:r>
        <w:rPr>
          <w:sz w:val="24"/>
        </w:rPr>
        <w:t>Andrew S. Fastow – Managing Director</w:t>
      </w:r>
    </w:p>
    <w:p>
      <w:pPr>
        <w:pStyle w:val="Normal"/>
        <w:ind w:start="360" w:end="0"/>
        <w:rPr>
          <w:sz w:val="24"/>
        </w:rPr>
      </w:pPr>
      <w:r>
        <w:rPr>
          <w:sz w:val="24"/>
        </w:rPr>
        <w:t>Scott Sefton – Vice President and General Counsel</w:t>
      </w:r>
    </w:p>
    <w:p>
      <w:pPr>
        <w:pStyle w:val="Normal"/>
        <w:ind w:start="360" w:end="0"/>
        <w:rPr>
          <w:sz w:val="24"/>
        </w:rPr>
      </w:pPr>
      <w:r>
        <w:rPr>
          <w:sz w:val="24"/>
        </w:rPr>
        <w:t>Shirley A. Hudler – Director, Risk Management</w:t>
      </w:r>
    </w:p>
    <w:p>
      <w:pPr>
        <w:pStyle w:val="Normal"/>
        <w:rPr>
          <w:sz w:val="24"/>
        </w:rPr>
      </w:pPr>
      <w:r>
        <w:rPr>
          <w:sz w:val="24"/>
        </w:rPr>
      </w:r>
    </w:p>
    <w:p>
      <w:pPr>
        <w:pStyle w:val="Normal"/>
        <w:rPr>
          <w:sz w:val="24"/>
        </w:rPr>
      </w:pPr>
      <w:r>
        <w:rPr>
          <w:sz w:val="24"/>
          <w:u w:val="single"/>
        </w:rPr>
        <w:t>Enron Energy Services, Inc.</w:t>
      </w:r>
    </w:p>
    <w:p>
      <w:pPr>
        <w:pStyle w:val="Normal"/>
        <w:rPr>
          <w:sz w:val="24"/>
        </w:rPr>
      </w:pPr>
      <w:r>
        <w:rPr>
          <w:sz w:val="24"/>
        </w:rPr>
      </w:r>
    </w:p>
    <w:p>
      <w:pPr>
        <w:pStyle w:val="Normal"/>
        <w:ind w:start="360" w:end="0"/>
        <w:rPr>
          <w:sz w:val="24"/>
        </w:rPr>
      </w:pPr>
      <w:r>
        <w:rPr>
          <w:sz w:val="24"/>
        </w:rPr>
        <w:t>Lou L. Pai – Chairman, President and Chief Executive Officer</w:t>
      </w:r>
    </w:p>
    <w:p>
      <w:pPr>
        <w:pStyle w:val="Normal"/>
        <w:ind w:start="360" w:end="0"/>
        <w:rPr>
          <w:sz w:val="24"/>
        </w:rPr>
      </w:pPr>
      <w:r>
        <w:rPr>
          <w:sz w:val="24"/>
        </w:rPr>
        <w:t>Victoria T. Sharp – Managing Director, General Counsel and Assistant Secretary</w:t>
      </w:r>
    </w:p>
    <w:p>
      <w:pPr>
        <w:pStyle w:val="Normal"/>
        <w:rPr>
          <w:sz w:val="24"/>
        </w:rPr>
      </w:pPr>
      <w:r>
        <w:rPr>
          <w:sz w:val="24"/>
        </w:rPr>
      </w:r>
    </w:p>
    <w:p>
      <w:pPr>
        <w:pStyle w:val="Normal"/>
        <w:rPr>
          <w:sz w:val="24"/>
        </w:rPr>
      </w:pPr>
      <w:r>
        <w:rPr>
          <w:sz w:val="24"/>
          <w:u w:val="single"/>
        </w:rPr>
        <w:t>Enron Wind Corp.</w:t>
      </w:r>
    </w:p>
    <w:p>
      <w:pPr>
        <w:pStyle w:val="Normal"/>
        <w:rPr>
          <w:sz w:val="24"/>
        </w:rPr>
      </w:pPr>
      <w:r>
        <w:rPr>
          <w:sz w:val="24"/>
        </w:rPr>
      </w:r>
    </w:p>
    <w:p>
      <w:pPr>
        <w:pStyle w:val="Heading1"/>
        <w:rPr/>
      </w:pPr>
      <w:r>
        <w:rPr/>
        <w:t xml:space="preserve">Kenneth C. Karas – Chairman, President, Chief Executive Officer and Chief </w:t>
      </w:r>
    </w:p>
    <w:p>
      <w:pPr>
        <w:pStyle w:val="Heading1"/>
        <w:ind w:firstLine="360" w:end="0"/>
        <w:rPr/>
      </w:pPr>
      <w:r>
        <w:rPr/>
        <w:t>Financial Officer</w:t>
      </w:r>
    </w:p>
    <w:p>
      <w:pPr>
        <w:pStyle w:val="Normal"/>
        <w:ind w:start="360" w:end="0"/>
        <w:rPr>
          <w:sz w:val="24"/>
        </w:rPr>
      </w:pPr>
      <w:r>
        <w:rPr>
          <w:sz w:val="24"/>
        </w:rPr>
        <w:t>Adam S. Umanoff – Senior Vice President, General Counsel and Secretary</w:t>
      </w:r>
    </w:p>
    <w:p>
      <w:pPr>
        <w:pStyle w:val="Normal"/>
        <w:rPr>
          <w:sz w:val="24"/>
        </w:rPr>
      </w:pPr>
      <w:r>
        <w:rPr>
          <w:sz w:val="24"/>
        </w:rPr>
      </w:r>
    </w:p>
    <w:p>
      <w:pPr>
        <w:pStyle w:val="Normal"/>
        <w:rPr>
          <w:sz w:val="24"/>
        </w:rPr>
      </w:pPr>
      <w:r>
        <w:rPr>
          <w:sz w:val="24"/>
          <w:u w:val="single"/>
        </w:rPr>
        <w:t>Enron South America LLC</w:t>
      </w:r>
    </w:p>
    <w:p>
      <w:pPr>
        <w:pStyle w:val="Normal"/>
        <w:rPr>
          <w:sz w:val="24"/>
        </w:rPr>
      </w:pPr>
      <w:r>
        <w:rPr>
          <w:sz w:val="24"/>
        </w:rPr>
      </w:r>
    </w:p>
    <w:p>
      <w:pPr>
        <w:pStyle w:val="Normal"/>
        <w:ind w:start="360" w:end="0"/>
        <w:rPr>
          <w:sz w:val="24"/>
        </w:rPr>
      </w:pPr>
      <w:r>
        <w:rPr>
          <w:sz w:val="24"/>
        </w:rPr>
        <w:t>Joseph G. Kishkill – Managing Director</w:t>
      </w:r>
    </w:p>
    <w:p>
      <w:pPr>
        <w:pStyle w:val="Normal"/>
        <w:ind w:start="360" w:end="0"/>
        <w:rPr>
          <w:sz w:val="24"/>
        </w:rPr>
      </w:pPr>
      <w:r>
        <w:rPr>
          <w:sz w:val="24"/>
        </w:rPr>
        <w:t>Randel R. Young – Vice President and General Counsel</w:t>
      </w:r>
    </w:p>
    <w:p>
      <w:pPr>
        <w:pStyle w:val="Normal"/>
        <w:rPr>
          <w:sz w:val="24"/>
        </w:rPr>
      </w:pPr>
      <w:r>
        <w:rPr>
          <w:sz w:val="24"/>
        </w:rPr>
      </w:r>
    </w:p>
    <w:p>
      <w:pPr>
        <w:pStyle w:val="Normal"/>
        <w:rPr>
          <w:sz w:val="24"/>
        </w:rPr>
      </w:pPr>
      <w:r>
        <w:rPr>
          <w:sz w:val="24"/>
          <w:u w:val="single"/>
        </w:rPr>
        <w:t>Enron Asia-Pacific/Africa/China LLC</w:t>
      </w:r>
    </w:p>
    <w:p>
      <w:pPr>
        <w:pStyle w:val="Normal"/>
        <w:rPr>
          <w:sz w:val="24"/>
        </w:rPr>
      </w:pPr>
      <w:r>
        <w:rPr>
          <w:sz w:val="24"/>
        </w:rPr>
      </w:r>
    </w:p>
    <w:p>
      <w:pPr>
        <w:pStyle w:val="Normal"/>
        <w:ind w:start="360" w:end="0"/>
        <w:rPr>
          <w:sz w:val="24"/>
        </w:rPr>
      </w:pPr>
      <w:r>
        <w:rPr>
          <w:sz w:val="24"/>
        </w:rPr>
        <w:t>James A. Hughes – President and Chief Operating Officer</w:t>
      </w:r>
    </w:p>
    <w:p>
      <w:pPr>
        <w:pStyle w:val="Heading1"/>
        <w:rPr/>
      </w:pPr>
      <w:r>
        <w:rPr/>
        <w:t>Bruce D. Lundstrom – Vice President and General Counsel</w:t>
      </w:r>
    </w:p>
    <w:p>
      <w:pPr>
        <w:pStyle w:val="Normal"/>
        <w:rPr>
          <w:sz w:val="24"/>
        </w:rPr>
      </w:pPr>
      <w:r>
        <w:rPr>
          <w:sz w:val="24"/>
        </w:rPr>
      </w:r>
    </w:p>
    <w:p>
      <w:pPr>
        <w:pStyle w:val="Normal"/>
        <w:rPr>
          <w:sz w:val="24"/>
        </w:rPr>
      </w:pPr>
      <w:r>
        <w:rPr>
          <w:sz w:val="24"/>
          <w:u w:val="single"/>
        </w:rPr>
        <w:t>Enron Engineering &amp; Construction Company</w:t>
      </w:r>
    </w:p>
    <w:p>
      <w:pPr>
        <w:pStyle w:val="Normal"/>
        <w:rPr>
          <w:sz w:val="24"/>
        </w:rPr>
      </w:pPr>
      <w:r>
        <w:rPr>
          <w:sz w:val="24"/>
        </w:rPr>
      </w:r>
    </w:p>
    <w:p>
      <w:pPr>
        <w:pStyle w:val="Normal"/>
        <w:ind w:start="360" w:end="0"/>
        <w:rPr>
          <w:sz w:val="24"/>
        </w:rPr>
      </w:pPr>
      <w:r>
        <w:rPr>
          <w:sz w:val="24"/>
        </w:rPr>
        <w:t>Lawrence L. Izzo – President</w:t>
      </w:r>
    </w:p>
    <w:p>
      <w:pPr>
        <w:pStyle w:val="Normal"/>
        <w:ind w:start="360" w:end="0"/>
        <w:rPr>
          <w:sz w:val="24"/>
        </w:rPr>
      </w:pPr>
      <w:r>
        <w:rPr>
          <w:sz w:val="24"/>
        </w:rPr>
        <w:t>John W. Schwartzenburg – Assistant General Counsel</w:t>
      </w:r>
    </w:p>
    <w:p>
      <w:pPr>
        <w:pStyle w:val="Normal"/>
        <w:ind w:start="360" w:end="0"/>
        <w:rPr>
          <w:sz w:val="24"/>
        </w:rPr>
      </w:pPr>
      <w:r>
        <w:rPr>
          <w:sz w:val="24"/>
        </w:rPr>
        <w:t>Robert W. Walls, Jr. – Senior Vice President and General Counsel</w:t>
      </w:r>
    </w:p>
    <w:p>
      <w:pPr>
        <w:pStyle w:val="Normal"/>
        <w:rPr>
          <w:sz w:val="24"/>
        </w:rPr>
      </w:pPr>
      <w:r>
        <w:rPr>
          <w:sz w:val="24"/>
        </w:rPr>
      </w:r>
    </w:p>
    <w:p>
      <w:pPr>
        <w:pStyle w:val="Normal"/>
        <w:rPr>
          <w:sz w:val="24"/>
        </w:rPr>
      </w:pPr>
      <w:r>
        <w:rPr>
          <w:sz w:val="24"/>
          <w:u w:val="single"/>
        </w:rPr>
        <w:t>Enron India LLC</w:t>
      </w:r>
    </w:p>
    <w:p>
      <w:pPr>
        <w:pStyle w:val="Normal"/>
        <w:rPr>
          <w:sz w:val="24"/>
        </w:rPr>
      </w:pPr>
      <w:r>
        <w:rPr>
          <w:sz w:val="24"/>
        </w:rPr>
      </w:r>
    </w:p>
    <w:p>
      <w:pPr>
        <w:pStyle w:val="Normal"/>
        <w:ind w:start="360" w:end="0"/>
        <w:rPr>
          <w:sz w:val="24"/>
        </w:rPr>
      </w:pPr>
      <w:r>
        <w:rPr>
          <w:sz w:val="24"/>
        </w:rPr>
        <w:t>Sanjay Bhatnagar, Chief Executive Officer</w:t>
      </w:r>
    </w:p>
    <w:p>
      <w:pPr>
        <w:pStyle w:val="Normal"/>
        <w:ind w:start="360" w:end="0"/>
        <w:rPr>
          <w:sz w:val="24"/>
        </w:rPr>
      </w:pPr>
      <w:r>
        <w:rPr>
          <w:sz w:val="24"/>
        </w:rPr>
        <w:t>Robert H. Walls, Jr. – Senior Vice President and General Counsel</w:t>
      </w:r>
    </w:p>
    <w:p>
      <w:pPr>
        <w:pStyle w:val="Normal"/>
        <w:ind w:start="360" w:end="0"/>
        <w:rPr>
          <w:sz w:val="24"/>
        </w:rPr>
      </w:pPr>
      <w:r>
        <w:rPr>
          <w:sz w:val="24"/>
        </w:rPr>
      </w:r>
    </w:p>
    <w:p>
      <w:pPr>
        <w:pStyle w:val="Heading4"/>
        <w:ind w:hanging="0" w:start="0"/>
        <w:rPr/>
      </w:pPr>
      <w:r>
        <w:rPr/>
        <w:t>Enron Caribbean Basin LLC</w:t>
      </w:r>
    </w:p>
    <w:p>
      <w:pPr>
        <w:pStyle w:val="Normal"/>
        <w:rPr>
          <w:sz w:val="24"/>
          <w:u w:val="single"/>
        </w:rPr>
      </w:pPr>
      <w:r>
        <w:rPr>
          <w:sz w:val="24"/>
          <w:u w:val="single"/>
        </w:rPr>
      </w:r>
    </w:p>
    <w:p>
      <w:pPr>
        <w:pStyle w:val="Heading3"/>
        <w:ind w:firstLine="360" w:start="0" w:end="0"/>
        <w:rPr/>
      </w:pPr>
      <w:r>
        <w:rPr/>
        <w:t>David L. Haug – Chairman and Chief Executive Officer</w:t>
        <w:tab/>
      </w:r>
    </w:p>
    <w:p>
      <w:pPr>
        <w:pStyle w:val="Heading5"/>
        <w:rPr/>
      </w:pPr>
      <w:r>
        <w:rPr/>
        <w:t>Frank Stabler – President and Chief Operating Officer</w:t>
      </w:r>
    </w:p>
    <w:p>
      <w:pPr>
        <w:pStyle w:val="Heading1"/>
        <w:rPr/>
      </w:pPr>
      <w:r>
        <w:rPr/>
        <w:t>Frank Sayre – Vice President and General Counsel</w:t>
      </w:r>
    </w:p>
    <w:p>
      <w:pPr>
        <w:pStyle w:val="Normal"/>
        <w:rPr>
          <w:sz w:val="24"/>
        </w:rPr>
      </w:pPr>
      <w:r>
        <w:rPr>
          <w:sz w:val="24"/>
        </w:rPr>
      </w:r>
    </w:p>
    <w:p>
      <w:pPr>
        <w:pStyle w:val="Normal"/>
        <w:rPr>
          <w:sz w:val="24"/>
        </w:rPr>
      </w:pPr>
      <w:r>
        <w:rPr>
          <w:sz w:val="24"/>
        </w:rPr>
        <w:t>Enron Middle East LLC</w:t>
      </w:r>
    </w:p>
    <w:p>
      <w:pPr>
        <w:pStyle w:val="Heading4"/>
        <w:ind w:hanging="0" w:start="0"/>
        <w:rPr/>
      </w:pPr>
      <w:r>
        <w:rPr/>
        <w:t>Enron Global LNG LLC</w:t>
      </w:r>
    </w:p>
    <w:p>
      <w:pPr>
        <w:pStyle w:val="Normal"/>
        <w:rPr/>
      </w:pPr>
      <w:r>
        <w:rPr/>
      </w:r>
    </w:p>
    <w:p>
      <w:pPr>
        <w:pStyle w:val="Heading3"/>
        <w:ind w:firstLine="360" w:start="0" w:end="0"/>
        <w:rPr/>
      </w:pPr>
      <w:r>
        <w:rPr/>
        <w:t>David L. Haug – Chairman and Chief Executive Officer</w:t>
        <w:tab/>
      </w:r>
    </w:p>
    <w:p>
      <w:pPr>
        <w:pStyle w:val="Normal"/>
        <w:ind w:hanging="360" w:start="360" w:end="0"/>
        <w:rPr>
          <w:sz w:val="24"/>
        </w:rPr>
      </w:pPr>
      <w:r>
        <w:rPr>
          <w:sz w:val="24"/>
        </w:rPr>
        <w:tab/>
        <w:t>Richard P. Bergsieker, President and Chief Operating Officer</w:t>
      </w:r>
    </w:p>
    <w:p>
      <w:pPr>
        <w:pStyle w:val="Normal"/>
        <w:ind w:hanging="360" w:start="360" w:end="0"/>
        <w:rPr>
          <w:sz w:val="24"/>
        </w:rPr>
      </w:pPr>
      <w:r>
        <w:rPr>
          <w:sz w:val="24"/>
        </w:rPr>
        <w:tab/>
        <w:t>David R. Rogers, Vice President and General Counsel</w:t>
        <w:tab/>
      </w:r>
    </w:p>
    <w:p>
      <w:pPr>
        <w:pStyle w:val="Normal"/>
        <w:rPr>
          <w:sz w:val="24"/>
        </w:rPr>
      </w:pPr>
      <w:r>
        <w:rPr>
          <w:sz w:val="24"/>
        </w:rPr>
      </w:r>
    </w:p>
    <w:p>
      <w:pPr>
        <w:pStyle w:val="Normal"/>
        <w:rPr/>
      </w:pPr>
      <w:r>
        <w:rPr/>
      </w:r>
    </w:p>
    <w:p>
      <w:pPr>
        <w:pStyle w:val="Normal"/>
        <w:rPr/>
      </w:pPr>
      <w:r>
        <w:rPr/>
        <w:tab/>
      </w:r>
    </w:p>
    <w:p>
      <w:pPr>
        <w:pStyle w:val="Normal"/>
        <w:rPr/>
      </w:pPr>
      <w:r>
        <w:rPr/>
        <w:tab/>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ind w:start="360" w:end="0"/>
        <w:rPr>
          <w:sz w:val="24"/>
        </w:rPr>
      </w:pPr>
      <w:r>
        <w:rPr>
          <w:sz w:val="24"/>
        </w:rPr>
      </w:r>
    </w:p>
    <w:p>
      <w:pPr>
        <w:pStyle w:val="Normal"/>
        <w:ind w:start="360" w:end="0"/>
        <w:rPr>
          <w:sz w:val="24"/>
        </w:rPr>
      </w:pPr>
      <w:r>
        <w:rPr>
          <w:sz w:val="24"/>
        </w:rPr>
      </w:r>
    </w:p>
    <w:p>
      <w:pPr>
        <w:pStyle w:val="Normal"/>
        <w:ind w:start="360" w:end="0"/>
        <w:rPr>
          <w:sz w:val="24"/>
        </w:rPr>
      </w:pPr>
      <w:r>
        <w:rPr>
          <w:sz w:val="24"/>
        </w:rPr>
      </w:r>
    </w:p>
    <w:sectPr>
      <w:footerReference w:type="default" r:id="rId3"/>
      <w:footerReference w:type="first" r:id="rId4"/>
      <w:type w:val="nextPage"/>
      <w:pgSz w:w="12240" w:h="15840"/>
      <w:pgMar w:left="1800" w:right="1800" w:gutter="0" w:header="0" w:top="1440" w:footer="72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/mnt/main-storage/datasets/enron-docs/doc/99dist011C.doc</w:t>
    </w:r>
    <w:r>
      <w:rPr>
        <w:sz w:val="16"/>
        <w:lang w:eastAsia="en-US"/>
      </w:rPr>
      <w:fldChar w:fldCharType="end"/>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64135"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O:\Legal\LSchuler\Hurricane\99dist011C.doc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2"/>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ind w:hanging="0" w:start="360" w:end="0"/>
      <w:outlineLvl w:val="0"/>
    </w:pPr>
    <w:rPr>
      <w:sz w:val="24"/>
    </w:rPr>
  </w:style>
  <w:style w:type="paragraph" w:styleId="Heading2">
    <w:name w:val="heading 2"/>
    <w:basedOn w:val="Normal"/>
    <w:next w:val="Normal"/>
    <w:qFormat/>
    <w:pPr>
      <w:keepNext w:val="true"/>
      <w:numPr>
        <w:ilvl w:val="1"/>
        <w:numId w:val="1"/>
      </w:numPr>
      <w:ind w:hanging="0" w:start="360" w:end="0"/>
      <w:outlineLvl w:val="1"/>
    </w:pPr>
    <w:rPr>
      <w:sz w:val="24"/>
      <w:u w:val="single"/>
    </w:rPr>
  </w:style>
  <w:style w:type="paragraph" w:styleId="Heading3">
    <w:name w:val="heading 3"/>
    <w:basedOn w:val="Normal"/>
    <w:next w:val="Normal"/>
    <w:qFormat/>
    <w:pPr>
      <w:keepNext w:val="true"/>
      <w:numPr>
        <w:ilvl w:val="2"/>
        <w:numId w:val="1"/>
      </w:numPr>
      <w:outlineLvl w:val="2"/>
    </w:pPr>
    <w:rPr>
      <w:sz w:val="24"/>
    </w:rPr>
  </w:style>
  <w:style w:type="paragraph" w:styleId="Heading4">
    <w:name w:val="heading 4"/>
    <w:basedOn w:val="Normal"/>
    <w:next w:val="Normal"/>
    <w:qFormat/>
    <w:pPr>
      <w:keepNext w:val="true"/>
      <w:numPr>
        <w:ilvl w:val="3"/>
        <w:numId w:val="1"/>
      </w:numPr>
      <w:outlineLvl w:val="3"/>
    </w:pPr>
    <w:rPr>
      <w:sz w:val="24"/>
      <w:u w:val="single"/>
    </w:rPr>
  </w:style>
  <w:style w:type="paragraph" w:styleId="Heading5">
    <w:name w:val="heading 5"/>
    <w:basedOn w:val="Normal"/>
    <w:next w:val="Normal"/>
    <w:qFormat/>
    <w:pPr>
      <w:keepNext w:val="true"/>
      <w:numPr>
        <w:ilvl w:val="4"/>
        <w:numId w:val="1"/>
      </w:numPr>
      <w:ind w:firstLine="360" w:start="0" w:end="0"/>
      <w:outlineLvl w:val="4"/>
    </w:pPr>
    <w:rPr>
      <w:sz w:val="24"/>
    </w:rPr>
  </w:style>
  <w:style w:type="paragraph" w:styleId="Heading6">
    <w:name w:val="heading 6"/>
    <w:basedOn w:val="Normal"/>
    <w:next w:val="Normal"/>
    <w:qFormat/>
    <w:pPr>
      <w:keepNext w:val="true"/>
      <w:numPr>
        <w:ilvl w:val="5"/>
        <w:numId w:val="1"/>
      </w:numPr>
      <w:outlineLvl w:val="5"/>
    </w:pPr>
    <w:rPr>
      <w:b/>
      <w:sz w:val="22"/>
    </w:rPr>
  </w:style>
  <w:style w:type="paragraph" w:styleId="Heading7">
    <w:name w:val="heading 7"/>
    <w:basedOn w:val="Normal"/>
    <w:next w:val="Normal"/>
    <w:qFormat/>
    <w:pPr>
      <w:keepNext w:val="true"/>
      <w:numPr>
        <w:ilvl w:val="6"/>
        <w:numId w:val="1"/>
      </w:numPr>
      <w:tabs>
        <w:tab w:val="clear" w:pos="720"/>
        <w:tab w:val="left" w:pos="1530" w:leader="none"/>
        <w:tab w:val="left" w:pos="5580" w:leader="none"/>
      </w:tabs>
      <w:spacing w:before="120" w:after="240"/>
      <w:jc w:val="end"/>
      <w:outlineLvl w:val="6"/>
    </w:pPr>
    <w:rPr>
      <w:b/>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4"/>
      <w:u w:val="single"/>
    </w:rPr>
  </w:style>
  <w:style w:type="paragraph" w:styleId="BodyText">
    <w:name w:val="Body Text"/>
    <w:basedOn w:val="Normal"/>
    <w:pPr>
      <w:tabs>
        <w:tab w:val="left" w:pos="720" w:leader="none"/>
        <w:tab w:val="left" w:pos="1530" w:leader="none"/>
        <w:tab w:val="left" w:pos="5040" w:leader="none"/>
        <w:tab w:val="left" w:pos="6480" w:leader="none"/>
      </w:tabs>
      <w:spacing w:before="120" w:after="0"/>
      <w:jc w:val="both"/>
    </w:pPr>
    <w:rPr>
      <w:sz w:val="24"/>
    </w:rPr>
  </w:style>
  <w:style w:type="paragraph" w:styleId="List">
    <w:name w:val="List"/>
    <w:basedOn w:val="BodyText"/>
    <w:pPr/>
    <w:rPr>
      <w:rFonts w:cs="NotoSans NF"/>
    </w:rPr>
  </w:style>
  <w:style w:type="paragraph" w:styleId="Caption">
    <w:name w:val="caption"/>
    <w:basedOn w:val="Normal"/>
    <w:next w:val="Normal"/>
    <w:qFormat/>
    <w:pPr>
      <w:tabs>
        <w:tab w:val="clear" w:pos="720"/>
        <w:tab w:val="left" w:pos="1530" w:leader="none"/>
        <w:tab w:val="left" w:pos="5040" w:leader="none"/>
        <w:tab w:val="left" w:pos="5580" w:leader="none"/>
      </w:tabs>
      <w:spacing w:before="120" w:after="240"/>
    </w:pPr>
    <w:rPr>
      <w:b/>
      <w:sz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2000-01-28T17:49:00Z</dcterms:created>
  <dc:creator>protmp4</dc:creator>
  <dc:description/>
  <dc:language>en-CA</dc:language>
  <cp:lastModifiedBy>Lance Schuler</cp:lastModifiedBy>
  <cp:lastPrinted>2000-01-31T15:05:00Z</cp:lastPrinted>
  <dcterms:modified xsi:type="dcterms:W3CDTF">2000-01-31T18:35:00Z</dcterms:modified>
  <cp:revision>7</cp:revision>
  <dc:subject/>
  <dc:title>1</dc:title>
</cp:coreProperties>
</file>