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emf" ContentType="image/x-emf"/>
  <Override PartName="/word/media/image2.emf" ContentType="image/x-emf"/>
  <Override PartName="/word/media/image3.emf" ContentType="image/x-emf"/>
  <Override PartName="/word/media/image4.emf" ContentType="image/x-emf"/>
  <Override PartName="/word/media/image5.emf" ContentType="image/x-emf"/>
  <Override PartName="/word/media/image6.emf" ContentType="image/x-emf"/>
  <Override PartName="/word/media/image7.emf" ContentType="image/x-emf"/>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footer6.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object w:dxaOrig="15360" w:dyaOrig="779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90.15pt;height:45.75pt" filled="f" o:ole="">
            <v:imagedata r:id="rId3" o:title=""/>
          </v:shape>
          <o:OLEObject Type="Embed" ProgID="" ShapeID="ole_rId2" DrawAspect="Content" ObjectID="_1183649622" r:id="rId2"/>
        </w:object>
      </w:r>
    </w:p>
    <w:p>
      <w:pPr>
        <w:pStyle w:val="Normal"/>
        <w:rPr/>
      </w:pPr>
      <w:r>
        <w:rPr/>
      </w:r>
    </w:p>
    <w:p>
      <w:pPr>
        <w:pStyle w:val="Normal"/>
        <w:jc w:val="center"/>
        <w:rPr>
          <w:b/>
          <w:bCs/>
          <w:sz w:val="48"/>
          <w:szCs w:val="48"/>
        </w:rPr>
      </w:pPr>
      <w:r>
        <w:rPr>
          <w:b/>
          <w:bCs/>
          <w:sz w:val="48"/>
          <w:szCs w:val="48"/>
        </w:rPr>
        <w:t>Poten &amp; Partners, Inc.</w:t>
      </w:r>
    </w:p>
    <w:p>
      <w:pPr>
        <w:pStyle w:val="Normal"/>
        <w:rPr>
          <w:b/>
          <w:bCs/>
          <w:sz w:val="48"/>
          <w:szCs w:val="48"/>
        </w:rPr>
      </w:pPr>
      <w:r>
        <w:rPr>
          <w:b/>
          <w:bCs/>
          <w:sz w:val="48"/>
          <w:szCs w:val="48"/>
        </w:rPr>
      </w:r>
    </w:p>
    <w:p>
      <w:pPr>
        <w:pStyle w:val="Normal"/>
        <w:jc w:val="center"/>
        <w:rPr>
          <w:b/>
          <w:bCs/>
          <w:sz w:val="28"/>
          <w:szCs w:val="28"/>
        </w:rPr>
      </w:pPr>
      <w:r>
        <w:rPr>
          <w:b/>
          <w:bCs/>
          <w:sz w:val="28"/>
          <w:szCs w:val="28"/>
        </w:rPr>
        <w:t>FUEL OIL IN WORLD MARKETS</w:t>
      </w:r>
    </w:p>
    <w:p>
      <w:pPr>
        <w:pStyle w:val="Normal"/>
        <w:jc w:val="center"/>
        <w:rPr>
          <w:b/>
          <w:bCs/>
          <w:sz w:val="28"/>
          <w:szCs w:val="28"/>
        </w:rPr>
      </w:pPr>
      <w:r>
        <w:rPr>
          <w:b/>
          <w:bCs/>
          <w:sz w:val="28"/>
          <w:szCs w:val="28"/>
        </w:rPr>
      </w:r>
    </w:p>
    <w:p>
      <w:pPr>
        <w:pStyle w:val="Normal"/>
        <w:jc w:val="center"/>
        <w:rPr>
          <w:b/>
          <w:bCs/>
          <w:sz w:val="28"/>
          <w:szCs w:val="28"/>
        </w:rPr>
      </w:pPr>
      <w:r>
        <w:rPr>
          <w:b/>
          <w:bCs/>
          <w:sz w:val="28"/>
          <w:szCs w:val="28"/>
        </w:rPr>
      </w:r>
    </w:p>
    <w:p>
      <w:pPr>
        <w:pStyle w:val="Normal"/>
        <w:jc w:val="center"/>
        <w:rPr>
          <w:b/>
          <w:bCs/>
          <w:sz w:val="28"/>
          <w:szCs w:val="28"/>
        </w:rPr>
      </w:pPr>
      <w:r>
        <w:rPr>
          <w:b/>
          <w:bCs/>
          <w:sz w:val="28"/>
          <w:szCs w:val="28"/>
        </w:rPr>
        <w:t>September 1999</w:t>
      </w:r>
    </w:p>
    <w:p>
      <w:pPr>
        <w:pStyle w:val="Normal"/>
        <w:jc w:val="center"/>
        <w:rPr>
          <w:b/>
          <w:bCs/>
          <w:sz w:val="28"/>
          <w:szCs w:val="28"/>
        </w:rPr>
      </w:pPr>
      <w:r>
        <w:rPr>
          <w:b/>
          <w:bCs/>
          <w:sz w:val="28"/>
          <w:szCs w:val="28"/>
        </w:rPr>
      </w:r>
    </w:p>
    <w:p>
      <w:pPr>
        <w:pStyle w:val="Normal"/>
        <w:jc w:val="center"/>
        <w:rPr>
          <w:b/>
          <w:bCs/>
          <w:sz w:val="28"/>
          <w:szCs w:val="28"/>
        </w:rPr>
      </w:pPr>
      <w:r>
        <w:rPr>
          <w:b/>
          <w:bCs/>
          <w:sz w:val="28"/>
          <w:szCs w:val="28"/>
        </w:rPr>
      </w:r>
    </w:p>
    <w:p>
      <w:pPr>
        <w:pStyle w:val="Normal"/>
        <w:jc w:val="center"/>
        <w:rPr>
          <w:b/>
          <w:bCs/>
          <w:sz w:val="28"/>
          <w:szCs w:val="28"/>
        </w:rPr>
      </w:pPr>
      <w:r>
        <w:rPr>
          <w:b/>
          <w:bCs/>
          <w:sz w:val="28"/>
          <w:szCs w:val="28"/>
        </w:rPr>
      </w:r>
    </w:p>
    <w:p>
      <w:pPr>
        <w:pStyle w:val="Normal"/>
        <w:jc w:val="center"/>
        <w:rPr/>
      </w:pPr>
      <w:r>
        <w:rPr>
          <w:b/>
          <w:bCs/>
          <w:sz w:val="28"/>
          <w:szCs w:val="28"/>
        </w:rPr>
        <w:t>A Monthly Report</w:t>
        <w:br/>
        <w:br/>
        <w:t>Providing Market Intelligence and Pricing Outlook</w:t>
        <w:br/>
      </w:r>
      <w:r>
        <w:rPr/>
        <w:br/>
      </w:r>
      <w:r>
        <w:rPr>
          <w:b/>
          <w:bCs/>
          <w:sz w:val="28"/>
          <w:szCs w:val="28"/>
        </w:rPr>
        <w:t>by the Consulting Department</w:t>
      </w:r>
    </w:p>
    <w:p>
      <w:pPr>
        <w:pStyle w:val="Normal"/>
        <w:rPr>
          <w:b/>
          <w:bCs/>
          <w:sz w:val="28"/>
          <w:szCs w:val="28"/>
        </w:rPr>
      </w:pPr>
      <w:r>
        <w:rPr>
          <w:b/>
          <w:bCs/>
          <w:sz w:val="28"/>
          <w:szCs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bCs/>
          <w:sz w:val="28"/>
          <w:szCs w:val="28"/>
        </w:rPr>
      </w:pPr>
      <w:r>
        <w:rPr>
          <w:b/>
          <w:bCs/>
          <w:sz w:val="28"/>
          <w:szCs w:val="28"/>
        </w:rPr>
        <w:t>Premium</w:t>
      </w:r>
    </w:p>
    <w:p>
      <w:pPr>
        <w:pStyle w:val="Normal"/>
        <w:jc w:val="center"/>
        <w:rPr>
          <w:b/>
          <w:bCs/>
          <w:sz w:val="28"/>
          <w:szCs w:val="28"/>
        </w:rPr>
      </w:pPr>
      <w:r>
        <w:rPr>
          <w:b/>
          <w:bCs/>
          <w:sz w:val="28"/>
          <w:szCs w:val="28"/>
        </w:rPr>
        <w:t>Edition</w:t>
      </w:r>
    </w:p>
    <w:p>
      <w:pPr>
        <w:pStyle w:val="Normal"/>
        <w:rPr>
          <w:b/>
          <w:bCs/>
          <w:sz w:val="28"/>
          <w:szCs w:val="28"/>
        </w:rPr>
      </w:pPr>
      <w:r>
        <w:rPr>
          <w:b/>
          <w:bCs/>
          <w:sz w:val="28"/>
          <w:szCs w:val="28"/>
        </w:rPr>
      </w:r>
    </w:p>
    <w:p>
      <w:pPr>
        <w:pStyle w:val="Normal"/>
        <w:rPr/>
      </w:pPr>
      <w:r>
        <w:rPr/>
      </w:r>
    </w:p>
    <w:p>
      <w:pPr>
        <w:pStyle w:val="Normal"/>
        <w:rPr/>
      </w:pPr>
      <w:r>
        <w:rPr/>
      </w:r>
    </w:p>
    <w:p>
      <w:pPr>
        <w:pStyle w:val="editorialinfo"/>
        <w:spacing w:before="240" w:after="0"/>
        <w:rPr/>
      </w:pPr>
      <w:r>
        <w:rPr/>
        <w:t xml:space="preserve">Research: </w:t>
        <w:br/>
        <w:t>Lawrence Axelrod (212) 230-2038</w:t>
        <w:br/>
        <w:t>Jack Coursen (212) 230-2074</w:t>
        <w:br/>
        <w:t>Don Wessel (212) 230-2082</w:t>
        <w:br/>
        <w:t>Subscriptions:  Barbara J. Metzger (212) 230-2063</w:t>
        <w:br/>
        <w:t>885 Third Avenue, New York, NY 10022-4875</w:t>
      </w:r>
    </w:p>
    <w:p>
      <w:pPr>
        <w:pStyle w:val="editorialinfo"/>
        <w:rPr/>
      </w:pPr>
      <w:r>
        <w:rPr/>
        <w:t>http://www.poten.com</w:t>
        <w:br/>
        <w:t>Fax:  (212) 355-0295</w:t>
      </w:r>
      <w:r>
        <w:br w:type="page"/>
      </w:r>
    </w:p>
    <w:p>
      <w:pPr>
        <w:pStyle w:val="editorialinfo"/>
        <w:rPr/>
      </w:pPr>
      <w:r>
        <w:rPr/>
      </w:r>
    </w:p>
    <w:p>
      <w:pPr>
        <w:pStyle w:val="Normal"/>
        <w:rPr/>
      </w:pPr>
      <w:r>
        <w:rPr/>
      </w:r>
    </w:p>
    <w:p>
      <w:pPr>
        <w:pStyle w:val="Normal"/>
        <w:rPr/>
      </w:pPr>
      <w:r>
        <w:rPr/>
      </w:r>
    </w:p>
    <w:p>
      <w:pPr>
        <w:pStyle w:val="Normal"/>
        <w:jc w:val="center"/>
        <w:rPr>
          <w:b/>
          <w:bCs/>
          <w:sz w:val="28"/>
          <w:szCs w:val="28"/>
        </w:rPr>
      </w:pPr>
      <w:r>
        <w:rPr>
          <w:b/>
          <w:bCs/>
          <w:sz w:val="28"/>
          <w:szCs w:val="28"/>
        </w:rPr>
        <w:t>Poten &amp; Partners, Inc.</w:t>
        <w:br/>
        <w:br/>
        <w:t>FUEL OIL IN WORLD MARKETS</w:t>
        <w:br/>
        <w:br/>
        <w:t>September 1999</w:t>
      </w:r>
    </w:p>
    <w:p>
      <w:pPr>
        <w:pStyle w:val="TOC4"/>
        <w:rPr>
          <w:b/>
          <w:bCs/>
          <w:sz w:val="28"/>
          <w:szCs w:val="28"/>
        </w:rPr>
      </w:pPr>
      <w:r>
        <w:rPr>
          <w:b/>
          <w:bCs/>
          <w:sz w:val="28"/>
          <w:szCs w:val="28"/>
        </w:rPr>
      </w:r>
    </w:p>
    <w:sdt>
      <w:sdtPr>
        <w:docPartObj>
          <w:docPartGallery w:val="Table of Contents"/>
          <w:docPartUnique w:val="true"/>
        </w:docPartObj>
      </w:sdtPr>
      <w:sdtContent>
        <w:p>
          <w:pPr>
            <w:pStyle w:val="TOC1"/>
            <w:rPr/>
          </w:pPr>
          <w:r>
            <w:fldChar w:fldCharType="begin"/>
          </w:r>
          <w:r>
            <w:rPr/>
            <w:instrText xml:space="preserve"> TOC \n "1-2" \* MERGEFORMAT </w:instrText>
          </w:r>
          <w:r>
            <w:rPr/>
            <w:fldChar w:fldCharType="separate"/>
          </w:r>
          <w:r>
            <w:rPr/>
            <w:t>Part I:  CURRENT SCENE</w:t>
          </w:r>
        </w:p>
        <w:p>
          <w:pPr>
            <w:pStyle w:val="TOC3"/>
            <w:rPr/>
          </w:pPr>
          <w:r>
            <w:rPr/>
            <w:t>NNPC Awards Fuel Oil Contracts</w:t>
            <w:tab/>
          </w:r>
          <w:r>
            <w:fldChar w:fldCharType="begin"/>
          </w:r>
          <w:r>
            <w:rPr/>
            <w:instrText xml:space="preserve"> GOTOBUTTON _Toc465062593  </w:instrText>
          </w:r>
          <w:r>
            <w:rPr/>
          </w:r>
          <w:r>
            <w:rPr/>
            <w:fldChar w:fldCharType="separate"/>
          </w:r>
          <w:r>
            <w:rPr/>
          </w:r>
          <w:r/>
          <w:r>
            <w:rPr/>
            <w:fldChar w:fldCharType="end"/>
          </w:r>
          <w:r>
            <w:rPr/>
          </w:r>
        </w:p>
        <w:p>
          <w:pPr>
            <w:pStyle w:val="TOC3"/>
            <w:rPr/>
          </w:pPr>
          <w:r>
            <w:rPr/>
            <w:t>Romanian Utility Enters Waterborne Cargo Market after Hiatus</w:t>
            <w:tab/>
          </w:r>
          <w:r>
            <w:fldChar w:fldCharType="begin"/>
          </w:r>
          <w:r>
            <w:rPr/>
            <w:instrText xml:space="preserve"> GOTOBUTTON _Toc465062594  </w:instrText>
          </w:r>
          <w:r>
            <w:rPr/>
          </w:r>
          <w:r>
            <w:rPr/>
            <w:fldChar w:fldCharType="separate"/>
          </w:r>
          <w:r>
            <w:rPr/>
          </w:r>
          <w:r/>
          <w:r>
            <w:rPr/>
            <w:fldChar w:fldCharType="end"/>
          </w:r>
          <w:r>
            <w:rPr/>
          </w:r>
        </w:p>
        <w:p>
          <w:pPr>
            <w:pStyle w:val="TOC3"/>
            <w:rPr/>
          </w:pPr>
          <w:r>
            <w:rPr/>
            <w:t>TotalFina Aims to Increase Term Sales of Fuel Oil Exports in Europe</w:t>
            <w:tab/>
          </w:r>
          <w:r>
            <w:fldChar w:fldCharType="begin"/>
          </w:r>
          <w:r>
            <w:rPr/>
            <w:instrText xml:space="preserve"> GOTOBUTTON _Toc465062595  </w:instrText>
          </w:r>
          <w:r>
            <w:rPr/>
          </w:r>
          <w:r>
            <w:rPr/>
            <w:fldChar w:fldCharType="separate"/>
          </w:r>
          <w:r>
            <w:rPr/>
          </w:r>
          <w:r/>
          <w:r>
            <w:rPr/>
            <w:fldChar w:fldCharType="end"/>
          </w:r>
          <w:r>
            <w:rPr/>
          </w:r>
        </w:p>
        <w:p>
          <w:pPr>
            <w:pStyle w:val="TOC3"/>
            <w:rPr/>
          </w:pPr>
          <w:r>
            <w:rPr/>
            <w:t>New Chilean Bunkering Operation to Use Imported Product</w:t>
            <w:tab/>
          </w:r>
          <w:r>
            <w:fldChar w:fldCharType="begin"/>
          </w:r>
          <w:r>
            <w:rPr/>
            <w:instrText xml:space="preserve"> GOTOBUTTON _Toc465062596  </w:instrText>
          </w:r>
          <w:r>
            <w:rPr/>
          </w:r>
          <w:r>
            <w:rPr/>
            <w:fldChar w:fldCharType="separate"/>
          </w:r>
          <w:r>
            <w:rPr/>
          </w:r>
          <w:r/>
          <w:r>
            <w:rPr/>
            <w:fldChar w:fldCharType="end"/>
          </w:r>
          <w:r>
            <w:rPr/>
          </w:r>
        </w:p>
        <w:p>
          <w:pPr>
            <w:pStyle w:val="TOC3"/>
            <w:rPr/>
          </w:pPr>
          <w:r>
            <w:rPr/>
            <w:t>SK Affiliate Wins Two Term Contracts for Bunker Fuel Supply</w:t>
            <w:tab/>
          </w:r>
          <w:r>
            <w:fldChar w:fldCharType="begin"/>
          </w:r>
          <w:r>
            <w:rPr/>
            <w:instrText xml:space="preserve"> GOTOBUTTON _Toc465062597  </w:instrText>
          </w:r>
          <w:r>
            <w:rPr/>
          </w:r>
          <w:r>
            <w:rPr/>
            <w:fldChar w:fldCharType="separate"/>
          </w:r>
          <w:r>
            <w:rPr/>
          </w:r>
          <w:r/>
          <w:r>
            <w:rPr/>
            <w:fldChar w:fldCharType="end"/>
          </w:r>
          <w:r>
            <w:rPr/>
          </w:r>
        </w:p>
        <w:p>
          <w:pPr>
            <w:pStyle w:val="TOC3"/>
            <w:rPr/>
          </w:pPr>
          <w:r>
            <w:rPr/>
            <w:t>Mexican Utility Converting Big Plant from Resid to Coal/Resid Capability</w:t>
            <w:tab/>
          </w:r>
          <w:r>
            <w:fldChar w:fldCharType="begin"/>
          </w:r>
          <w:r>
            <w:rPr/>
            <w:instrText xml:space="preserve"> GOTOBUTTON _Toc465062598  </w:instrText>
          </w:r>
          <w:r>
            <w:rPr/>
          </w:r>
          <w:r>
            <w:rPr/>
            <w:fldChar w:fldCharType="separate"/>
          </w:r>
          <w:r>
            <w:rPr/>
          </w:r>
          <w:r/>
          <w:r>
            <w:rPr/>
            <w:fldChar w:fldCharType="end"/>
          </w:r>
          <w:r>
            <w:rPr/>
          </w:r>
        </w:p>
        <w:p>
          <w:pPr>
            <w:pStyle w:val="TOC3"/>
            <w:rPr/>
          </w:pPr>
          <w:r>
            <w:rPr/>
            <w:t>Puerto Rican Refinery Selling Fuel Oil for Export and Local Market</w:t>
            <w:tab/>
          </w:r>
          <w:r>
            <w:fldChar w:fldCharType="begin"/>
          </w:r>
          <w:r>
            <w:rPr/>
            <w:instrText xml:space="preserve"> GOTOBUTTON _Toc465062599  </w:instrText>
          </w:r>
          <w:r>
            <w:rPr/>
          </w:r>
          <w:r>
            <w:rPr/>
            <w:fldChar w:fldCharType="separate"/>
          </w:r>
          <w:r>
            <w:rPr/>
          </w:r>
          <w:r/>
          <w:r>
            <w:rPr/>
            <w:fldChar w:fldCharType="end"/>
          </w:r>
          <w:r>
            <w:rPr/>
          </w:r>
        </w:p>
        <w:p>
          <w:pPr>
            <w:pStyle w:val="TOC3"/>
            <w:rPr/>
          </w:pPr>
          <w:r>
            <w:rPr/>
            <w:t>Nigeria Refinery Privatization Dead for Now</w:t>
            <w:tab/>
          </w:r>
          <w:r>
            <w:fldChar w:fldCharType="begin"/>
          </w:r>
          <w:r>
            <w:rPr/>
            <w:instrText xml:space="preserve"> GOTOBUTTON _Toc465062600  </w:instrText>
          </w:r>
          <w:r>
            <w:rPr/>
          </w:r>
          <w:r>
            <w:rPr/>
            <w:fldChar w:fldCharType="separate"/>
          </w:r>
          <w:r>
            <w:rPr/>
          </w:r>
          <w:r/>
          <w:r>
            <w:rPr/>
            <w:fldChar w:fldCharType="end"/>
          </w:r>
          <w:r>
            <w:rPr/>
          </w:r>
        </w:p>
        <w:p>
          <w:pPr>
            <w:pStyle w:val="TOC3"/>
            <w:rPr/>
          </w:pPr>
          <w:r>
            <w:rPr/>
            <w:t>IPE Fuel Oil Futures Contract Facing Initial Skepticism</w:t>
            <w:tab/>
          </w:r>
          <w:r>
            <w:fldChar w:fldCharType="begin"/>
          </w:r>
          <w:r>
            <w:rPr/>
            <w:instrText xml:space="preserve"> GOTOBUTTON _Toc465062601  </w:instrText>
          </w:r>
          <w:r>
            <w:rPr/>
          </w:r>
          <w:r>
            <w:rPr/>
            <w:fldChar w:fldCharType="separate"/>
          </w:r>
          <w:r>
            <w:rPr/>
          </w:r>
          <w:r/>
          <w:r>
            <w:rPr/>
            <w:fldChar w:fldCharType="end"/>
          </w:r>
          <w:r>
            <w:rPr/>
          </w:r>
        </w:p>
        <w:p>
          <w:pPr>
            <w:pStyle w:val="TOC3"/>
            <w:rPr/>
          </w:pPr>
          <w:r>
            <w:rPr/>
            <w:t>US Residual Fuel Oil Imports Below 1998 Levels</w:t>
            <w:tab/>
          </w:r>
          <w:r>
            <w:fldChar w:fldCharType="begin"/>
          </w:r>
          <w:r>
            <w:rPr/>
            <w:instrText xml:space="preserve"> GOTOBUTTON _Toc465062602  </w:instrText>
          </w:r>
          <w:r>
            <w:rPr/>
          </w:r>
          <w:r>
            <w:rPr/>
            <w:fldChar w:fldCharType="separate"/>
          </w:r>
          <w:r>
            <w:rPr/>
          </w:r>
          <w:r/>
          <w:r>
            <w:rPr/>
            <w:fldChar w:fldCharType="end"/>
          </w:r>
          <w:r>
            <w:rPr/>
          </w:r>
        </w:p>
        <w:p>
          <w:pPr>
            <w:pStyle w:val="TOC4"/>
            <w:rPr/>
          </w:pPr>
          <w:r>
            <w:rPr/>
            <w:t>Table I-A:  Fuel Oil Cargo Prices (US$/Barrel)</w:t>
            <w:tab/>
          </w:r>
          <w:r>
            <w:fldChar w:fldCharType="begin"/>
          </w:r>
          <w:r>
            <w:rPr/>
            <w:instrText xml:space="preserve"> GOTOBUTTON _Toc465062603  </w:instrText>
          </w:r>
          <w:r>
            <w:rPr/>
          </w:r>
          <w:r>
            <w:rPr/>
            <w:fldChar w:fldCharType="separate"/>
          </w:r>
          <w:r>
            <w:rPr/>
          </w:r>
          <w:r/>
          <w:r>
            <w:rPr/>
            <w:fldChar w:fldCharType="end"/>
          </w:r>
          <w:r>
            <w:rPr/>
          </w:r>
        </w:p>
        <w:p>
          <w:pPr>
            <w:pStyle w:val="TOC4"/>
            <w:rPr/>
          </w:pPr>
          <w:r>
            <w:rPr/>
            <w:t>Table I-B:  Fuel Oil Cargo Prices (US$/Metric Tons)</w:t>
            <w:tab/>
          </w:r>
          <w:r>
            <w:fldChar w:fldCharType="begin"/>
          </w:r>
          <w:r>
            <w:rPr/>
            <w:instrText xml:space="preserve"> GOTOBUTTON _Toc465062604  </w:instrText>
          </w:r>
          <w:r>
            <w:rPr/>
          </w:r>
          <w:r>
            <w:rPr/>
            <w:fldChar w:fldCharType="separate"/>
          </w:r>
          <w:r>
            <w:rPr/>
          </w:r>
          <w:r/>
          <w:r>
            <w:rPr/>
            <w:fldChar w:fldCharType="end"/>
          </w:r>
          <w:r>
            <w:rPr/>
          </w:r>
        </w:p>
        <w:p>
          <w:pPr>
            <w:pStyle w:val="TOC4"/>
            <w:rPr/>
          </w:pPr>
          <w:r>
            <w:rPr/>
            <w:t>Table I-C:  Recent Spot 380 cSt Bunker Prices (US$/Metric Ton)</w:t>
            <w:tab/>
          </w:r>
          <w:r>
            <w:fldChar w:fldCharType="begin"/>
          </w:r>
          <w:r>
            <w:rPr/>
            <w:instrText xml:space="preserve"> GOTOBUTTON _Toc465062605  </w:instrText>
          </w:r>
          <w:r>
            <w:rPr/>
          </w:r>
          <w:r>
            <w:rPr/>
            <w:fldChar w:fldCharType="separate"/>
          </w:r>
          <w:r>
            <w:rPr/>
          </w:r>
          <w:r/>
          <w:r>
            <w:rPr/>
            <w:fldChar w:fldCharType="end"/>
          </w:r>
          <w:r>
            <w:rPr/>
          </w:r>
        </w:p>
        <w:p>
          <w:pPr>
            <w:pStyle w:val="TOC4"/>
            <w:rPr/>
          </w:pPr>
          <w:r>
            <w:rPr/>
            <w:t>Table I-D:  Recent Spot Freight Costs of Fuel Oil</w:t>
            <w:tab/>
          </w:r>
          <w:r>
            <w:fldChar w:fldCharType="begin"/>
          </w:r>
          <w:r>
            <w:rPr/>
            <w:instrText xml:space="preserve"> GOTOBUTTON _Toc465062606  </w:instrText>
          </w:r>
          <w:r>
            <w:rPr/>
          </w:r>
          <w:r>
            <w:rPr/>
            <w:fldChar w:fldCharType="separate"/>
          </w:r>
          <w:r>
            <w:rPr/>
          </w:r>
          <w:r/>
          <w:r>
            <w:rPr/>
            <w:fldChar w:fldCharType="end"/>
          </w:r>
          <w:r>
            <w:rPr/>
          </w:r>
        </w:p>
        <w:p>
          <w:pPr>
            <w:pStyle w:val="TOC1"/>
            <w:rPr/>
          </w:pPr>
          <w:r>
            <w:rPr/>
            <w:t>Part II:  PRICING OUTLOOK</w:t>
          </w:r>
        </w:p>
        <w:p>
          <w:pPr>
            <w:pStyle w:val="TOC3"/>
            <w:rPr/>
          </w:pPr>
          <w:r>
            <w:rPr/>
            <w:t>Crude Oil</w:t>
            <w:tab/>
          </w:r>
          <w:r>
            <w:fldChar w:fldCharType="begin"/>
          </w:r>
          <w:r>
            <w:rPr/>
            <w:instrText xml:space="preserve"> GOTOBUTTON _Toc465062607  </w:instrText>
          </w:r>
          <w:r>
            <w:rPr/>
          </w:r>
          <w:r>
            <w:rPr/>
            <w:fldChar w:fldCharType="separate"/>
          </w:r>
          <w:r>
            <w:rPr/>
          </w:r>
          <w:r/>
          <w:r>
            <w:rPr/>
            <w:fldChar w:fldCharType="end"/>
          </w:r>
          <w:r>
            <w:rPr/>
          </w:r>
        </w:p>
        <w:p>
          <w:pPr>
            <w:pStyle w:val="TOC3"/>
            <w:rPr/>
          </w:pPr>
          <w:r>
            <w:rPr/>
            <w:t>Fuel Oil Relationships to Crude</w:t>
            <w:tab/>
          </w:r>
          <w:r>
            <w:fldChar w:fldCharType="begin"/>
          </w:r>
          <w:r>
            <w:rPr/>
            <w:instrText xml:space="preserve"> GOTOBUTTON _Toc465062608  </w:instrText>
          </w:r>
          <w:r>
            <w:rPr/>
          </w:r>
          <w:r>
            <w:rPr/>
            <w:fldChar w:fldCharType="separate"/>
          </w:r>
          <w:r>
            <w:rPr/>
          </w:r>
          <w:r/>
          <w:r>
            <w:rPr/>
            <w:fldChar w:fldCharType="end"/>
          </w:r>
          <w:r>
            <w:rPr/>
          </w:r>
        </w:p>
        <w:p>
          <w:pPr>
            <w:pStyle w:val="TOC4"/>
            <w:rPr/>
          </w:pPr>
          <w:r>
            <w:rPr/>
            <w:t>Figure II-A:  Spot Crude Oil Prices</w:t>
            <w:tab/>
          </w:r>
          <w:r>
            <w:fldChar w:fldCharType="begin"/>
          </w:r>
          <w:r>
            <w:rPr/>
            <w:instrText xml:space="preserve"> GOTOBUTTON _Toc465062609  </w:instrText>
          </w:r>
          <w:r>
            <w:rPr/>
          </w:r>
          <w:r>
            <w:rPr/>
            <w:fldChar w:fldCharType="separate"/>
          </w:r>
          <w:r>
            <w:rPr/>
          </w:r>
          <w:r/>
          <w:r>
            <w:rPr/>
            <w:fldChar w:fldCharType="end"/>
          </w:r>
          <w:r>
            <w:rPr/>
          </w:r>
        </w:p>
        <w:p>
          <w:pPr>
            <w:pStyle w:val="TOC4"/>
            <w:rPr/>
          </w:pPr>
          <w:r>
            <w:rPr/>
            <w:t>Figure II-B:  Spot New York Harbor Resid Prices</w:t>
            <w:tab/>
          </w:r>
          <w:r>
            <w:fldChar w:fldCharType="begin"/>
          </w:r>
          <w:r>
            <w:rPr/>
            <w:instrText xml:space="preserve"> GOTOBUTTON _Toc465062610  </w:instrText>
          </w:r>
          <w:r>
            <w:rPr/>
          </w:r>
          <w:r>
            <w:rPr/>
            <w:fldChar w:fldCharType="separate"/>
          </w:r>
          <w:r>
            <w:rPr/>
          </w:r>
          <w:r/>
          <w:r>
            <w:rPr/>
            <w:fldChar w:fldCharType="end"/>
          </w:r>
          <w:r>
            <w:rPr/>
          </w:r>
        </w:p>
        <w:p>
          <w:pPr>
            <w:pStyle w:val="TOC4"/>
            <w:rPr/>
          </w:pPr>
          <w:r>
            <w:rPr/>
            <w:t>Figure II-C:  Spot Caribbean Resid Values and Crude Oil Prices</w:t>
            <w:tab/>
          </w:r>
          <w:r>
            <w:fldChar w:fldCharType="begin"/>
          </w:r>
          <w:r>
            <w:rPr/>
            <w:instrText xml:space="preserve"> GOTOBUTTON _Toc465062611  </w:instrText>
          </w:r>
          <w:r>
            <w:rPr/>
          </w:r>
          <w:r>
            <w:rPr/>
            <w:fldChar w:fldCharType="separate"/>
          </w:r>
          <w:r>
            <w:rPr/>
          </w:r>
          <w:r/>
          <w:r>
            <w:rPr/>
            <w:fldChar w:fldCharType="end"/>
          </w:r>
          <w:r>
            <w:rPr/>
          </w:r>
        </w:p>
        <w:p>
          <w:pPr>
            <w:pStyle w:val="TOC4"/>
            <w:rPr/>
          </w:pPr>
          <w:r>
            <w:rPr/>
            <w:t>Figure II-D:  Spot Northwest Europe Resid and Crude Oil Prices</w:t>
            <w:tab/>
          </w:r>
          <w:r>
            <w:fldChar w:fldCharType="begin"/>
          </w:r>
          <w:r>
            <w:rPr/>
            <w:instrText xml:space="preserve"> GOTOBUTTON _Toc465062612  </w:instrText>
          </w:r>
          <w:r>
            <w:rPr/>
          </w:r>
          <w:r>
            <w:rPr/>
            <w:fldChar w:fldCharType="separate"/>
          </w:r>
          <w:r>
            <w:rPr/>
          </w:r>
          <w:r/>
          <w:r>
            <w:rPr/>
            <w:fldChar w:fldCharType="end"/>
          </w:r>
          <w:r>
            <w:rPr/>
          </w:r>
        </w:p>
        <w:p>
          <w:pPr>
            <w:pStyle w:val="TOC4"/>
            <w:rPr/>
          </w:pPr>
          <w:r>
            <w:rPr/>
            <w:t>Figure II-E:  Mediterranean Resid and Crude Oil Prices</w:t>
            <w:tab/>
          </w:r>
          <w:r>
            <w:fldChar w:fldCharType="begin"/>
          </w:r>
          <w:r>
            <w:rPr/>
            <w:instrText xml:space="preserve"> GOTOBUTTON _Toc465062613  </w:instrText>
          </w:r>
          <w:r>
            <w:rPr/>
          </w:r>
          <w:r>
            <w:rPr/>
            <w:fldChar w:fldCharType="separate"/>
          </w:r>
          <w:r>
            <w:rPr/>
          </w:r>
          <w:r/>
          <w:r>
            <w:rPr/>
            <w:fldChar w:fldCharType="end"/>
          </w:r>
          <w:r>
            <w:rPr/>
          </w:r>
        </w:p>
        <w:p>
          <w:pPr>
            <w:pStyle w:val="TOC4"/>
            <w:rPr/>
          </w:pPr>
          <w:r>
            <w:rPr/>
            <w:t>Figure II-F:  Spot Singapore Resid and Crude Oil Prices</w:t>
            <w:tab/>
          </w:r>
          <w:r>
            <w:fldChar w:fldCharType="begin"/>
          </w:r>
          <w:r>
            <w:rPr/>
            <w:instrText xml:space="preserve"> GOTOBUTTON _Toc465062614  </w:instrText>
          </w:r>
          <w:r>
            <w:rPr/>
          </w:r>
          <w:r>
            <w:rPr/>
            <w:fldChar w:fldCharType="separate"/>
          </w:r>
          <w:r>
            <w:rPr/>
          </w:r>
          <w:r/>
          <w:r>
            <w:rPr/>
            <w:fldChar w:fldCharType="end"/>
          </w:r>
          <w:r>
            <w:rPr/>
          </w:r>
        </w:p>
        <w:p>
          <w:pPr>
            <w:pStyle w:val="TOC1"/>
            <w:rPr/>
          </w:pPr>
          <w:r>
            <w:rPr/>
            <w:t>Part III:  SPECIAL FEATURE</w:t>
          </w:r>
        </w:p>
        <w:p>
          <w:pPr>
            <w:pStyle w:val="TOC4"/>
            <w:rPr/>
          </w:pPr>
          <w:r>
            <w:rPr/>
            <w:t>Patterns of Fuel Oil Trade in the Western Hemisphere</w:t>
            <w:tab/>
          </w:r>
          <w:r>
            <w:fldChar w:fldCharType="begin"/>
          </w:r>
          <w:r>
            <w:rPr/>
            <w:instrText xml:space="preserve"> GOTOBUTTON _Toc465062615  </w:instrText>
          </w:r>
          <w:r>
            <w:rPr/>
          </w:r>
          <w:r>
            <w:rPr/>
            <w:fldChar w:fldCharType="separate"/>
          </w:r>
          <w:r>
            <w:rPr/>
          </w:r>
          <w:r/>
          <w:r>
            <w:rPr/>
            <w:fldChar w:fldCharType="end"/>
          </w:r>
          <w:r>
            <w:rPr/>
          </w:r>
          <w:r>
            <w:rPr/>
            <w:fldChar w:fldCharType="end"/>
          </w:r>
        </w:p>
      </w:sdtContent>
    </w:sdt>
    <w:p>
      <w:pPr>
        <w:sectPr>
          <w:footerReference w:type="default" r:id="rId4"/>
          <w:footerReference w:type="first" r:id="rId5"/>
          <w:type w:val="nextPage"/>
          <w:pgSz w:w="12240" w:h="15840"/>
          <w:pgMar w:left="1440" w:right="1440" w:gutter="0" w:header="0" w:top="1152" w:footer="576" w:bottom="1152"/>
          <w:pgNumType w:start="1" w:fmt="decimal"/>
          <w:formProt w:val="false"/>
          <w:titlePg/>
          <w:textDirection w:val="lrTb"/>
        </w:sectPr>
        <w:pStyle w:val="TOC4"/>
        <w:numPr>
          <w:ilvl w:val="0"/>
          <w:numId w:val="0"/>
        </w:numPr>
        <w:rPr/>
      </w:pPr>
      <w:r>
        <w:rPr/>
      </w:r>
    </w:p>
    <w:p>
      <w:pPr>
        <w:pStyle w:val="Heading1"/>
        <w:ind w:hanging="0" w:start="0"/>
        <w:rPr/>
      </w:pPr>
      <w:r>
        <w:rPr/>
        <w:t>Part I:  CURRENT SCENE</w:t>
      </w:r>
    </w:p>
    <w:p>
      <w:pPr>
        <w:pStyle w:val="Heading3"/>
        <w:ind w:hanging="0" w:start="0"/>
        <w:rPr/>
      </w:pPr>
      <w:r>
        <w:rPr/>
        <w:t>NNPC Awards Fuel Oil Contracts</w:t>
      </w:r>
    </w:p>
    <w:p>
      <w:pPr>
        <w:pStyle w:val="Normal"/>
        <w:rPr/>
      </w:pPr>
      <w:r>
        <w:rPr/>
        <w:t>The Nigerian National Petroleum Company (NNPC) has apparently awarded one year contracts to six companies for the purchase of Nigeria’s residual fuel oil exports.  Contracts were awarded to Addax, Calson, First Fuels, Koch, Novarco, and Vitol.  All of the awardees except Koch, have historically lifted residual fuel oil from Nigeria.</w:t>
      </w:r>
    </w:p>
    <w:p>
      <w:pPr>
        <w:pStyle w:val="Normal"/>
        <w:rPr/>
      </w:pPr>
      <w:r>
        <w:rPr/>
      </w:r>
    </w:p>
    <w:p>
      <w:pPr>
        <w:pStyle w:val="Normal"/>
        <w:rPr/>
      </w:pPr>
      <w:r>
        <w:rPr/>
        <w:t xml:space="preserve">The awards are for the October 1999 - September 2000 period.  Contracts are for 25-35 thousand tons per month.  Cargo sizes are typically 25-30 thousand tons each out of Port Harcourt with top-up potential via lightening up to 50 thousand tons.  </w:t>
      </w:r>
    </w:p>
    <w:p>
      <w:pPr>
        <w:pStyle w:val="Normal"/>
        <w:rPr/>
      </w:pPr>
      <w:r>
        <w:rPr/>
      </w:r>
    </w:p>
    <w:p>
      <w:pPr>
        <w:pStyle w:val="Normal"/>
        <w:rPr/>
      </w:pPr>
      <w:r>
        <w:rPr/>
        <w:t>Contract terms are based upon Platts’ New York Harbor 0.3%S Fuel Oil quotations less a freight element equivalent to Worldscale 235.  Contracts are believed to have a floor price of US$72 per metric ton FOB and a ceiling price of US$91 per metric ton FOB.</w:t>
      </w:r>
    </w:p>
    <w:p>
      <w:pPr>
        <w:pStyle w:val="Normal"/>
        <w:rPr/>
      </w:pPr>
      <w:r>
        <w:rPr/>
      </w:r>
    </w:p>
    <w:p>
      <w:pPr>
        <w:pStyle w:val="Normal"/>
        <w:rPr/>
      </w:pPr>
      <w:r>
        <w:rPr/>
        <w:t>Historically, Nigerian fuel oil has found its way into the US East Coast utility markets, US Gulf Coast feedstock markets and occasionally the European utility markets.</w:t>
      </w:r>
    </w:p>
    <w:p>
      <w:pPr>
        <w:pStyle w:val="Normal"/>
        <w:rPr/>
      </w:pPr>
      <w:r>
        <w:rPr/>
      </w:r>
    </w:p>
    <w:p>
      <w:pPr>
        <w:pStyle w:val="Normal"/>
        <w:rPr/>
      </w:pPr>
      <w:r>
        <w:rPr/>
        <w:t>NNPC is hoping to export some 250 thousand tons per month of residual fuel oil.  The level of fuel oil exports are dependent upon Nigeria’s ability to keep its refineries operating.  Historically, NNPC’s refineries have had poor operating rate histories.  However, all refineries and crackers in NNPC’s system are reported to be operating at least as of late September.</w:t>
      </w:r>
    </w:p>
    <w:p>
      <w:pPr>
        <w:pStyle w:val="Normal"/>
        <w:rPr/>
      </w:pPr>
      <w:r>
        <w:rPr/>
      </w:r>
    </w:p>
    <w:p>
      <w:pPr>
        <w:pStyle w:val="Normal"/>
        <w:rPr/>
      </w:pPr>
      <w:r>
        <w:rPr/>
        <w:t xml:space="preserve">Crude Oil contracts have also been awarded, please see Crude Oil Section in </w:t>
      </w:r>
      <w:r>
        <w:rPr>
          <w:i/>
          <w:iCs/>
        </w:rPr>
        <w:t>Part II:  Pricing Overview.</w:t>
      </w:r>
    </w:p>
    <w:p>
      <w:pPr>
        <w:pStyle w:val="Heading3"/>
        <w:ind w:hanging="0" w:start="0"/>
        <w:rPr/>
      </w:pPr>
      <w:r>
        <w:rPr/>
        <w:t>Romanian Utility Enters Waterborne Cargo Market after Hiatus</w:t>
      </w:r>
    </w:p>
    <w:p>
      <w:pPr>
        <w:pStyle w:val="Normal"/>
        <w:rPr/>
      </w:pPr>
      <w:r>
        <w:rPr/>
        <w:t xml:space="preserve">After a lengthy hiatus, Conel, the state-owned utility of Romania, is entering the fuel oil market for waterborne cargoes.  Conel plans to buy one cargo a month in fourth quarter 1999.  The preferred cargo size is 50-60,000 tons.  Conel has frame contracts with five suppliers (including Vitol, Glencore, and Galaxy) for waterborne cargoes.  Prices are linked to Platt’s HSFO Mediterranean quotations.  </w:t>
      </w:r>
    </w:p>
    <w:p>
      <w:pPr>
        <w:pStyle w:val="Normal"/>
        <w:rPr/>
      </w:pPr>
      <w:r>
        <w:rPr/>
      </w:r>
    </w:p>
    <w:p>
      <w:pPr>
        <w:pStyle w:val="Normal"/>
        <w:rPr/>
      </w:pPr>
      <w:r>
        <w:rPr/>
        <w:t>A number of factors are serving to depress Conel’s waterborne fuel oil requirements.  For one, poor economic conditions have had a negative impact on electricity demand.  For another, Conel is receiving natural gas from Russia under firm contracts.</w:t>
      </w:r>
    </w:p>
    <w:p>
      <w:pPr>
        <w:pStyle w:val="Normal"/>
        <w:rPr/>
      </w:pPr>
      <w:r>
        <w:rPr/>
      </w:r>
    </w:p>
    <w:p>
      <w:pPr>
        <w:pStyle w:val="Normal"/>
        <w:rPr/>
      </w:pPr>
      <w:r>
        <w:rPr/>
        <w:t xml:space="preserve">Another factor affecting waterborne imports is the availability of rail-borne imports.  Similar to the quantity of seaborne imports, Conel expects to receive 50-60,000 tons of fuel oil by rail per month over the fourth quarter.  Rail-borne imports originate in Russia as well as Belarus and Ukraine. </w:t>
      </w:r>
    </w:p>
    <w:p>
      <w:pPr>
        <w:pStyle w:val="Normal"/>
        <w:rPr/>
      </w:pPr>
      <w:r>
        <w:rPr/>
      </w:r>
    </w:p>
    <w:p>
      <w:pPr>
        <w:pStyle w:val="Normal"/>
        <w:rPr/>
      </w:pPr>
      <w:r>
        <w:rPr/>
        <w:t xml:space="preserve">The last time Conel imported fuel oil was in February 1999.  At that time, Conel imported an estimated 400,000 tons of fuel oil by sea (see </w:t>
      </w:r>
      <w:r>
        <w:rPr>
          <w:i/>
          <w:iCs/>
        </w:rPr>
        <w:t>Fuel Oil in World Markets</w:t>
      </w:r>
      <w:r>
        <w:rPr/>
        <w:t>, February 1999, pp. 2-3).</w:t>
      </w:r>
    </w:p>
    <w:p>
      <w:pPr>
        <w:pStyle w:val="Heading3"/>
        <w:ind w:hanging="0" w:start="0"/>
        <w:rPr/>
      </w:pPr>
      <w:r>
        <w:rPr/>
        <w:t>TotalFina Aims to Increase Term Sales of Fuel Oil Exports in Europe</w:t>
      </w:r>
    </w:p>
    <w:p>
      <w:pPr>
        <w:pStyle w:val="Normal"/>
        <w:rPr/>
      </w:pPr>
      <w:r>
        <w:rPr/>
        <w:t>TotalFina remains dedicated to Total’s pre-merger strategy of selling a rising portion of resid cargo exports on a term basis.  Of TotalFina’s roughly 325,000 tons a month of resid cargo exports from European refineries, approximately 135,000 tons a month (or 42 percent) is currently being sold on a term basis.  Term sales include an aggregate 100,000 tons a month to three companies — Enel, Itochu, and Sempra — under contracts signed by Total in 1999.  The remaining 35,000 tons a month reflects a Fina term deal inherited by TotalFina.</w:t>
      </w:r>
    </w:p>
    <w:p>
      <w:pPr>
        <w:pStyle w:val="Normal"/>
        <w:rPr/>
      </w:pPr>
      <w:r>
        <w:rPr/>
      </w:r>
    </w:p>
    <w:p>
      <w:pPr>
        <w:pStyle w:val="Normal"/>
        <w:rPr/>
      </w:pPr>
      <w:r>
        <w:rPr/>
        <w:t>TotalFina is supplying Italy’s Enel approximately 35,000 tons a month of 3.5%S, high-density fuel oil.  The fuel oil has maximum specific gravity of 1.035 max. The contract runs from May 1, 1999 to December 31, 1999.  The resid is being sold on an ex-ship basis.  The price is tied to the monthly average of CIF Mediterranean HSFO quotations.</w:t>
      </w:r>
    </w:p>
    <w:p>
      <w:pPr>
        <w:pStyle w:val="Normal"/>
        <w:rPr/>
      </w:pPr>
      <w:r>
        <w:rPr/>
      </w:r>
    </w:p>
    <w:p>
      <w:pPr>
        <w:pStyle w:val="Normal"/>
        <w:rPr/>
      </w:pPr>
      <w:r>
        <w:rPr/>
        <w:t xml:space="preserve">In a deal with Itochu of Japan, Total agreed to supply 25,000 tons a month of high-sulfur, high-density fuel oil.  The fuel oil, which is being sold on an FOB basis, is for use by Allround Fuel Trading in the Rotterdam bunker market.  Prices are based on quotes for FOB Northwest Europe cargoes of high-sulfur fuel oil.  The contract runs from </w:t>
        <w:br/>
        <w:t xml:space="preserve">March 1, 1999 to December 31, 1999.  Itochu has a half-interest in Chemoil which purchased a half-interest in Allround last year (see </w:t>
      </w:r>
      <w:r>
        <w:rPr>
          <w:i/>
          <w:iCs/>
        </w:rPr>
        <w:t>Fuel Oil in World Markets</w:t>
      </w:r>
      <w:r>
        <w:rPr/>
        <w:t>, November 1998, p. 7).</w:t>
      </w:r>
    </w:p>
    <w:p>
      <w:pPr>
        <w:pStyle w:val="Normal"/>
        <w:rPr/>
      </w:pPr>
      <w:r>
        <w:rPr/>
      </w:r>
    </w:p>
    <w:p>
      <w:pPr>
        <w:pStyle w:val="Normal"/>
        <w:rPr/>
      </w:pPr>
      <w:r>
        <w:rPr/>
        <w:t>TotalFina is supplying Sempra, an international trading company, with 40,000 tons of a month 1%S fuel oil. The material is being sold on an FOB basis.  The price is based on quotations for FOB Northwest Europe 1%S resid.  The one-year contract with Sempra began this past spring.</w:t>
      </w:r>
    </w:p>
    <w:p>
      <w:pPr>
        <w:pStyle w:val="Normal"/>
        <w:rPr/>
      </w:pPr>
      <w:r>
        <w:rPr/>
      </w:r>
    </w:p>
    <w:p>
      <w:pPr>
        <w:pStyle w:val="Normal"/>
        <w:rPr/>
      </w:pPr>
      <w:r>
        <w:rPr/>
        <w:t xml:space="preserve">In addition to the three Total-originated  term deals, TotalFina inherited a Fina contract with Enel for 35,000 tons a month.  Under the contract, TotalFina is supplying 1%S resid, with asphaltenes content of 6 percent maximum.  The contract runs from </w:t>
        <w:br/>
        <w:t>January 1, 1999 to December 31, 1999.</w:t>
      </w:r>
    </w:p>
    <w:p>
      <w:pPr>
        <w:pStyle w:val="Normal"/>
        <w:rPr/>
      </w:pPr>
      <w:r>
        <w:rPr/>
      </w:r>
    </w:p>
    <w:p>
      <w:pPr>
        <w:pStyle w:val="Normal"/>
        <w:rPr/>
      </w:pPr>
      <w:r>
        <w:rPr/>
        <w:t>The quest for term outlets for fuel oil reflects a desire by TotalFina (and earlier Total) to develop secure outlets and to sell on the basis of stable pricing mechanisms.  The TotalFina merger was consummated in July 1999.  Seeking to increase the proportion of term business in 2000, TotalFina is currently engaged in discussions with prospective clients.</w:t>
      </w:r>
    </w:p>
    <w:p>
      <w:pPr>
        <w:pStyle w:val="Normal"/>
        <w:rPr/>
      </w:pPr>
      <w:r>
        <w:rPr/>
      </w:r>
    </w:p>
    <w:p>
      <w:pPr>
        <w:pStyle w:val="Normal"/>
        <w:rPr/>
      </w:pPr>
      <w:r>
        <w:rPr/>
        <w:t>Total/Fina exports about 325,000 tons a month of cracked fuel oil that comes from six European refineries.  Three of the refineries are located in France (at or near Le Havre, Dunkirk, and La Mede).  The other three refineries are located in the UK (Immingham), the Netherlands (Flushing), and Belgium (Antwerp).</w:t>
      </w:r>
    </w:p>
    <w:p>
      <w:pPr>
        <w:pStyle w:val="Heading3"/>
        <w:ind w:hanging="0" w:start="0"/>
        <w:rPr/>
      </w:pPr>
      <w:r>
        <w:rPr/>
        <w:t>New Chilean Bunkering Operation to Use Imported Product</w:t>
      </w:r>
    </w:p>
    <w:p>
      <w:pPr>
        <w:pStyle w:val="Normal"/>
        <w:ind w:end="-90"/>
        <w:rPr/>
      </w:pPr>
      <w:r>
        <w:rPr/>
        <w:t>A new Chilean bunkering operation, based on imported fuel components, has begun to service customers.  The first cargo of imported fuel arrived in mid-August.  The ship was loaded with about 55,000 tons of fuel components.  The material was taken aboard in San Francisco, Los Angeles, and Panama.  The bunker operation, is being developed by Petroleos, Asfaltos y Combustibles SA (PACSA).  PACSA is owned 97 percent by Santiago-based Gener, the second largest power generating company in Chile.</w:t>
      </w:r>
    </w:p>
    <w:p>
      <w:pPr>
        <w:pStyle w:val="Normal"/>
        <w:rPr/>
      </w:pPr>
      <w:r>
        <w:rPr/>
      </w:r>
    </w:p>
    <w:p>
      <w:pPr>
        <w:pStyle w:val="Normal"/>
        <w:rPr/>
      </w:pPr>
      <w:r>
        <w:rPr/>
        <w:t>PACSA is offering bunkers ex-pipe at Puerto Ventanas and ex-ship.  For ship delivery, the operation is using a vessel, the “PACSA I” with 3,200 cubic meters capacity.  The “PACSA I“ bunkering vessel is capable of servicing ships calling on San Antonio, Valparaiso, and Los Vilos.  PACSA is storing and blending bunker fuel  in a newly constructed 610,000-barrel terminal at Puerto Ventanas.  In addition to the bunker fuel terminal</w:t>
      </w:r>
      <w:r>
        <w:rPr>
          <w:b/>
          <w:bCs/>
        </w:rPr>
        <w:t xml:space="preserve">, </w:t>
      </w:r>
      <w:r>
        <w:rPr/>
        <w:t>PACSA also owns a 310,000-barrel asphalt terminal.  PACSA has agreed to lease the asphalt terminal to the local Shell affiliate.</w:t>
      </w:r>
    </w:p>
    <w:p>
      <w:pPr>
        <w:pStyle w:val="Normal"/>
        <w:rPr>
          <w:b/>
          <w:bCs/>
        </w:rPr>
      </w:pPr>
      <w:r>
        <w:rPr>
          <w:b/>
          <w:bCs/>
        </w:rPr>
      </w:r>
    </w:p>
    <w:p>
      <w:pPr>
        <w:pStyle w:val="Normal"/>
        <w:rPr/>
      </w:pPr>
      <w:r>
        <w:rPr/>
        <w:t>In due course, PACSA hopes to double bunker sales in the central coast region from 300,000 tons a year to 600,000 tons a year.  The central Chilean bunker market consists of IFO (about 85 percent of bunker sales) and MDO (about 15 percent).</w:t>
      </w:r>
    </w:p>
    <w:p>
      <w:pPr>
        <w:pStyle w:val="Heading3"/>
        <w:ind w:hanging="0" w:start="0"/>
        <w:rPr/>
      </w:pPr>
      <w:r>
        <w:rPr/>
        <w:t>SK Affiliate Wins Two Term Contracts for Bunker Fuel Supply</w:t>
      </w:r>
    </w:p>
    <w:p>
      <w:pPr>
        <w:pStyle w:val="Normal"/>
        <w:rPr/>
      </w:pPr>
      <w:r>
        <w:rPr/>
        <w:t>New York-based SK Global America (SKGA) has recently been awarded term contracts for the supply of bunker fuel by the Defense Energy Supporting Center (DESC) of the US Defense Department and New Zealand-based Tasman Orient Line.  SKGA, a member of the SK group of South Korea, also holds term contracts for bunker supply to two US shipping companies — Stolt and Westwood.</w:t>
      </w:r>
    </w:p>
    <w:p>
      <w:pPr>
        <w:pStyle w:val="Normal"/>
        <w:rPr/>
      </w:pPr>
      <w:r>
        <w:rPr/>
      </w:r>
    </w:p>
    <w:p>
      <w:pPr>
        <w:pStyle w:val="Normal"/>
        <w:rPr/>
      </w:pPr>
      <w:r>
        <w:rPr/>
        <w:t>SK Global is supplying bunker fuel to the DESC under a two-year contract starting June 1, 1999.  The contract covers supply to US naval vessels at 10 ports (including Rotterdam, Singapore, Antwerp and Fujairah).  Under the contract, SKGA expects to deliver roughly 10,000 metric tons a month of bunker fuel.  The IFO portion is expected to be about 80-90 percent and the diesel portion about 10-20 percent.</w:t>
      </w:r>
    </w:p>
    <w:p>
      <w:pPr>
        <w:pStyle w:val="Normal"/>
        <w:rPr/>
      </w:pPr>
      <w:r>
        <w:rPr/>
      </w:r>
    </w:p>
    <w:p>
      <w:pPr>
        <w:pStyle w:val="Normal"/>
        <w:rPr/>
      </w:pPr>
      <w:r>
        <w:rPr/>
        <w:t>SK Global America is supplying bunker fuel Tasman Orient Line under a one-year contract starting September 1, 1999.  The contract covers supply to container ships calling on South Korean and other Far East ports (including Hong Kong and Singapore).  Under the term contract with Tasman Orient,  SKGA expects to deliver roughly 10,000 metric tons a month of bunker fuel.  The IFO portion is expected to be about 80-90 percent and the diesel portion about 10-20 percent.</w:t>
      </w:r>
    </w:p>
    <w:p>
      <w:pPr>
        <w:pStyle w:val="Heading3"/>
        <w:ind w:hanging="0" w:start="0"/>
        <w:rPr/>
      </w:pPr>
      <w:r>
        <w:rPr/>
        <w:t>Mexican Utility Converting Big Plant from Resid to Coal/Resid Capability</w:t>
      </w:r>
    </w:p>
    <w:p>
      <w:pPr>
        <w:pStyle w:val="Normal"/>
        <w:rPr/>
      </w:pPr>
      <w:r>
        <w:rPr/>
        <w:t>The Mexican state utility, Comission Federal de Electricidad (CFE), is in the process of converting a large resid-burning plant on the west coast to a coal/fuel oil facility. The plant (6 x 350 MW), located at Petacalco, is equipped with electrostatic precipitators.  There are no plans to equip the plant with scrubbers.</w:t>
      </w:r>
    </w:p>
    <w:p>
      <w:pPr>
        <w:pStyle w:val="Normal"/>
        <w:spacing w:before="240" w:after="0"/>
        <w:rPr/>
      </w:pPr>
      <w:r>
        <w:rPr/>
        <w:t>CFE plans to begin burning coal in two units by the end of 1999.  A second pair of units is scheduled to begin burning coal in mid-2000.  The third pair is scheduled to begin burning coal in mid-2001.</w:t>
      </w:r>
    </w:p>
    <w:p>
      <w:pPr>
        <w:pStyle w:val="Normal"/>
        <w:rPr/>
      </w:pPr>
      <w:r>
        <w:rPr/>
      </w:r>
    </w:p>
    <w:p>
      <w:pPr>
        <w:pStyle w:val="Normal"/>
        <w:rPr/>
      </w:pPr>
      <w:r>
        <w:rPr/>
        <w:t>In conjunction with ongoing conversions at Petacalco units, fuel oil consumption is expected to fall and then end entirely.  Petacalco is expected to burn 50-52,000 b/d  of fuel oil on average in 1999.  By year-end 2000, the burn will probably be about 30,000 b/d.  By year-end 2001, the plant is expected to burn only coal (barring a situation wherein fuel oil prices undercut coal prices).</w:t>
      </w:r>
    </w:p>
    <w:p>
      <w:pPr>
        <w:pStyle w:val="Normal"/>
        <w:rPr/>
      </w:pPr>
      <w:r>
        <w:rPr/>
      </w:r>
    </w:p>
    <w:p>
      <w:pPr>
        <w:pStyle w:val="Normal"/>
        <w:rPr/>
      </w:pPr>
      <w:r>
        <w:rPr/>
        <w:t>Petacalco will burn imported coal (maximum 1%S) received by ship.  The dock facility at Petacalco can handle maximum 120,000 dwt vessels.  It is expected that supply from South America will arrive in 50,000 ton shipments and from the Far East in 100,000 ton shipments.</w:t>
      </w:r>
    </w:p>
    <w:p>
      <w:pPr>
        <w:pStyle w:val="Normal"/>
        <w:rPr/>
      </w:pPr>
      <w:r>
        <w:rPr/>
      </w:r>
    </w:p>
    <w:p>
      <w:pPr>
        <w:pStyle w:val="Normal"/>
        <w:rPr/>
      </w:pPr>
      <w:r>
        <w:rPr/>
        <w:t>CFE has begun to buy coal for Petacalco on the basis of international tenders.  The tenders call for the sale of coal at a fixed price for the duration of a contract.  The sales price includes delivery of cargoes to Petacalco (before unloading).</w:t>
      </w:r>
    </w:p>
    <w:p>
      <w:pPr>
        <w:pStyle w:val="Heading3"/>
        <w:ind w:hanging="0" w:start="0"/>
        <w:rPr/>
      </w:pPr>
      <w:r>
        <w:rPr/>
        <w:t>Puerto Rican Refinery Selling Fuel Oil for Export and Local Market</w:t>
      </w:r>
    </w:p>
    <w:p>
      <w:pPr>
        <w:pStyle w:val="Normal"/>
        <w:rPr/>
      </w:pPr>
      <w:r>
        <w:rPr/>
        <w:t>The 50,000 b/d Bayamon refinery in Puerto Rico, owned by the Caribbean Petroleum Corp. (Capeco), is producing fuel oil for export and the local market.  The refinery has been producing for sale about 13,000 b/d of 2.1%S fuel oil.  Of that amount, Capeco has been exporting about 7,000 b/d and selling 6,000 b/d in the Puerto Rican market (inland and bunkers).  The exports, moving in 150-200,000 barrel lots have been staying in the Caribbean.  In the future, Capeco hopes to place an additional 3-4,000 b/d of Bayamon fuel oil in the local market.</w:t>
      </w:r>
    </w:p>
    <w:p>
      <w:pPr>
        <w:pStyle w:val="Normal"/>
        <w:rPr/>
      </w:pPr>
      <w:r>
        <w:rPr/>
      </w:r>
    </w:p>
    <w:p>
      <w:pPr>
        <w:pStyle w:val="Normal"/>
        <w:rPr/>
      </w:pPr>
      <w:r>
        <w:rPr/>
        <w:t xml:space="preserve">After several years of not operating, the Bayamon plant resumed operation in spring 1999 (see </w:t>
      </w:r>
      <w:r>
        <w:rPr>
          <w:i/>
          <w:iCs/>
        </w:rPr>
        <w:t>Fuel Oil in World Markets</w:t>
      </w:r>
      <w:r>
        <w:rPr/>
        <w:t>, April 1999, p. 2).  While operating problems forced the company to reduce crude runs in the summer, the refinery has lately been processing  about 40,000 b/d of Venezuelan crude.  In fall 1999, Capeco plans to produce about 1,000 b/d of asphalt for the local market . The plant has the capability of producing a maximum 4,000 b/d of asphalt.</w:t>
      </w:r>
    </w:p>
    <w:p>
      <w:pPr>
        <w:pStyle w:val="Normal"/>
        <w:rPr/>
      </w:pPr>
      <w:r>
        <w:rPr/>
      </w:r>
    </w:p>
    <w:p>
      <w:pPr>
        <w:pStyle w:val="Normal"/>
        <w:rPr/>
      </w:pPr>
      <w:r>
        <w:rPr/>
        <w:t xml:space="preserve">In addition to the Bayamon plant, the Sun refinery at Yabucoa also produces resid.  The Sun plant produces about 10,000 b/d of fuel oil for use in the local market.  </w:t>
      </w:r>
    </w:p>
    <w:p>
      <w:pPr>
        <w:pStyle w:val="Heading3"/>
        <w:ind w:hanging="0" w:start="0"/>
        <w:rPr/>
      </w:pPr>
      <w:r>
        <w:rPr/>
        <w:t>Nigeria Refinery Privatization Dead for Now</w:t>
      </w:r>
    </w:p>
    <w:p>
      <w:pPr>
        <w:pStyle w:val="Normal"/>
        <w:rPr/>
      </w:pPr>
      <w:r>
        <w:rPr/>
        <w:t xml:space="preserve">The on-again, off-again privatization of Nigeria’s four refineries seems to be off-again.  Nigeria has explored selling stakes in its refineries earlier this year and last year.  This followed reported attempts to get foreign operators interested in running the refineries under contract.  The privatization seems to be put on hold for the foreseeable future.  </w:t>
      </w:r>
    </w:p>
    <w:p>
      <w:pPr>
        <w:pStyle w:val="Normal"/>
        <w:rPr/>
      </w:pPr>
      <w:r>
        <w:rPr/>
      </w:r>
    </w:p>
    <w:p>
      <w:pPr>
        <w:pStyle w:val="Normal"/>
        <w:rPr/>
      </w:pPr>
      <w:r>
        <w:rPr/>
        <w:t>Nigeria’s refineries produce surplus residual fuel oil for the export market when they are operating.  Poor operating rates have historically plagued the facilities which has cut residual fuel exports, and more importantly, led to gasoline and other product shortages in the domestic market.</w:t>
      </w:r>
    </w:p>
    <w:p>
      <w:pPr>
        <w:pStyle w:val="Normal"/>
        <w:rPr/>
      </w:pPr>
      <w:r>
        <w:rPr/>
      </w:r>
    </w:p>
    <w:p>
      <w:pPr>
        <w:pStyle w:val="Normal"/>
        <w:rPr/>
      </w:pPr>
      <w:r>
        <w:rPr/>
        <w:t>Privatization was expected to lead to better operating performance in Nigeria’s existing refineries.  The new civilian government, however, is reportedly encouraging private investment in new refineries.</w:t>
      </w:r>
    </w:p>
    <w:p>
      <w:pPr>
        <w:pStyle w:val="Normal"/>
        <w:rPr/>
      </w:pPr>
      <w:r>
        <w:rPr/>
      </w:r>
    </w:p>
    <w:p>
      <w:pPr>
        <w:pStyle w:val="Normal"/>
        <w:rPr/>
      </w:pPr>
      <w:r>
        <w:rPr/>
        <w:t>It is unclear whether this new direction will be fruitful given the ongoing domestic difficulties there.  (See separate story on fuel oil export awards by NNPC.)</w:t>
      </w:r>
    </w:p>
    <w:p>
      <w:pPr>
        <w:pStyle w:val="Heading3"/>
        <w:ind w:hanging="0" w:start="0"/>
        <w:rPr/>
      </w:pPr>
      <w:r>
        <w:rPr/>
        <w:t>IPE Fuel Oil Futures Contract Facing Initial Skepticism</w:t>
      </w:r>
    </w:p>
    <w:p>
      <w:pPr>
        <w:pStyle w:val="Normal"/>
        <w:rPr/>
      </w:pPr>
      <w:r>
        <w:rPr/>
        <w:t xml:space="preserve">The International Petroleum Exchange (IPE) launched its new Fuel Oil futures contract on September 3rd after over a year of development effort by the exchange and industry participants.  The contract, is based on physical delivery of bunker specification fuel oil in the Amsterdam, Rotterdam, and Antwerp areas, and is designed to serve as a risk management tool for the oil industry.  Please refer to the July-August  1999 issue of </w:t>
      </w:r>
      <w:r>
        <w:rPr>
          <w:i/>
          <w:iCs/>
        </w:rPr>
        <w:t>Fuel Oil in World Markets</w:t>
      </w:r>
      <w:r>
        <w:rPr/>
        <w:t xml:space="preserve"> for contract details.</w:t>
      </w:r>
    </w:p>
    <w:p>
      <w:pPr>
        <w:pStyle w:val="Normal"/>
        <w:rPr/>
      </w:pPr>
      <w:r>
        <w:rPr/>
      </w:r>
    </w:p>
    <w:p>
      <w:pPr>
        <w:pStyle w:val="Normal"/>
        <w:rPr/>
      </w:pPr>
      <w:r>
        <w:rPr/>
        <w:t>On the opening day, a total of 200 contracts traded, with most activity concentrated in the spot, October contract.  While the opening day’s volume was higher than expected, many observers remained skeptical regarding the long term success of this new contract.  By the end of September, open interest totaled about 300 contracts, while daily volumes had declined significantly from opening day levels.  The bulk of open interest remained in the spot month with a minimal presence in the November contract.</w:t>
      </w:r>
    </w:p>
    <w:p>
      <w:pPr>
        <w:pStyle w:val="Normal"/>
        <w:rPr/>
      </w:pPr>
      <w:r>
        <w:rPr/>
      </w:r>
    </w:p>
    <w:p>
      <w:pPr>
        <w:pStyle w:val="Normal"/>
        <w:rPr/>
      </w:pPr>
      <w:r>
        <w:rPr/>
        <w:t>The past history of unsuccessful fuel oil futures contracts on the NYMEX, SIMEX, and IPE, does not bode well for this new futures contract.  It was envisioned that fuel oil market participants including traders, hedgers, refiners, bunker marketers, and shipping companies would actively use this new contract.  However, active fuel oil swaps markets in the US, Europe, and Asia, are viewed by many participants as perhaps better serving the needs of a hedger or speculator in the fuel oil market.</w:t>
      </w:r>
    </w:p>
    <w:p>
      <w:pPr>
        <w:pStyle w:val="Normal"/>
        <w:rPr/>
      </w:pPr>
      <w:r>
        <w:rPr/>
      </w:r>
    </w:p>
    <w:p>
      <w:pPr>
        <w:pStyle w:val="Normal"/>
        <w:rPr/>
      </w:pPr>
      <w:r>
        <w:rPr/>
        <w:t>While the jury is still out, the new IPE Fuel Oil contract will have to overcome past fuel oil future contract failures as well as competition from swaps markets in order to succeed.</w:t>
      </w:r>
    </w:p>
    <w:p>
      <w:pPr>
        <w:pStyle w:val="Heading3"/>
        <w:ind w:hanging="0" w:start="0"/>
        <w:rPr/>
      </w:pPr>
      <w:r>
        <w:rPr/>
        <w:t>US Residual Fuel Oil Imports Below 1998 Levels</w:t>
      </w:r>
    </w:p>
    <w:p>
      <w:pPr>
        <w:pStyle w:val="Normal"/>
        <w:rPr/>
      </w:pPr>
      <w:r>
        <w:rPr/>
        <w:t>US imports of residual fuel oil are running are estimated 236,000 b/d thru August of this year according to the US Department of Energy (EIA).  This is about 15% below 1998 levels for the same January - August period.  Last year’s imports were some 279,000 b/d for the same January - August period.  Imports for all of 1998 hit 275,000 b/d — the highest level since 1994.</w:t>
      </w:r>
    </w:p>
    <w:p>
      <w:pPr>
        <w:pStyle w:val="Normal"/>
        <w:rPr/>
      </w:pPr>
      <w:r>
        <w:rPr/>
      </w:r>
    </w:p>
    <w:p>
      <w:pPr>
        <w:pStyle w:val="Normal"/>
        <w:rPr/>
      </w:pPr>
      <w:r>
        <w:rPr/>
        <w:t xml:space="preserve">The US East Coast (PADD I) continues to dominate as destination for imports.  PADD I imports are about 193,000 b/d through July while the Gulf Coast took in almost all of the balance (40,000 b/d). </w:t>
      </w:r>
      <w:r>
        <w:br w:type="page"/>
      </w:r>
    </w:p>
    <w:p>
      <w:pPr>
        <w:pStyle w:val="Heading4"/>
        <w:ind w:hanging="0" w:start="0"/>
        <w:rPr/>
      </w:pPr>
      <w:r>
        <w:rPr/>
        <w:t>Table I-A:  Fuel Oil Cargo Prices</w:t>
        <w:br/>
        <w:t>(US$/Barrel)</w:t>
      </w:r>
    </w:p>
    <w:p>
      <w:pPr>
        <w:pStyle w:val="Normal"/>
        <w:rPr/>
      </w:pPr>
      <w:r>
        <w:rPr/>
      </w:r>
    </w:p>
    <w:p>
      <w:pPr>
        <w:sectPr>
          <w:headerReference w:type="default" r:id="rId6"/>
          <w:footerReference w:type="default" r:id="rId7"/>
          <w:footerReference w:type="first" r:id="rId8"/>
          <w:type w:val="nextPage"/>
          <w:pgSz w:w="12240" w:h="15840"/>
          <w:pgMar w:left="1440" w:right="1440" w:gutter="0" w:header="576" w:top="1152" w:footer="576" w:bottom="1152"/>
          <w:pgNumType w:start="1" w:fmt="decimal"/>
          <w:formProt w:val="false"/>
          <w:textDirection w:val="lrTb"/>
        </w:sectPr>
      </w:pPr>
    </w:p>
    <w:p>
      <w:pPr>
        <w:pStyle w:val="left-1ab"/>
        <w:rPr>
          <w:b/>
          <w:bCs/>
        </w:rPr>
      </w:pPr>
      <w:r>
        <w:rPr>
          <w:b/>
          <w:bCs/>
        </w:rPr>
        <w:t>Location</w:t>
      </w:r>
    </w:p>
    <w:p>
      <w:pPr>
        <w:pStyle w:val="left-1ab"/>
        <w:rPr/>
      </w:pPr>
      <w:r>
        <w:rPr/>
        <w:t>Grade of Resid</w:t>
        <w:br/>
        <w:br/>
      </w:r>
      <w:r>
        <w:rPr>
          <w:b/>
          <w:bCs/>
        </w:rPr>
        <w:t>New York Harbor</w:t>
      </w:r>
      <w:r>
        <w:rPr/>
        <w:br/>
        <w:t>No. 6 0.3%S HiPr</w:t>
        <w:br/>
        <w:t>No. 6 0.3%S LoPr</w:t>
        <w:br/>
        <w:t>No. 6 0.7%S Max</w:t>
        <w:br/>
        <w:t>No. 6 1.0%S Max</w:t>
        <w:br/>
        <w:t>No. 6 2.2%S Max</w:t>
        <w:br/>
        <w:t>No. 6 3.0%S Max</w:t>
        <w:br/>
        <w:br/>
      </w:r>
      <w:r>
        <w:rPr>
          <w:b/>
          <w:bCs/>
        </w:rPr>
        <w:t>Caribbean (FOB)</w:t>
      </w:r>
      <w:r>
        <w:rPr/>
        <w:br/>
        <w:t>No. 6 2.0%S</w:t>
        <w:br/>
        <w:t>No. 6 2.8%S</w:t>
        <w:br/>
        <w:br/>
      </w:r>
      <w:r>
        <w:rPr>
          <w:b/>
          <w:bCs/>
        </w:rPr>
        <w:t>US Gulf Coast</w:t>
      </w:r>
      <w:r>
        <w:rPr/>
        <w:br/>
        <w:t>No. 6 0.7%S</w:t>
        <w:br/>
        <w:t>No. 6 1.0%S 8 API</w:t>
        <w:br/>
        <w:t>No. 6 1.0%S 10.5 API</w:t>
      </w:r>
    </w:p>
    <w:p>
      <w:pPr>
        <w:pStyle w:val="left-1ab"/>
        <w:rPr/>
      </w:pPr>
      <w:r>
        <w:rPr/>
        <w:t>No. 6 3.0% S</w:t>
        <w:br/>
        <w:t>No. 6 3.5%S</w:t>
        <w:br/>
        <w:br/>
      </w:r>
      <w:r>
        <w:rPr>
          <w:b/>
          <w:bCs/>
        </w:rPr>
        <w:t>Northwest Europe (FOB)</w:t>
      </w:r>
      <w:r>
        <w:rPr/>
        <w:br/>
        <w:t>0.5 - 0.7% Straight Run</w:t>
      </w:r>
      <w:r>
        <w:rPr>
          <w:vertAlign w:val="superscript"/>
        </w:rPr>
        <w:t>a</w:t>
      </w:r>
      <w:r>
        <w:rPr/>
        <w:br/>
        <w:t>1.0% Fuel Oil</w:t>
      </w:r>
      <w:r>
        <w:rPr>
          <w:vertAlign w:val="superscript"/>
        </w:rPr>
        <w:t>b</w:t>
      </w:r>
      <w:r>
        <w:rPr/>
        <w:br/>
        <w:t>3.0% Fuel Oil</w:t>
      </w:r>
      <w:r>
        <w:rPr>
          <w:vertAlign w:val="superscript"/>
        </w:rPr>
        <w:t>c</w:t>
      </w:r>
      <w:r>
        <w:rPr/>
        <w:br/>
        <w:t>3.5% Fuel Oil</w:t>
      </w:r>
      <w:r>
        <w:rPr>
          <w:vertAlign w:val="superscript"/>
        </w:rPr>
        <w:t>c</w:t>
      </w:r>
      <w:r>
        <w:rPr/>
        <w:br/>
        <w:t>E4 Premium (CIF NWE)</w:t>
      </w:r>
      <w:r>
        <w:rPr>
          <w:vertAlign w:val="superscript"/>
        </w:rPr>
        <w:t>e</w:t>
      </w:r>
      <w:r>
        <w:rPr/>
        <w:br/>
        <w:br/>
      </w:r>
      <w:r>
        <w:rPr>
          <w:b/>
          <w:bCs/>
        </w:rPr>
        <w:t>Italy (FOB)</w:t>
      </w:r>
      <w:r>
        <w:rPr/>
        <w:br/>
        <w:t>1.0% Fuel Oil</w:t>
      </w:r>
      <w:r>
        <w:rPr>
          <w:vertAlign w:val="superscript"/>
        </w:rPr>
        <w:t>b</w:t>
      </w:r>
      <w:r>
        <w:rPr/>
        <w:br/>
        <w:t>3.5% Fuel Oil</w:t>
      </w:r>
      <w:r>
        <w:rPr>
          <w:vertAlign w:val="superscript"/>
        </w:rPr>
        <w:t>c</w:t>
        <w:br/>
      </w:r>
      <w:r>
        <w:rPr/>
        <w:t>M-40 Premium (CIF Med)</w:t>
      </w:r>
      <w:r>
        <w:rPr>
          <w:vertAlign w:val="superscript"/>
        </w:rPr>
        <w:t>e</w:t>
      </w:r>
      <w:r>
        <w:rPr/>
        <w:br/>
        <w:br/>
      </w:r>
      <w:r>
        <w:rPr>
          <w:b/>
          <w:bCs/>
        </w:rPr>
        <w:t>Arab Gulf (FOB)</w:t>
      </w:r>
      <w:r>
        <w:rPr/>
        <w:br/>
        <w:t>HSFO 180 cSt</w:t>
      </w:r>
      <w:r>
        <w:rPr>
          <w:vertAlign w:val="superscript"/>
        </w:rPr>
        <w:t>d</w:t>
      </w:r>
      <w:r>
        <w:rPr/>
        <w:br/>
        <w:br/>
      </w:r>
      <w:r>
        <w:rPr>
          <w:b/>
          <w:bCs/>
        </w:rPr>
        <w:t>Singapore</w:t>
      </w:r>
      <w:r>
        <w:rPr/>
        <w:br/>
        <w:t>HSFO 180 cSt</w:t>
      </w:r>
      <w:r>
        <w:rPr>
          <w:vertAlign w:val="superscript"/>
        </w:rPr>
        <w:t>e</w:t>
      </w:r>
      <w:r>
        <w:rPr/>
        <w:br/>
        <w:t>HSFO 380 cSt</w:t>
      </w:r>
      <w:r>
        <w:rPr>
          <w:vertAlign w:val="superscript"/>
        </w:rPr>
        <w:t>d</w:t>
      </w:r>
      <w:r>
        <w:rPr/>
        <w:br/>
        <w:t>LSWR Mixed/Cracked</w:t>
      </w:r>
    </w:p>
    <w:p>
      <w:pPr>
        <w:pStyle w:val="right-1ab"/>
        <w:rPr/>
      </w:pPr>
      <w:r>
        <w:rPr/>
      </w:r>
    </w:p>
    <w:p>
      <w:pPr>
        <w:pStyle w:val="right-1ab"/>
        <w:rPr/>
      </w:pPr>
      <w:r>
        <w:br w:type="column"/>
      </w:r>
      <w:r>
        <w:rPr/>
      </w:r>
    </w:p>
    <w:p>
      <w:pPr>
        <w:pStyle w:val="right-1ab"/>
        <w:rPr/>
      </w:pPr>
      <w:r>
        <w:rPr/>
        <w:tab/>
        <w:t xml:space="preserve">31-Aug-99 </w:t>
        <w:tab/>
        <w:t xml:space="preserve">07-Sep-99 </w:t>
        <w:tab/>
        <w:t xml:space="preserve">14-Sep-99 </w:t>
        <w:tab/>
        <w:t xml:space="preserve">21-Sep-99 </w:t>
        <w:tab/>
        <w:t xml:space="preserve">28-Sep-99 </w:t>
      </w:r>
    </w:p>
    <w:p>
      <w:pPr>
        <w:pStyle w:val="right-1ab"/>
        <w:rPr/>
      </w:pPr>
      <w:r>
        <w:rPr/>
        <w:tab/>
        <w:tab/>
        <w:tab/>
        <w:tab/>
        <w:tab/>
      </w:r>
    </w:p>
    <w:p>
      <w:pPr>
        <w:pStyle w:val="right-1ab"/>
        <w:rPr/>
      </w:pPr>
      <w:r>
        <w:rPr/>
        <w:tab/>
        <w:tab/>
        <w:tab/>
        <w:tab/>
        <w:tab/>
      </w:r>
    </w:p>
    <w:p>
      <w:pPr>
        <w:pStyle w:val="right-1ab"/>
        <w:rPr/>
      </w:pPr>
      <w:r>
        <w:rPr/>
        <w:tab/>
        <w:t xml:space="preserve">20.08 </w:t>
        <w:tab/>
        <w:t xml:space="preserve">20.63 </w:t>
        <w:tab/>
        <w:t xml:space="preserve">21.63 </w:t>
        <w:tab/>
        <w:t xml:space="preserve">22.03 </w:t>
        <w:tab/>
        <w:t xml:space="preserve">22.53 </w:t>
      </w:r>
    </w:p>
    <w:p>
      <w:pPr>
        <w:pStyle w:val="right-1ab"/>
        <w:rPr/>
      </w:pPr>
      <w:r>
        <w:rPr/>
        <w:tab/>
        <w:t xml:space="preserve">20.68 </w:t>
        <w:tab/>
        <w:t xml:space="preserve">21.23 </w:t>
        <w:tab/>
        <w:t xml:space="preserve">22.38 </w:t>
        <w:tab/>
        <w:t xml:space="preserve">22.63 </w:t>
        <w:tab/>
        <w:t xml:space="preserve">22.98 </w:t>
      </w:r>
    </w:p>
    <w:p>
      <w:pPr>
        <w:pStyle w:val="right-1ab"/>
        <w:rPr/>
      </w:pPr>
      <w:r>
        <w:rPr/>
        <w:tab/>
        <w:t xml:space="preserve">19.03 </w:t>
        <w:tab/>
        <w:t xml:space="preserve">18.93 </w:t>
        <w:tab/>
        <w:t xml:space="preserve">20.00 </w:t>
        <w:tab/>
        <w:t xml:space="preserve">20.28 </w:t>
        <w:tab/>
        <w:t xml:space="preserve">20.23 </w:t>
      </w:r>
    </w:p>
    <w:p>
      <w:pPr>
        <w:pStyle w:val="right-1ab"/>
        <w:rPr/>
      </w:pPr>
      <w:r>
        <w:rPr/>
        <w:tab/>
        <w:t xml:space="preserve">18.68 </w:t>
        <w:tab/>
        <w:t xml:space="preserve">18.68 </w:t>
        <w:tab/>
        <w:t xml:space="preserve">19.75 </w:t>
        <w:tab/>
        <w:t xml:space="preserve">19.75 </w:t>
        <w:tab/>
        <w:t xml:space="preserve">19.73 </w:t>
      </w:r>
    </w:p>
    <w:p>
      <w:pPr>
        <w:pStyle w:val="right-1ab"/>
        <w:rPr/>
      </w:pPr>
      <w:r>
        <w:rPr/>
        <w:tab/>
        <w:t xml:space="preserve">17.98 </w:t>
        <w:tab/>
        <w:t xml:space="preserve">18.18 </w:t>
        <w:tab/>
        <w:t xml:space="preserve">19.28 </w:t>
        <w:tab/>
        <w:t xml:space="preserve">19.28 </w:t>
        <w:tab/>
        <w:t xml:space="preserve">18.88 </w:t>
      </w:r>
    </w:p>
    <w:p>
      <w:pPr>
        <w:pStyle w:val="right-1ab"/>
        <w:rPr/>
      </w:pPr>
      <w:r>
        <w:rPr/>
        <w:tab/>
        <w:t xml:space="preserve">17.88 </w:t>
        <w:tab/>
        <w:t xml:space="preserve">18.13 </w:t>
        <w:tab/>
        <w:t xml:space="preserve">19.03 </w:t>
        <w:tab/>
        <w:t xml:space="preserve">19.03 </w:t>
        <w:tab/>
        <w:t xml:space="preserve">18.78 </w:t>
      </w:r>
    </w:p>
    <w:p>
      <w:pPr>
        <w:pStyle w:val="right-1ab"/>
        <w:rPr/>
      </w:pPr>
      <w:r>
        <w:rPr/>
        <w:tab/>
        <w:tab/>
        <w:tab/>
        <w:tab/>
        <w:tab/>
      </w:r>
    </w:p>
    <w:p>
      <w:pPr>
        <w:pStyle w:val="right-1ab"/>
        <w:rPr/>
      </w:pPr>
      <w:r>
        <w:rPr/>
        <w:tab/>
        <w:tab/>
        <w:tab/>
        <w:tab/>
        <w:tab/>
      </w:r>
    </w:p>
    <w:p>
      <w:pPr>
        <w:pStyle w:val="right-1ab"/>
        <w:rPr/>
      </w:pPr>
      <w:r>
        <w:rPr/>
        <w:tab/>
        <w:t xml:space="preserve">17.48 </w:t>
        <w:tab/>
        <w:t xml:space="preserve">17.68 </w:t>
        <w:tab/>
        <w:t xml:space="preserve">18.78 </w:t>
        <w:tab/>
        <w:t xml:space="preserve">18.78 </w:t>
        <w:tab/>
        <w:t xml:space="preserve">18.38 </w:t>
      </w:r>
    </w:p>
    <w:p>
      <w:pPr>
        <w:pStyle w:val="right-1ab"/>
        <w:rPr/>
      </w:pPr>
      <w:r>
        <w:rPr/>
        <w:tab/>
        <w:t xml:space="preserve">17.38 </w:t>
        <w:tab/>
        <w:t xml:space="preserve">17.40 </w:t>
        <w:tab/>
        <w:t xml:space="preserve">18.45 </w:t>
        <w:tab/>
        <w:t xml:space="preserve">18.53 </w:t>
        <w:tab/>
        <w:t xml:space="preserve">18.28 </w:t>
      </w:r>
    </w:p>
    <w:p>
      <w:pPr>
        <w:pStyle w:val="right-1ab"/>
        <w:rPr/>
      </w:pPr>
      <w:r>
        <w:rPr/>
        <w:tab/>
        <w:tab/>
        <w:tab/>
        <w:tab/>
        <w:tab/>
      </w:r>
    </w:p>
    <w:p>
      <w:pPr>
        <w:pStyle w:val="right-1ab"/>
        <w:rPr/>
      </w:pPr>
      <w:r>
        <w:rPr/>
        <w:tab/>
        <w:tab/>
        <w:tab/>
        <w:tab/>
        <w:tab/>
      </w:r>
    </w:p>
    <w:p>
      <w:pPr>
        <w:pStyle w:val="right-1ab"/>
        <w:rPr/>
      </w:pPr>
      <w:r>
        <w:rPr/>
        <w:tab/>
        <w:t xml:space="preserve">20.25 </w:t>
        <w:tab/>
        <w:t xml:space="preserve">19.85 </w:t>
        <w:tab/>
        <w:t xml:space="preserve">20.60 </w:t>
        <w:tab/>
        <w:t xml:space="preserve">20.60 </w:t>
        <w:tab/>
        <w:t xml:space="preserve">21.35 </w:t>
      </w:r>
    </w:p>
    <w:p>
      <w:pPr>
        <w:pStyle w:val="right-1ab"/>
        <w:rPr/>
      </w:pPr>
      <w:r>
        <w:rPr/>
        <w:tab/>
        <w:t xml:space="preserve">19.65 </w:t>
        <w:tab/>
        <w:t xml:space="preserve">19.25 </w:t>
        <w:tab/>
        <w:t xml:space="preserve">20.00 </w:t>
        <w:tab/>
        <w:t xml:space="preserve">20.00 </w:t>
        <w:tab/>
        <w:t xml:space="preserve">20.75 </w:t>
      </w:r>
    </w:p>
    <w:p>
      <w:pPr>
        <w:pStyle w:val="right-1ab"/>
        <w:rPr/>
      </w:pPr>
      <w:r>
        <w:rPr/>
        <w:tab/>
        <w:t xml:space="preserve">19.65 </w:t>
        <w:tab/>
        <w:t xml:space="preserve">19.25 </w:t>
        <w:tab/>
        <w:t xml:space="preserve">20.00 </w:t>
        <w:tab/>
        <w:t xml:space="preserve">20.00 </w:t>
        <w:tab/>
        <w:t xml:space="preserve">20.75 </w:t>
      </w:r>
    </w:p>
    <w:p>
      <w:pPr>
        <w:pStyle w:val="right-1ab"/>
        <w:rPr/>
      </w:pPr>
      <w:r>
        <w:rPr/>
        <w:tab/>
        <w:t xml:space="preserve">18.50 </w:t>
        <w:tab/>
        <w:t xml:space="preserve">18.00 </w:t>
        <w:tab/>
        <w:t xml:space="preserve">19.50 </w:t>
        <w:tab/>
        <w:t xml:space="preserve">19.23 </w:t>
        <w:tab/>
        <w:t xml:space="preserve">19.85 </w:t>
      </w:r>
    </w:p>
    <w:p>
      <w:pPr>
        <w:pStyle w:val="right-1ab"/>
        <w:rPr/>
      </w:pPr>
      <w:r>
        <w:rPr/>
        <w:tab/>
        <w:t xml:space="preserve">17.50 </w:t>
        <w:tab/>
        <w:t xml:space="preserve">17.75 </w:t>
        <w:tab/>
        <w:t xml:space="preserve">18.50 </w:t>
        <w:tab/>
        <w:t xml:space="preserve">18.25 </w:t>
        <w:tab/>
        <w:t xml:space="preserve">18.63 </w:t>
      </w:r>
    </w:p>
    <w:p>
      <w:pPr>
        <w:pStyle w:val="right-1ab"/>
        <w:rPr/>
      </w:pPr>
      <w:r>
        <w:rPr/>
        <w:tab/>
        <w:tab/>
        <w:tab/>
        <w:tab/>
        <w:tab/>
      </w:r>
    </w:p>
    <w:p>
      <w:pPr>
        <w:pStyle w:val="right-1ab"/>
        <w:rPr/>
      </w:pPr>
      <w:r>
        <w:rPr/>
        <w:tab/>
        <w:tab/>
        <w:tab/>
        <w:tab/>
        <w:tab/>
      </w:r>
    </w:p>
    <w:p>
      <w:pPr>
        <w:pStyle w:val="right-1ab"/>
        <w:rPr/>
      </w:pPr>
      <w:r>
        <w:rPr/>
        <w:tab/>
        <w:t xml:space="preserve">19.31 </w:t>
        <w:tab/>
        <w:t xml:space="preserve">19.54 </w:t>
        <w:tab/>
        <w:t xml:space="preserve">20.84 </w:t>
        <w:tab/>
        <w:t xml:space="preserve">21.15 </w:t>
        <w:tab/>
        <w:t xml:space="preserve">21.15 </w:t>
      </w:r>
    </w:p>
    <w:p>
      <w:pPr>
        <w:pStyle w:val="right-1ab"/>
        <w:rPr/>
      </w:pPr>
      <w:r>
        <w:rPr/>
        <w:tab/>
        <w:t xml:space="preserve">17.67 </w:t>
        <w:tab/>
        <w:t xml:space="preserve">16.90 </w:t>
        <w:tab/>
        <w:t xml:space="preserve">17.83 </w:t>
        <w:tab/>
        <w:t xml:space="preserve">18.06 </w:t>
        <w:tab/>
        <w:t xml:space="preserve">18.45 </w:t>
      </w:r>
    </w:p>
    <w:p>
      <w:pPr>
        <w:pStyle w:val="right-1ab"/>
        <w:rPr/>
      </w:pPr>
      <w:r>
        <w:rPr/>
        <w:tab/>
        <w:t xml:space="preserve">16.28 </w:t>
        <w:tab/>
        <w:t xml:space="preserve">15.73 </w:t>
        <w:tab/>
        <w:t xml:space="preserve">16.52 </w:t>
        <w:tab/>
        <w:t xml:space="preserve">17.00 </w:t>
        <w:tab/>
        <w:t xml:space="preserve">17.31 </w:t>
      </w:r>
    </w:p>
    <w:p>
      <w:pPr>
        <w:pStyle w:val="right-1ab"/>
        <w:rPr/>
      </w:pPr>
      <w:r>
        <w:rPr/>
        <w:tab/>
        <w:t xml:space="preserve">16.28 </w:t>
        <w:tab/>
        <w:t xml:space="preserve">15.73 </w:t>
        <w:tab/>
        <w:t xml:space="preserve">16.52 </w:t>
        <w:tab/>
        <w:t xml:space="preserve">17.00 </w:t>
        <w:tab/>
        <w:t xml:space="preserve">17.31 </w:t>
      </w:r>
    </w:p>
    <w:p>
      <w:pPr>
        <w:pStyle w:val="right-1ab"/>
        <w:rPr/>
      </w:pPr>
      <w:r>
        <w:rPr/>
        <w:tab/>
        <w:t xml:space="preserve">0.54 </w:t>
        <w:tab/>
        <w:t xml:space="preserve">0.31 </w:t>
        <w:tab/>
        <w:t xml:space="preserve">0.62 </w:t>
        <w:tab/>
        <w:t xml:space="preserve">1.08 </w:t>
        <w:tab/>
        <w:t xml:space="preserve">1.08 </w:t>
      </w:r>
    </w:p>
    <w:p>
      <w:pPr>
        <w:pStyle w:val="right-1ab"/>
        <w:rPr/>
      </w:pPr>
      <w:r>
        <w:rPr/>
        <w:tab/>
        <w:tab/>
        <w:tab/>
        <w:tab/>
        <w:tab/>
      </w:r>
    </w:p>
    <w:p>
      <w:pPr>
        <w:pStyle w:val="right-1ab"/>
        <w:rPr/>
      </w:pPr>
      <w:r>
        <w:rPr/>
        <w:tab/>
        <w:tab/>
        <w:tab/>
        <w:tab/>
        <w:tab/>
      </w:r>
    </w:p>
    <w:p>
      <w:pPr>
        <w:pStyle w:val="right-1ab"/>
        <w:rPr/>
      </w:pPr>
      <w:r>
        <w:rPr/>
        <w:tab/>
        <w:t xml:space="preserve">16.98 </w:t>
        <w:tab/>
        <w:t xml:space="preserve">17.83 </w:t>
        <w:tab/>
        <w:t xml:space="preserve">18.06 </w:t>
        <w:tab/>
        <w:t xml:space="preserve">18.06 </w:t>
        <w:tab/>
        <w:t xml:space="preserve">18.37 </w:t>
      </w:r>
    </w:p>
    <w:p>
      <w:pPr>
        <w:pStyle w:val="right-1ab"/>
        <w:rPr/>
      </w:pPr>
      <w:r>
        <w:rPr/>
        <w:tab/>
        <w:t xml:space="preserve">16.60 </w:t>
        <w:tab/>
        <w:t xml:space="preserve">17.23 </w:t>
        <w:tab/>
        <w:t xml:space="preserve">17.55 </w:t>
        <w:tab/>
        <w:t xml:space="preserve">17.55 </w:t>
        <w:tab/>
        <w:t xml:space="preserve">17.79 </w:t>
      </w:r>
    </w:p>
    <w:p>
      <w:pPr>
        <w:pStyle w:val="right-1ab"/>
        <w:rPr/>
      </w:pPr>
      <w:r>
        <w:rPr/>
        <w:tab/>
        <w:t xml:space="preserve">0.69 </w:t>
        <w:tab/>
        <w:t xml:space="preserve">0.69 </w:t>
        <w:tab/>
        <w:t xml:space="preserve">0.69 </w:t>
        <w:tab/>
        <w:t xml:space="preserve">0.69 </w:t>
        <w:tab/>
        <w:t xml:space="preserve">0.69 </w:t>
      </w:r>
    </w:p>
    <w:p>
      <w:pPr>
        <w:pStyle w:val="right-1ab"/>
        <w:rPr/>
      </w:pPr>
      <w:r>
        <w:rPr/>
        <w:tab/>
        <w:tab/>
        <w:tab/>
        <w:tab/>
        <w:tab/>
      </w:r>
    </w:p>
    <w:p>
      <w:pPr>
        <w:pStyle w:val="right-1ab"/>
        <w:rPr/>
      </w:pPr>
      <w:r>
        <w:rPr/>
        <w:tab/>
        <w:tab/>
        <w:tab/>
        <w:tab/>
        <w:tab/>
      </w:r>
    </w:p>
    <w:p>
      <w:pPr>
        <w:pStyle w:val="right-1ab"/>
        <w:rPr/>
      </w:pPr>
      <w:r>
        <w:rPr/>
        <w:tab/>
        <w:t xml:space="preserve">18.28 </w:t>
        <w:tab/>
        <w:t xml:space="preserve">18.31 </w:t>
        <w:tab/>
        <w:t xml:space="preserve">18.72 </w:t>
        <w:tab/>
        <w:t xml:space="preserve">18.88 </w:t>
        <w:tab/>
        <w:t xml:space="preserve">19.84 </w:t>
      </w:r>
    </w:p>
    <w:p>
      <w:pPr>
        <w:pStyle w:val="right-1ab"/>
        <w:rPr/>
      </w:pPr>
      <w:r>
        <w:rPr/>
        <w:tab/>
        <w:tab/>
        <w:tab/>
        <w:tab/>
        <w:tab/>
      </w:r>
    </w:p>
    <w:p>
      <w:pPr>
        <w:pStyle w:val="right-1ab"/>
        <w:rPr/>
      </w:pPr>
      <w:r>
        <w:rPr/>
        <w:tab/>
        <w:tab/>
        <w:tab/>
        <w:tab/>
        <w:tab/>
      </w:r>
    </w:p>
    <w:p>
      <w:pPr>
        <w:pStyle w:val="right-1ab"/>
        <w:rPr/>
      </w:pPr>
      <w:r>
        <w:rPr/>
        <w:tab/>
        <w:t xml:space="preserve">18.98 </w:t>
        <w:tab/>
        <w:t xml:space="preserve">19.00 </w:t>
        <w:tab/>
        <w:t xml:space="preserve">19.38 </w:t>
        <w:tab/>
        <w:t xml:space="preserve">19.58 </w:t>
        <w:tab/>
        <w:t xml:space="preserve">20.42 </w:t>
      </w:r>
    </w:p>
    <w:p>
      <w:pPr>
        <w:pStyle w:val="right-1ab"/>
        <w:rPr/>
      </w:pPr>
      <w:r>
        <w:rPr/>
        <w:tab/>
        <w:t xml:space="preserve">18.85 </w:t>
        <w:tab/>
        <w:t xml:space="preserve">18.98 </w:t>
        <w:tab/>
        <w:t xml:space="preserve">19.22 </w:t>
        <w:tab/>
        <w:t xml:space="preserve">19.41 </w:t>
        <w:tab/>
        <w:t xml:space="preserve">20.27 </w:t>
      </w:r>
    </w:p>
    <w:p>
      <w:pPr>
        <w:pStyle w:val="right-1ab"/>
        <w:rPr/>
      </w:pPr>
      <w:r>
        <w:rPr/>
        <w:tab/>
        <w:t xml:space="preserve">17.85 </w:t>
        <w:tab/>
        <w:t xml:space="preserve">18.20 </w:t>
        <w:tab/>
        <w:t xml:space="preserve">18.80 </w:t>
        <w:tab/>
        <w:t xml:space="preserve">18.75 </w:t>
        <w:tab/>
        <w:t>20.15</w:t>
      </w:r>
    </w:p>
    <w:p>
      <w:pPr>
        <w:sectPr>
          <w:type w:val="continuous"/>
          <w:pgSz w:w="12240" w:h="15840"/>
          <w:pgMar w:left="1440" w:right="1440" w:gutter="0" w:header="576" w:top="1152" w:footer="576" w:bottom="1152"/>
          <w:cols w:num="2" w:equalWidth="false" w:sep="false">
            <w:col w:w="2448" w:space="346"/>
            <w:col w:w="6566"/>
          </w:cols>
          <w:formProt w:val="false"/>
          <w:textDirection w:val="lrTb"/>
        </w:sectPr>
      </w:pPr>
    </w:p>
    <w:p>
      <w:pPr>
        <w:pStyle w:val="footnotesfortables"/>
        <w:rPr/>
      </w:pPr>
      <w:r>
        <w:rPr/>
        <w:t>Factors for converting to barrels from metric tons:</w:t>
      </w:r>
    </w:p>
    <w:p>
      <w:pPr>
        <w:pStyle w:val="footnotesfortables"/>
        <w:rPr/>
      </w:pPr>
      <w:r>
        <w:rPr/>
        <w:t>a</w:t>
        <w:tab/>
        <w:t>6.55</w:t>
        <w:tab/>
        <w:t>c</w:t>
        <w:tab/>
        <w:t>6.33</w:t>
        <w:tab/>
        <w:t>e</w:t>
        <w:tab/>
        <w:t>6.5</w:t>
        <w:br/>
        <w:t>b</w:t>
        <w:tab/>
        <w:t>6.45</w:t>
        <w:tab/>
        <w:t>d</w:t>
        <w:tab/>
        <w:t>6.4</w:t>
        <w:tab/>
      </w:r>
    </w:p>
    <w:p>
      <w:pPr>
        <w:pStyle w:val="footnotesfortables"/>
        <w:rPr/>
      </w:pPr>
      <w:r>
        <w:rPr/>
      </w:r>
    </w:p>
    <w:p>
      <w:pPr>
        <w:pStyle w:val="footnotesfortables"/>
        <w:rPr/>
      </w:pPr>
      <w:r>
        <w:rPr/>
        <w:t>n/a = not available</w:t>
        <w:br/>
        <w:t xml:space="preserve">Source:  </w:t>
      </w:r>
      <w:r>
        <w:rPr>
          <w:i/>
          <w:iCs/>
        </w:rPr>
        <w:t>Platt’s Oilgram Price Report</w:t>
      </w:r>
      <w:r>
        <w:rPr/>
        <w:t>.  Prices are means of the range for the effective date.</w:t>
      </w:r>
      <w:r>
        <w:br w:type="page"/>
      </w:r>
    </w:p>
    <w:p>
      <w:pPr>
        <w:pStyle w:val="Heading4"/>
        <w:ind w:hanging="0" w:start="0"/>
        <w:rPr/>
      </w:pPr>
      <w:r>
        <w:rPr/>
        <w:t>Table I-B:  Fuel Oil Cargo Prices</w:t>
        <w:br/>
        <w:t>(US$/Metric Tons)</w:t>
      </w:r>
    </w:p>
    <w:p>
      <w:pPr>
        <w:pStyle w:val="Normal"/>
        <w:rPr/>
      </w:pPr>
      <w:r>
        <w:rPr/>
      </w:r>
    </w:p>
    <w:p>
      <w:pPr>
        <w:sectPr>
          <w:type w:val="continuous"/>
          <w:pgSz w:w="12240" w:h="15840"/>
          <w:pgMar w:left="1440" w:right="1440" w:gutter="0" w:header="576" w:top="1152" w:footer="576" w:bottom="1152"/>
          <w:formProt w:val="false"/>
          <w:textDirection w:val="lrTb"/>
        </w:sectPr>
      </w:pPr>
    </w:p>
    <w:p>
      <w:pPr>
        <w:pStyle w:val="left-1ab"/>
        <w:rPr>
          <w:b/>
          <w:bCs/>
        </w:rPr>
      </w:pPr>
      <w:r>
        <w:rPr>
          <w:b/>
          <w:bCs/>
        </w:rPr>
        <w:t>Location</w:t>
      </w:r>
    </w:p>
    <w:p>
      <w:pPr>
        <w:pStyle w:val="left-1ab"/>
        <w:rPr/>
      </w:pPr>
      <w:r>
        <w:rPr/>
        <w:t>Grade of Resid</w:t>
        <w:br/>
        <w:br/>
      </w:r>
      <w:r>
        <w:rPr>
          <w:b/>
          <w:bCs/>
        </w:rPr>
        <w:t>New York Harbor</w:t>
      </w:r>
      <w:r>
        <w:rPr/>
        <w:br/>
        <w:t>No. 6 0.3%S HiPr</w:t>
      </w:r>
      <w:r>
        <w:rPr>
          <w:vertAlign w:val="superscript"/>
        </w:rPr>
        <w:t>a</w:t>
      </w:r>
      <w:r>
        <w:rPr/>
        <w:br/>
        <w:t>No. 6 0.3%S LoPr</w:t>
      </w:r>
      <w:r>
        <w:rPr>
          <w:vertAlign w:val="superscript"/>
        </w:rPr>
        <w:t>a</w:t>
      </w:r>
      <w:r>
        <w:rPr/>
        <w:br/>
        <w:t>No. 6 0.7%S Max</w:t>
      </w:r>
      <w:r>
        <w:rPr>
          <w:vertAlign w:val="superscript"/>
        </w:rPr>
        <w:t>b</w:t>
      </w:r>
      <w:r>
        <w:rPr/>
        <w:br/>
        <w:t>No. 6 1.0%S Max</w:t>
      </w:r>
      <w:r>
        <w:rPr>
          <w:vertAlign w:val="superscript"/>
        </w:rPr>
        <w:t>b</w:t>
      </w:r>
      <w:r>
        <w:rPr/>
        <w:br/>
        <w:t>No. 6 2.2%S Max</w:t>
      </w:r>
      <w:r>
        <w:rPr>
          <w:vertAlign w:val="superscript"/>
        </w:rPr>
        <w:t>c</w:t>
      </w:r>
      <w:r>
        <w:rPr/>
        <w:br/>
        <w:t>No. 6 3.0%S Max</w:t>
      </w:r>
      <w:r>
        <w:rPr>
          <w:vertAlign w:val="superscript"/>
        </w:rPr>
        <w:t>c</w:t>
      </w:r>
      <w:r>
        <w:rPr/>
        <w:br/>
        <w:br/>
      </w:r>
      <w:r>
        <w:rPr>
          <w:b/>
          <w:bCs/>
        </w:rPr>
        <w:t>Caribbean (FOB)</w:t>
      </w:r>
      <w:r>
        <w:rPr/>
        <w:br/>
        <w:t>No. 6 2.0%S</w:t>
      </w:r>
      <w:r>
        <w:rPr>
          <w:vertAlign w:val="superscript"/>
        </w:rPr>
        <w:t>c</w:t>
      </w:r>
      <w:r>
        <w:rPr/>
        <w:br/>
        <w:t>No. 6 2.8%S</w:t>
      </w:r>
      <w:r>
        <w:rPr>
          <w:vertAlign w:val="superscript"/>
        </w:rPr>
        <w:t>c</w:t>
      </w:r>
      <w:r>
        <w:rPr/>
        <w:br/>
        <w:br/>
      </w:r>
      <w:r>
        <w:rPr>
          <w:b/>
          <w:bCs/>
        </w:rPr>
        <w:t>US Gulf Coast</w:t>
      </w:r>
      <w:r>
        <w:rPr/>
        <w:br/>
        <w:t>No. 6 0.7%S</w:t>
      </w:r>
      <w:r>
        <w:rPr>
          <w:vertAlign w:val="superscript"/>
        </w:rPr>
        <w:t>d</w:t>
      </w:r>
      <w:r>
        <w:rPr/>
        <w:br/>
        <w:t>No. 6 1.0%S 8 API</w:t>
      </w:r>
      <w:r>
        <w:rPr>
          <w:vertAlign w:val="superscript"/>
        </w:rPr>
        <w:t>e</w:t>
      </w:r>
      <w:r>
        <w:rPr/>
        <w:br/>
        <w:t>No. 6 1.0%S 10.5 API</w:t>
      </w:r>
      <w:r>
        <w:rPr>
          <w:vertAlign w:val="superscript"/>
        </w:rPr>
        <w:t>f</w:t>
      </w:r>
      <w:r>
        <w:rPr/>
        <w:br/>
        <w:t>No. 6 3.0%S</w:t>
      </w:r>
      <w:r>
        <w:rPr>
          <w:vertAlign w:val="superscript"/>
        </w:rPr>
        <w:t>c</w:t>
      </w:r>
      <w:r>
        <w:rPr/>
        <w:br/>
        <w:t>No. 6 3.5%S</w:t>
      </w:r>
      <w:r>
        <w:rPr>
          <w:vertAlign w:val="superscript"/>
        </w:rPr>
        <w:t>c</w:t>
      </w:r>
    </w:p>
    <w:p>
      <w:pPr>
        <w:pStyle w:val="left-1ab"/>
        <w:rPr/>
      </w:pPr>
      <w:r>
        <w:rPr/>
        <w:br/>
      </w:r>
      <w:r>
        <w:rPr>
          <w:b/>
          <w:bCs/>
        </w:rPr>
        <w:t>Northwest Europe (FOB)</w:t>
      </w:r>
      <w:r>
        <w:rPr/>
        <w:br/>
        <w:t>0.5 - 0.7% Straight Run</w:t>
        <w:br/>
        <w:t>1.0% Fuel Oil</w:t>
        <w:br/>
        <w:t>3.0% Fuel Oil</w:t>
        <w:br/>
        <w:t>3.5% Fuel Oil</w:t>
        <w:br/>
        <w:t>E4 Premium (CIF NWE)</w:t>
        <w:br/>
        <w:br/>
      </w:r>
      <w:r>
        <w:rPr>
          <w:b/>
          <w:bCs/>
        </w:rPr>
        <w:t>Italy (FOB)</w:t>
      </w:r>
      <w:r>
        <w:rPr/>
        <w:br/>
        <w:t>1.0% Fuel Oil</w:t>
        <w:br/>
        <w:t>3.5% Fuel Oil</w:t>
        <w:br/>
        <w:t>M-40 Premium (CIF Med)</w:t>
        <w:br/>
        <w:br/>
      </w:r>
      <w:r>
        <w:rPr>
          <w:b/>
          <w:bCs/>
        </w:rPr>
        <w:t>Arab Gulf (FOB)</w:t>
      </w:r>
      <w:r>
        <w:rPr/>
        <w:br/>
        <w:t>HSFO 180 cSt</w:t>
        <w:br/>
        <w:br/>
      </w:r>
      <w:r>
        <w:rPr>
          <w:b/>
          <w:bCs/>
        </w:rPr>
        <w:t>Singapore</w:t>
      </w:r>
      <w:r>
        <w:rPr/>
        <w:br/>
        <w:t>HSFO 180 cSt</w:t>
        <w:br/>
        <w:t>HSFO 380 cSt</w:t>
        <w:br/>
        <w:t>LSWR Mixed/Cracked</w:t>
      </w:r>
      <w:r>
        <w:rPr>
          <w:vertAlign w:val="superscript"/>
        </w:rPr>
        <w:t>a</w:t>
      </w:r>
      <w:r>
        <w:rPr/>
        <w:br/>
      </w:r>
    </w:p>
    <w:p>
      <w:pPr>
        <w:pStyle w:val="right-1ab"/>
        <w:rPr/>
      </w:pPr>
      <w:r>
        <w:br w:type="column"/>
      </w:r>
      <w:r>
        <w:rPr/>
      </w:r>
    </w:p>
    <w:p>
      <w:pPr>
        <w:pStyle w:val="right-1ab"/>
        <w:rPr/>
      </w:pPr>
      <w:r>
        <w:rPr/>
        <w:tab/>
        <w:t xml:space="preserve">31-Aug-99 </w:t>
        <w:tab/>
        <w:t xml:space="preserve">07-Sep-99 </w:t>
        <w:tab/>
        <w:t xml:space="preserve">14-Sep-99 </w:t>
        <w:tab/>
        <w:t xml:space="preserve">21-Sep-99 </w:t>
        <w:tab/>
        <w:t xml:space="preserve">28-Sep-99 </w:t>
      </w:r>
    </w:p>
    <w:p>
      <w:pPr>
        <w:pStyle w:val="right-1ab"/>
        <w:rPr/>
      </w:pPr>
      <w:r>
        <w:rPr/>
        <w:tab/>
        <w:tab/>
        <w:tab/>
        <w:tab/>
        <w:tab/>
      </w:r>
    </w:p>
    <w:p>
      <w:pPr>
        <w:pStyle w:val="right-1ab"/>
        <w:rPr/>
      </w:pPr>
      <w:r>
        <w:rPr/>
        <w:tab/>
        <w:tab/>
        <w:tab/>
        <w:tab/>
        <w:tab/>
      </w:r>
    </w:p>
    <w:p>
      <w:pPr>
        <w:pStyle w:val="right-1ab"/>
        <w:rPr/>
      </w:pPr>
      <w:r>
        <w:rPr/>
        <w:tab/>
        <w:t xml:space="preserve">134.54 </w:t>
        <w:tab/>
        <w:t xml:space="preserve">138.22 </w:t>
        <w:tab/>
        <w:t xml:space="preserve">144.92 </w:t>
        <w:tab/>
        <w:t xml:space="preserve">147.60 </w:t>
        <w:tab/>
        <w:t xml:space="preserve">150.95 </w:t>
      </w:r>
    </w:p>
    <w:p>
      <w:pPr>
        <w:pStyle w:val="right-1ab"/>
        <w:rPr/>
      </w:pPr>
      <w:r>
        <w:rPr/>
        <w:tab/>
        <w:t xml:space="preserve">138.56 </w:t>
        <w:tab/>
        <w:t xml:space="preserve">142.24 </w:t>
        <w:tab/>
        <w:t xml:space="preserve">149.95 </w:t>
        <w:tab/>
        <w:t xml:space="preserve">151.62 </w:t>
        <w:tab/>
        <w:t xml:space="preserve">153.97 </w:t>
      </w:r>
    </w:p>
    <w:p>
      <w:pPr>
        <w:pStyle w:val="right-1ab"/>
        <w:rPr/>
      </w:pPr>
      <w:r>
        <w:rPr/>
        <w:tab/>
        <w:t xml:space="preserve">123.70 </w:t>
        <w:tab/>
        <w:t xml:space="preserve">123.05 </w:t>
        <w:tab/>
        <w:t xml:space="preserve">130.00 </w:t>
        <w:tab/>
        <w:t xml:space="preserve">131.82 </w:t>
        <w:tab/>
        <w:t xml:space="preserve">131.50 </w:t>
      </w:r>
    </w:p>
    <w:p>
      <w:pPr>
        <w:pStyle w:val="right-1ab"/>
        <w:rPr/>
      </w:pPr>
      <w:r>
        <w:rPr/>
        <w:tab/>
        <w:t xml:space="preserve">121.42 </w:t>
        <w:tab/>
        <w:t xml:space="preserve">121.42 </w:t>
        <w:tab/>
        <w:t xml:space="preserve">128.38 </w:t>
        <w:tab/>
        <w:t xml:space="preserve">128.38 </w:t>
        <w:tab/>
        <w:t xml:space="preserve">128.25 </w:t>
      </w:r>
    </w:p>
    <w:p>
      <w:pPr>
        <w:pStyle w:val="right-1ab"/>
        <w:rPr/>
      </w:pPr>
      <w:r>
        <w:rPr/>
        <w:tab/>
        <w:t xml:space="preserve">115.07 </w:t>
        <w:tab/>
        <w:t xml:space="preserve">116.35 </w:t>
        <w:tab/>
        <w:t xml:space="preserve">123.39 </w:t>
        <w:tab/>
        <w:t xml:space="preserve">123.39 </w:t>
        <w:tab/>
        <w:t xml:space="preserve">120.83 </w:t>
      </w:r>
    </w:p>
    <w:p>
      <w:pPr>
        <w:pStyle w:val="right-1ab"/>
        <w:rPr/>
      </w:pPr>
      <w:r>
        <w:rPr/>
        <w:tab/>
        <w:t xml:space="preserve">114.43 </w:t>
        <w:tab/>
        <w:t xml:space="preserve">116.03 </w:t>
        <w:tab/>
        <w:t xml:space="preserve">121.79 </w:t>
        <w:tab/>
        <w:t xml:space="preserve">121.79 </w:t>
        <w:tab/>
        <w:t xml:space="preserve">120.19 </w:t>
      </w:r>
    </w:p>
    <w:p>
      <w:pPr>
        <w:pStyle w:val="right-1ab"/>
        <w:rPr/>
      </w:pPr>
      <w:r>
        <w:rPr/>
        <w:tab/>
        <w:tab/>
        <w:tab/>
        <w:tab/>
        <w:tab/>
      </w:r>
    </w:p>
    <w:p>
      <w:pPr>
        <w:pStyle w:val="right-1ab"/>
        <w:rPr/>
      </w:pPr>
      <w:r>
        <w:rPr/>
        <w:tab/>
        <w:tab/>
        <w:tab/>
        <w:tab/>
        <w:tab/>
      </w:r>
    </w:p>
    <w:p>
      <w:pPr>
        <w:pStyle w:val="right-1ab"/>
        <w:rPr/>
      </w:pPr>
      <w:r>
        <w:rPr/>
        <w:tab/>
        <w:t xml:space="preserve">111.87 </w:t>
        <w:tab/>
        <w:t xml:space="preserve">113.15 </w:t>
        <w:tab/>
        <w:t xml:space="preserve">120.19 </w:t>
        <w:tab/>
        <w:t xml:space="preserve">120.19 </w:t>
        <w:tab/>
        <w:t xml:space="preserve">117.63 </w:t>
      </w:r>
    </w:p>
    <w:p>
      <w:pPr>
        <w:pStyle w:val="right-1ab"/>
        <w:rPr/>
      </w:pPr>
      <w:r>
        <w:rPr/>
        <w:tab/>
        <w:t xml:space="preserve">111.23 </w:t>
        <w:tab/>
        <w:t xml:space="preserve">111.36 </w:t>
        <w:tab/>
        <w:t xml:space="preserve">118.08 </w:t>
        <w:tab/>
        <w:t xml:space="preserve">118.59 </w:t>
        <w:tab/>
        <w:t xml:space="preserve">116.99 </w:t>
      </w:r>
    </w:p>
    <w:p>
      <w:pPr>
        <w:pStyle w:val="right-1ab"/>
        <w:rPr/>
      </w:pPr>
      <w:r>
        <w:rPr/>
        <w:tab/>
        <w:tab/>
        <w:tab/>
        <w:tab/>
        <w:tab/>
      </w:r>
    </w:p>
    <w:p>
      <w:pPr>
        <w:pStyle w:val="right-1ab"/>
        <w:rPr/>
      </w:pPr>
      <w:r>
        <w:rPr/>
        <w:tab/>
        <w:tab/>
        <w:tab/>
        <w:tab/>
        <w:tab/>
      </w:r>
    </w:p>
    <w:p>
      <w:pPr>
        <w:pStyle w:val="right-1ab"/>
        <w:rPr/>
      </w:pPr>
      <w:r>
        <w:rPr/>
        <w:tab/>
        <w:t xml:space="preserve">129.40 </w:t>
        <w:tab/>
        <w:t xml:space="preserve">126.84 </w:t>
        <w:tab/>
        <w:t xml:space="preserve">131.63 </w:t>
        <w:tab/>
        <w:t xml:space="preserve">131.63 </w:t>
        <w:tab/>
        <w:t xml:space="preserve">136.43 </w:t>
      </w:r>
    </w:p>
    <w:p>
      <w:pPr>
        <w:pStyle w:val="right-1ab"/>
        <w:rPr/>
      </w:pPr>
      <w:r>
        <w:rPr/>
        <w:tab/>
        <w:t xml:space="preserve">121.83 </w:t>
        <w:tab/>
        <w:t xml:space="preserve">119.35 </w:t>
        <w:tab/>
        <w:t xml:space="preserve">124.00 </w:t>
        <w:tab/>
        <w:t xml:space="preserve">124.00 </w:t>
        <w:tab/>
        <w:t xml:space="preserve">128.65 </w:t>
      </w:r>
    </w:p>
    <w:p>
      <w:pPr>
        <w:pStyle w:val="right-1ab"/>
        <w:rPr/>
      </w:pPr>
      <w:r>
        <w:rPr/>
        <w:tab/>
        <w:t xml:space="preserve">124.19 </w:t>
        <w:tab/>
        <w:t xml:space="preserve">121.66 </w:t>
        <w:tab/>
        <w:t xml:space="preserve">126.40 </w:t>
        <w:tab/>
        <w:t xml:space="preserve">126.40 </w:t>
        <w:tab/>
        <w:t xml:space="preserve">131.14 </w:t>
      </w:r>
    </w:p>
    <w:p>
      <w:pPr>
        <w:pStyle w:val="right-1ab"/>
        <w:rPr/>
      </w:pPr>
      <w:r>
        <w:rPr/>
        <w:tab/>
        <w:t xml:space="preserve">118.40 </w:t>
        <w:tab/>
        <w:t xml:space="preserve">115.20 </w:t>
        <w:tab/>
        <w:t xml:space="preserve">124.80 </w:t>
        <w:tab/>
        <w:t xml:space="preserve">123.07 </w:t>
        <w:tab/>
        <w:t xml:space="preserve">127.04 </w:t>
      </w:r>
    </w:p>
    <w:p>
      <w:pPr>
        <w:pStyle w:val="right-1ab"/>
        <w:rPr/>
      </w:pPr>
      <w:r>
        <w:rPr/>
        <w:tab/>
        <w:t xml:space="preserve">112.00 </w:t>
        <w:tab/>
        <w:t xml:space="preserve">113.60 </w:t>
        <w:tab/>
        <w:t xml:space="preserve">118.40 </w:t>
        <w:tab/>
        <w:t xml:space="preserve">116.80 </w:t>
        <w:tab/>
        <w:t xml:space="preserve">119.23 </w:t>
      </w:r>
    </w:p>
    <w:p>
      <w:pPr>
        <w:pStyle w:val="right-1ab"/>
        <w:rPr/>
      </w:pPr>
      <w:r>
        <w:rPr/>
        <w:tab/>
        <w:tab/>
        <w:tab/>
        <w:tab/>
        <w:tab/>
      </w:r>
    </w:p>
    <w:p>
      <w:pPr>
        <w:pStyle w:val="right-1ab"/>
        <w:rPr/>
      </w:pPr>
      <w:r>
        <w:rPr/>
        <w:tab/>
        <w:tab/>
        <w:tab/>
        <w:tab/>
        <w:tab/>
      </w:r>
    </w:p>
    <w:p>
      <w:pPr>
        <w:pStyle w:val="right-1ab"/>
        <w:rPr/>
      </w:pPr>
      <w:r>
        <w:rPr/>
        <w:tab/>
        <w:t xml:space="preserve">126.50 </w:t>
        <w:tab/>
        <w:t xml:space="preserve">128.00 </w:t>
        <w:tab/>
        <w:t xml:space="preserve">136.50 </w:t>
        <w:tab/>
        <w:t xml:space="preserve">138.50 </w:t>
        <w:tab/>
        <w:t xml:space="preserve">138.50 </w:t>
      </w:r>
    </w:p>
    <w:p>
      <w:pPr>
        <w:pStyle w:val="right-1ab"/>
        <w:rPr/>
      </w:pPr>
      <w:r>
        <w:rPr/>
        <w:tab/>
        <w:t xml:space="preserve">114.00 </w:t>
        <w:tab/>
        <w:t xml:space="preserve">109.00 </w:t>
        <w:tab/>
        <w:t xml:space="preserve">115.00 </w:t>
        <w:tab/>
        <w:t xml:space="preserve">116.50 </w:t>
        <w:tab/>
        <w:t xml:space="preserve">119.00 </w:t>
      </w:r>
    </w:p>
    <w:p>
      <w:pPr>
        <w:pStyle w:val="right-1ab"/>
        <w:rPr/>
      </w:pPr>
      <w:r>
        <w:rPr/>
        <w:tab/>
        <w:t xml:space="preserve">103.00 </w:t>
        <w:tab/>
        <w:t xml:space="preserve">99.50 </w:t>
        <w:tab/>
        <w:t xml:space="preserve">104.50 </w:t>
        <w:tab/>
        <w:t xml:space="preserve">107.50 </w:t>
        <w:tab/>
        <w:t xml:space="preserve">109.50 </w:t>
      </w:r>
    </w:p>
    <w:p>
      <w:pPr>
        <w:pStyle w:val="right-1ab"/>
        <w:rPr/>
      </w:pPr>
      <w:r>
        <w:rPr/>
        <w:tab/>
        <w:t xml:space="preserve">103.00 </w:t>
        <w:tab/>
        <w:t xml:space="preserve">99.50 </w:t>
        <w:tab/>
        <w:t xml:space="preserve">104.50 </w:t>
        <w:tab/>
        <w:t xml:space="preserve">107.50 </w:t>
        <w:tab/>
        <w:t xml:space="preserve">109.50 </w:t>
      </w:r>
    </w:p>
    <w:p>
      <w:pPr>
        <w:pStyle w:val="right-1ab"/>
        <w:rPr/>
      </w:pPr>
      <w:r>
        <w:rPr/>
        <w:tab/>
        <w:t xml:space="preserve">3.50 </w:t>
        <w:tab/>
        <w:t xml:space="preserve">2.00 </w:t>
        <w:tab/>
        <w:t xml:space="preserve">4.00 </w:t>
        <w:tab/>
        <w:t xml:space="preserve">7.00 </w:t>
        <w:tab/>
        <w:t xml:space="preserve">7.00 </w:t>
      </w:r>
    </w:p>
    <w:p>
      <w:pPr>
        <w:pStyle w:val="right-1ab"/>
        <w:rPr/>
      </w:pPr>
      <w:r>
        <w:rPr/>
        <w:tab/>
        <w:tab/>
        <w:tab/>
        <w:tab/>
        <w:tab/>
      </w:r>
    </w:p>
    <w:p>
      <w:pPr>
        <w:pStyle w:val="right-1ab"/>
        <w:rPr/>
      </w:pPr>
      <w:r>
        <w:rPr/>
        <w:tab/>
        <w:tab/>
        <w:tab/>
        <w:tab/>
        <w:tab/>
      </w:r>
    </w:p>
    <w:p>
      <w:pPr>
        <w:pStyle w:val="right-1ab"/>
        <w:rPr/>
      </w:pPr>
      <w:r>
        <w:rPr/>
        <w:tab/>
        <w:t xml:space="preserve">114.50 </w:t>
        <w:tab/>
        <w:t xml:space="preserve">109.50 </w:t>
        <w:tab/>
        <w:t xml:space="preserve">115.00 </w:t>
        <w:tab/>
        <w:t xml:space="preserve">116.50 </w:t>
        <w:tab/>
        <w:t xml:space="preserve">118.50 </w:t>
      </w:r>
    </w:p>
    <w:p>
      <w:pPr>
        <w:pStyle w:val="right-1ab"/>
        <w:rPr/>
      </w:pPr>
      <w:r>
        <w:rPr/>
        <w:tab/>
        <w:t xml:space="preserve">108.50 </w:t>
        <w:tab/>
        <w:t xml:space="preserve">105.00 </w:t>
        <w:tab/>
        <w:t xml:space="preserve">109.00 </w:t>
        <w:tab/>
        <w:t xml:space="preserve">111.00 </w:t>
        <w:tab/>
        <w:t xml:space="preserve">112.50 </w:t>
      </w:r>
    </w:p>
    <w:p>
      <w:pPr>
        <w:pStyle w:val="right-1ab"/>
        <w:rPr/>
      </w:pPr>
      <w:r>
        <w:rPr/>
        <w:tab/>
        <w:t xml:space="preserve">6.00 </w:t>
        <w:tab/>
        <w:t xml:space="preserve">4.50 </w:t>
        <w:tab/>
        <w:t xml:space="preserve">4.50 </w:t>
        <w:tab/>
        <w:t xml:space="preserve">4.50 </w:t>
        <w:tab/>
        <w:t xml:space="preserve">4.50 </w:t>
      </w:r>
    </w:p>
    <w:p>
      <w:pPr>
        <w:pStyle w:val="right-1ab"/>
        <w:rPr/>
      </w:pPr>
      <w:r>
        <w:rPr/>
        <w:tab/>
        <w:tab/>
        <w:tab/>
        <w:tab/>
        <w:tab/>
      </w:r>
    </w:p>
    <w:p>
      <w:pPr>
        <w:pStyle w:val="right-1ab"/>
        <w:rPr/>
      </w:pPr>
      <w:r>
        <w:rPr/>
        <w:tab/>
        <w:tab/>
        <w:tab/>
        <w:tab/>
        <w:tab/>
      </w:r>
    </w:p>
    <w:p>
      <w:pPr>
        <w:pStyle w:val="right-1ab"/>
        <w:rPr/>
      </w:pPr>
      <w:r>
        <w:rPr/>
        <w:tab/>
        <w:t xml:space="preserve">117.00 </w:t>
        <w:tab/>
        <w:t xml:space="preserve">117.20 </w:t>
        <w:tab/>
        <w:t xml:space="preserve">119.80 </w:t>
        <w:tab/>
        <w:t xml:space="preserve">120.85 </w:t>
        <w:tab/>
        <w:t xml:space="preserve">127.00 </w:t>
      </w:r>
    </w:p>
    <w:p>
      <w:pPr>
        <w:pStyle w:val="right-1ab"/>
        <w:rPr/>
      </w:pPr>
      <w:r>
        <w:rPr/>
        <w:tab/>
        <w:tab/>
        <w:tab/>
        <w:tab/>
        <w:tab/>
      </w:r>
    </w:p>
    <w:p>
      <w:pPr>
        <w:pStyle w:val="right-1ab"/>
        <w:rPr/>
      </w:pPr>
      <w:r>
        <w:rPr/>
        <w:tab/>
        <w:tab/>
        <w:tab/>
        <w:tab/>
        <w:tab/>
      </w:r>
    </w:p>
    <w:p>
      <w:pPr>
        <w:pStyle w:val="right-1ab"/>
        <w:rPr/>
      </w:pPr>
      <w:r>
        <w:rPr/>
        <w:tab/>
        <w:t xml:space="preserve">123.38 </w:t>
        <w:tab/>
        <w:t xml:space="preserve">123.50 </w:t>
        <w:tab/>
        <w:t xml:space="preserve">126.00 </w:t>
        <w:tab/>
        <w:t xml:space="preserve">127.25 </w:t>
        <w:tab/>
        <w:t xml:space="preserve">132.75 </w:t>
      </w:r>
    </w:p>
    <w:p>
      <w:pPr>
        <w:pStyle w:val="right-1ab"/>
        <w:rPr/>
      </w:pPr>
      <w:r>
        <w:rPr/>
        <w:tab/>
        <w:t xml:space="preserve">120.63 </w:t>
        <w:tab/>
        <w:t xml:space="preserve">121.50 </w:t>
        <w:tab/>
        <w:t xml:space="preserve">123.00 </w:t>
        <w:tab/>
        <w:t xml:space="preserve">124.25 </w:t>
        <w:tab/>
        <w:t xml:space="preserve">129.75 </w:t>
      </w:r>
    </w:p>
    <w:p>
      <w:pPr>
        <w:pStyle w:val="right-1ab"/>
        <w:rPr/>
      </w:pPr>
      <w:r>
        <w:rPr/>
        <w:tab/>
        <w:t xml:space="preserve">119.60 </w:t>
        <w:tab/>
        <w:t xml:space="preserve">121.94 </w:t>
        <w:tab/>
        <w:t xml:space="preserve">125.96 </w:t>
        <w:tab/>
        <w:t xml:space="preserve">125.63 </w:t>
        <w:tab/>
        <w:t>135.01</w:t>
      </w:r>
    </w:p>
    <w:p>
      <w:pPr>
        <w:sectPr>
          <w:type w:val="continuous"/>
          <w:pgSz w:w="12240" w:h="15840"/>
          <w:pgMar w:left="1440" w:right="1440" w:gutter="0" w:header="576" w:top="1152" w:footer="576" w:bottom="1152"/>
          <w:cols w:num="2" w:equalWidth="false" w:sep="false">
            <w:col w:w="2448" w:space="346"/>
            <w:col w:w="6566"/>
          </w:cols>
          <w:formProt w:val="false"/>
          <w:textDirection w:val="lrTb"/>
        </w:sectPr>
      </w:pPr>
    </w:p>
    <w:p>
      <w:pPr>
        <w:pStyle w:val="footnotesfortables"/>
        <w:rPr/>
      </w:pPr>
      <w:r>
        <w:rPr/>
      </w:r>
    </w:p>
    <w:p>
      <w:pPr>
        <w:pStyle w:val="footnotesfortables"/>
        <w:rPr/>
      </w:pPr>
      <w:r>
        <w:rPr/>
        <w:t>Factors for converting to metric tons from barrels:</w:t>
      </w:r>
    </w:p>
    <w:p>
      <w:pPr>
        <w:pStyle w:val="footnotesfortables"/>
        <w:rPr/>
      </w:pPr>
      <w:r>
        <w:rPr/>
        <w:t>a</w:t>
        <w:tab/>
        <w:t>6.7</w:t>
        <w:tab/>
        <w:t>c</w:t>
        <w:tab/>
        <w:t>6.40</w:t>
        <w:tab/>
        <w:t>e</w:t>
        <w:tab/>
        <w:t>6.2</w:t>
        <w:br/>
        <w:t>b</w:t>
        <w:tab/>
        <w:t>6.5</w:t>
        <w:tab/>
        <w:t>d</w:t>
        <w:tab/>
        <w:t>6.39</w:t>
        <w:tab/>
        <w:t>f</w:t>
        <w:tab/>
        <w:t>6.32</w:t>
      </w:r>
    </w:p>
    <w:p>
      <w:pPr>
        <w:pStyle w:val="footnotesfortables"/>
        <w:rPr/>
      </w:pPr>
      <w:r>
        <w:rPr/>
      </w:r>
    </w:p>
    <w:p>
      <w:pPr>
        <w:pStyle w:val="footnotesfortables"/>
        <w:rPr/>
      </w:pPr>
      <w:r>
        <w:rPr/>
        <w:t>n/a = not available</w:t>
        <w:br/>
        <w:t xml:space="preserve">Source:  </w:t>
      </w:r>
      <w:r>
        <w:rPr>
          <w:i/>
          <w:iCs/>
        </w:rPr>
        <w:t>Platt’s Oilgram Price Report</w:t>
      </w:r>
      <w:r>
        <w:rPr/>
        <w:t>.  Prices are means of the range for the effective date.</w:t>
      </w:r>
    </w:p>
    <w:p>
      <w:pPr>
        <w:sectPr>
          <w:type w:val="continuous"/>
          <w:pgSz w:w="12240" w:h="15840"/>
          <w:pgMar w:left="1440" w:right="1440" w:gutter="0" w:header="576" w:top="1152" w:footer="576" w:bottom="1152"/>
          <w:formProt w:val="false"/>
          <w:textDirection w:val="lrTb"/>
        </w:sectPr>
      </w:pPr>
    </w:p>
    <w:p>
      <w:pPr>
        <w:pStyle w:val="Heading4"/>
        <w:ind w:hanging="0" w:start="0"/>
        <w:rPr/>
      </w:pPr>
      <w:r>
        <w:rPr/>
        <w:t>Table I-C:  Recent Spot 380 cSt Bunker Prices</w:t>
        <w:br/>
        <w:t>(US$/Metric Ton)</w:t>
      </w:r>
    </w:p>
    <w:p>
      <w:pPr>
        <w:pStyle w:val="right-1ab"/>
        <w:rPr>
          <w:sz w:val="16"/>
          <w:szCs w:val="16"/>
        </w:rPr>
      </w:pPr>
      <w:r>
        <w:rPr>
          <w:sz w:val="16"/>
          <w:szCs w:val="16"/>
        </w:rPr>
      </w:r>
    </w:p>
    <w:p>
      <w:pPr>
        <w:sectPr>
          <w:type w:val="nextPage"/>
          <w:pgSz w:w="12240" w:h="15840"/>
          <w:pgMar w:left="1440" w:right="1440" w:gutter="0" w:header="0" w:top="1152" w:footer="0" w:bottom="1152"/>
          <w:pgNumType w:fmt="decimal"/>
          <w:formProt w:val="false"/>
          <w:textDirection w:val="lrTb"/>
        </w:sectPr>
      </w:pPr>
    </w:p>
    <w:p>
      <w:pPr>
        <w:pStyle w:val="left-1ab"/>
        <w:rPr/>
      </w:pPr>
      <w:r>
        <w:rPr>
          <w:b/>
          <w:bCs/>
        </w:rPr>
        <w:t>Location</w:t>
      </w:r>
      <w:r>
        <w:rPr/>
        <w:br/>
        <w:br/>
      </w:r>
      <w:r>
        <w:rPr>
          <w:b/>
          <w:bCs/>
        </w:rPr>
        <w:t>US West Coast</w:t>
      </w:r>
      <w:r>
        <w:rPr/>
        <w:br/>
        <w:t>Los Angeles</w:t>
      </w:r>
      <w:r>
        <w:rPr>
          <w:vertAlign w:val="superscript"/>
        </w:rPr>
        <w:t>a</w:t>
      </w:r>
      <w:r>
        <w:rPr/>
        <w:br/>
        <w:t>Seattle</w:t>
      </w:r>
      <w:r>
        <w:rPr>
          <w:vertAlign w:val="superscript"/>
        </w:rPr>
        <w:t>a</w:t>
      </w:r>
      <w:r>
        <w:rPr/>
        <w:br/>
        <w:br/>
      </w:r>
      <w:r>
        <w:rPr>
          <w:b/>
          <w:bCs/>
        </w:rPr>
        <w:t>US Gulf Coast</w:t>
      </w:r>
      <w:r>
        <w:rPr/>
        <w:br/>
        <w:t>Houston</w:t>
      </w:r>
      <w:r>
        <w:rPr>
          <w:vertAlign w:val="superscript"/>
        </w:rPr>
        <w:t>a</w:t>
      </w:r>
      <w:r>
        <w:rPr/>
        <w:br/>
        <w:t>New Orleans</w:t>
      </w:r>
      <w:r>
        <w:rPr>
          <w:vertAlign w:val="superscript"/>
        </w:rPr>
        <w:t>a</w:t>
      </w:r>
      <w:r>
        <w:rPr/>
        <w:br/>
        <w:br/>
      </w:r>
      <w:r>
        <w:rPr>
          <w:b/>
          <w:bCs/>
        </w:rPr>
        <w:t>US Atlantic Coast</w:t>
        <w:br/>
      </w:r>
      <w:r>
        <w:rPr/>
        <w:t>New York</w:t>
      </w:r>
      <w:r>
        <w:rPr>
          <w:vertAlign w:val="superscript"/>
        </w:rPr>
        <w:t>a</w:t>
      </w:r>
      <w:r>
        <w:rPr/>
        <w:br/>
        <w:t>Philadelphia</w:t>
      </w:r>
      <w:r>
        <w:rPr>
          <w:vertAlign w:val="superscript"/>
        </w:rPr>
        <w:t>a</w:t>
      </w:r>
      <w:r>
        <w:rPr/>
        <w:br/>
        <w:br/>
      </w:r>
      <w:r>
        <w:rPr>
          <w:b/>
          <w:bCs/>
        </w:rPr>
        <w:t>Canada</w:t>
      </w:r>
      <w:r>
        <w:rPr/>
        <w:br/>
        <w:t>Montreal</w:t>
      </w:r>
      <w:r>
        <w:rPr>
          <w:vertAlign w:val="superscript"/>
        </w:rPr>
        <w:t>a</w:t>
      </w:r>
      <w:r>
        <w:rPr/>
        <w:br/>
        <w:t>Vancouver</w:t>
      </w:r>
      <w:r>
        <w:rPr>
          <w:vertAlign w:val="superscript"/>
        </w:rPr>
        <w:t>a</w:t>
        <w:br/>
      </w:r>
      <w:r>
        <w:rPr/>
        <w:br/>
      </w:r>
      <w:r>
        <w:rPr>
          <w:b/>
          <w:bCs/>
        </w:rPr>
        <w:t>Central America/Caribbean</w:t>
      </w:r>
      <w:r>
        <w:rPr/>
        <w:br/>
        <w:t>Cristobal/Balboa</w:t>
      </w:r>
      <w:r>
        <w:rPr>
          <w:vertAlign w:val="superscript"/>
        </w:rPr>
        <w:t>a</w:t>
      </w:r>
      <w:r>
        <w:rPr/>
        <w:br/>
        <w:t>St. Eustatius</w:t>
      </w:r>
      <w:r>
        <w:rPr>
          <w:vertAlign w:val="superscript"/>
        </w:rPr>
        <w:t>b</w:t>
      </w:r>
      <w:r>
        <w:rPr/>
        <w:br/>
        <w:br/>
      </w:r>
      <w:r>
        <w:rPr>
          <w:b/>
          <w:bCs/>
        </w:rPr>
        <w:t>South America</w:t>
      </w:r>
      <w:r>
        <w:rPr/>
        <w:br/>
        <w:t>Venezuela</w:t>
      </w:r>
      <w:r>
        <w:rPr>
          <w:vertAlign w:val="superscript"/>
        </w:rPr>
        <w:t>a</w:t>
      </w:r>
      <w:r>
        <w:rPr/>
        <w:br/>
        <w:t>Rio de Janeiro</w:t>
      </w:r>
      <w:r>
        <w:rPr>
          <w:vertAlign w:val="superscript"/>
        </w:rPr>
        <w:t>b</w:t>
      </w:r>
      <w:r>
        <w:rPr/>
        <w:br/>
        <w:br/>
      </w:r>
      <w:r>
        <w:rPr>
          <w:b/>
          <w:bCs/>
        </w:rPr>
        <w:t>Europe</w:t>
      </w:r>
      <w:r>
        <w:rPr/>
        <w:br/>
        <w:t>Rotterdam/Amsterdam</w:t>
      </w:r>
      <w:r>
        <w:rPr>
          <w:vertAlign w:val="superscript"/>
        </w:rPr>
        <w:t>b</w:t>
      </w:r>
      <w:r>
        <w:rPr/>
        <w:br/>
        <w:t>Hamburg</w:t>
      </w:r>
      <w:r>
        <w:rPr>
          <w:vertAlign w:val="superscript"/>
        </w:rPr>
        <w:t>b</w:t>
      </w:r>
      <w:r>
        <w:rPr/>
        <w:br/>
        <w:t>Le Havre</w:t>
      </w:r>
      <w:r>
        <w:rPr>
          <w:vertAlign w:val="superscript"/>
        </w:rPr>
        <w:t>a</w:t>
      </w:r>
      <w:r>
        <w:rPr/>
        <w:br/>
        <w:br/>
      </w:r>
      <w:r>
        <w:rPr>
          <w:b/>
          <w:bCs/>
        </w:rPr>
        <w:t>Gibraltar Straits</w:t>
      </w:r>
      <w:r>
        <w:rPr/>
        <w:br/>
        <w:t>Gibraltar</w:t>
      </w:r>
      <w:r>
        <w:rPr>
          <w:vertAlign w:val="superscript"/>
        </w:rPr>
        <w:t>a</w:t>
      </w:r>
      <w:r>
        <w:rPr/>
        <w:br/>
        <w:br/>
      </w:r>
      <w:r>
        <w:rPr>
          <w:b/>
          <w:bCs/>
        </w:rPr>
        <w:t>Mediterranean</w:t>
      </w:r>
      <w:r>
        <w:rPr/>
        <w:br/>
        <w:t>Augusta</w:t>
      </w:r>
      <w:r>
        <w:rPr>
          <w:vertAlign w:val="superscript"/>
        </w:rPr>
        <w:t>a</w:t>
      </w:r>
      <w:r>
        <w:rPr/>
        <w:br/>
        <w:t>Genoa</w:t>
      </w:r>
      <w:r>
        <w:rPr>
          <w:vertAlign w:val="superscript"/>
        </w:rPr>
        <w:t>a</w:t>
      </w:r>
      <w:r>
        <w:rPr/>
        <w:br/>
        <w:br/>
      </w:r>
      <w:r>
        <w:rPr>
          <w:b/>
          <w:bCs/>
        </w:rPr>
        <w:t>Africa</w:t>
      </w:r>
      <w:r>
        <w:rPr/>
        <w:br/>
        <w:t>Durban</w:t>
      </w:r>
      <w:r>
        <w:rPr>
          <w:vertAlign w:val="superscript"/>
        </w:rPr>
        <w:t>a</w:t>
      </w:r>
      <w:r>
        <w:rPr/>
        <w:br/>
        <w:t>Las Palmas</w:t>
      </w:r>
      <w:r>
        <w:rPr>
          <w:vertAlign w:val="superscript"/>
        </w:rPr>
        <w:t>a</w:t>
      </w:r>
      <w:r>
        <w:rPr/>
        <w:br/>
        <w:br/>
      </w:r>
      <w:r>
        <w:rPr>
          <w:b/>
          <w:bCs/>
        </w:rPr>
        <w:t>Middle East</w:t>
      </w:r>
      <w:r>
        <w:rPr/>
        <w:br/>
        <w:t>Suez Canal</w:t>
      </w:r>
      <w:r>
        <w:rPr>
          <w:vertAlign w:val="superscript"/>
        </w:rPr>
        <w:t>b</w:t>
      </w:r>
      <w:r>
        <w:rPr/>
        <w:br/>
        <w:t>Fujairah/Khor Fakkan</w:t>
      </w:r>
      <w:r>
        <w:rPr>
          <w:vertAlign w:val="superscript"/>
        </w:rPr>
        <w:t>b</w:t>
      </w:r>
      <w:r>
        <w:rPr/>
        <w:br/>
        <w:br/>
      </w:r>
      <w:r>
        <w:rPr>
          <w:b/>
          <w:bCs/>
        </w:rPr>
        <w:t>Asia</w:t>
      </w:r>
      <w:r>
        <w:rPr/>
        <w:br/>
        <w:t>Singapore</w:t>
      </w:r>
      <w:r>
        <w:rPr>
          <w:vertAlign w:val="superscript"/>
        </w:rPr>
        <w:t>b</w:t>
      </w:r>
      <w:r>
        <w:rPr/>
        <w:br/>
        <w:t>Korea</w:t>
      </w:r>
      <w:r>
        <w:rPr>
          <w:vertAlign w:val="superscript"/>
        </w:rPr>
        <w:t>b</w:t>
      </w:r>
      <w:r>
        <w:rPr/>
        <w:br/>
        <w:t>Japan</w:t>
      </w:r>
      <w:r>
        <w:rPr>
          <w:vertAlign w:val="superscript"/>
        </w:rPr>
        <w:t>b</w:t>
      </w:r>
    </w:p>
    <w:p>
      <w:pPr>
        <w:pStyle w:val="right-1ab"/>
        <w:rPr/>
      </w:pPr>
      <w:r>
        <w:br w:type="column"/>
      </w:r>
      <w:r>
        <w:rPr/>
        <w:tab/>
        <w:t xml:space="preserve">31-Aug-99 </w:t>
        <w:tab/>
        <w:t xml:space="preserve">07-Sep-99 </w:t>
        <w:tab/>
        <w:t xml:space="preserve">14-Sep-99 </w:t>
        <w:tab/>
        <w:t xml:space="preserve">21-Sep-99 </w:t>
        <w:tab/>
        <w:t xml:space="preserve">28-Sep-99 </w:t>
      </w:r>
    </w:p>
    <w:p>
      <w:pPr>
        <w:pStyle w:val="right-1ab"/>
        <w:rPr/>
      </w:pPr>
      <w:r>
        <w:rPr/>
        <w:tab/>
        <w:tab/>
        <w:tab/>
        <w:tab/>
        <w:tab/>
      </w:r>
    </w:p>
    <w:p>
      <w:pPr>
        <w:pStyle w:val="right-1ab"/>
        <w:rPr/>
      </w:pPr>
      <w:r>
        <w:rPr/>
        <w:tab/>
        <w:tab/>
        <w:tab/>
        <w:tab/>
        <w:tab/>
      </w:r>
    </w:p>
    <w:p>
      <w:pPr>
        <w:pStyle w:val="right-1ab"/>
        <w:rPr/>
      </w:pPr>
      <w:r>
        <w:rPr/>
        <w:tab/>
        <w:t xml:space="preserve">121.00 </w:t>
        <w:tab/>
        <w:t xml:space="preserve">121.50 </w:t>
        <w:tab/>
        <w:t xml:space="preserve">130.50 </w:t>
        <w:tab/>
        <w:t xml:space="preserve">129.50 </w:t>
        <w:tab/>
        <w:t xml:space="preserve">141.50 </w:t>
      </w:r>
    </w:p>
    <w:p>
      <w:pPr>
        <w:pStyle w:val="right-1ab"/>
        <w:rPr/>
      </w:pPr>
      <w:r>
        <w:rPr/>
        <w:tab/>
        <w:t xml:space="preserve">121.00 </w:t>
        <w:tab/>
        <w:t xml:space="preserve">121.50 </w:t>
        <w:tab/>
        <w:t xml:space="preserve">138.00 </w:t>
        <w:tab/>
        <w:t xml:space="preserve">136.00 </w:t>
        <w:tab/>
        <w:t xml:space="preserve">141.50 </w:t>
      </w:r>
    </w:p>
    <w:p>
      <w:pPr>
        <w:pStyle w:val="right-1ab"/>
        <w:rPr/>
      </w:pPr>
      <w:r>
        <w:rPr/>
        <w:tab/>
        <w:tab/>
        <w:tab/>
        <w:tab/>
        <w:tab/>
      </w:r>
    </w:p>
    <w:p>
      <w:pPr>
        <w:pStyle w:val="right-1ab"/>
        <w:rPr/>
      </w:pPr>
      <w:r>
        <w:rPr/>
        <w:tab/>
        <w:tab/>
        <w:tab/>
        <w:tab/>
        <w:tab/>
      </w:r>
    </w:p>
    <w:p>
      <w:pPr>
        <w:pStyle w:val="right-1ab"/>
        <w:rPr/>
      </w:pPr>
      <w:r>
        <w:rPr/>
        <w:tab/>
        <w:t xml:space="preserve">117.00 </w:t>
        <w:tab/>
        <w:t xml:space="preserve">117.00 </w:t>
        <w:tab/>
        <w:t xml:space="preserve">123.00 </w:t>
        <w:tab/>
        <w:t xml:space="preserve">120.00 </w:t>
        <w:tab/>
        <w:t xml:space="preserve">125.00 </w:t>
      </w:r>
    </w:p>
    <w:p>
      <w:pPr>
        <w:pStyle w:val="right-1ab"/>
        <w:rPr/>
      </w:pPr>
      <w:r>
        <w:rPr/>
        <w:tab/>
        <w:t xml:space="preserve">118.00 </w:t>
        <w:tab/>
        <w:t xml:space="preserve">117.00 </w:t>
        <w:tab/>
        <w:t xml:space="preserve">123.00 </w:t>
        <w:tab/>
        <w:t xml:space="preserve">121.00 </w:t>
        <w:tab/>
        <w:t xml:space="preserve">126.00 </w:t>
      </w:r>
    </w:p>
    <w:p>
      <w:pPr>
        <w:pStyle w:val="right-1ab"/>
        <w:rPr/>
      </w:pPr>
      <w:r>
        <w:rPr/>
        <w:tab/>
        <w:tab/>
        <w:tab/>
        <w:tab/>
        <w:tab/>
      </w:r>
    </w:p>
    <w:p>
      <w:pPr>
        <w:pStyle w:val="right-1ab"/>
        <w:rPr/>
      </w:pPr>
      <w:r>
        <w:rPr/>
        <w:tab/>
        <w:tab/>
        <w:tab/>
        <w:tab/>
        <w:tab/>
      </w:r>
    </w:p>
    <w:p>
      <w:pPr>
        <w:pStyle w:val="right-1ab"/>
        <w:rPr/>
      </w:pPr>
      <w:r>
        <w:rPr/>
        <w:tab/>
        <w:t xml:space="preserve">122.00 </w:t>
        <w:tab/>
        <w:t xml:space="preserve">120.00 </w:t>
        <w:tab/>
        <w:t xml:space="preserve">128.00 </w:t>
        <w:tab/>
        <w:t xml:space="preserve">130.50 </w:t>
        <w:tab/>
        <w:t xml:space="preserve">130.00 </w:t>
      </w:r>
    </w:p>
    <w:p>
      <w:pPr>
        <w:pStyle w:val="right-1ab"/>
        <w:rPr/>
      </w:pPr>
      <w:r>
        <w:rPr/>
        <w:tab/>
        <w:t xml:space="preserve">121.00 </w:t>
        <w:tab/>
        <w:t xml:space="preserve">120.00 </w:t>
        <w:tab/>
        <w:t xml:space="preserve">129.00 </w:t>
        <w:tab/>
        <w:t xml:space="preserve">129.00 </w:t>
        <w:tab/>
        <w:t xml:space="preserve">130.00 </w:t>
      </w:r>
    </w:p>
    <w:p>
      <w:pPr>
        <w:pStyle w:val="right-1ab"/>
        <w:rPr/>
      </w:pPr>
      <w:r>
        <w:rPr/>
        <w:tab/>
        <w:tab/>
        <w:tab/>
        <w:tab/>
        <w:tab/>
      </w:r>
    </w:p>
    <w:p>
      <w:pPr>
        <w:pStyle w:val="right-1ab"/>
        <w:rPr/>
      </w:pPr>
      <w:r>
        <w:rPr/>
        <w:tab/>
        <w:tab/>
        <w:tab/>
        <w:tab/>
        <w:tab/>
      </w:r>
    </w:p>
    <w:p>
      <w:pPr>
        <w:pStyle w:val="right-1ab"/>
        <w:rPr/>
      </w:pPr>
      <w:r>
        <w:rPr/>
        <w:tab/>
        <w:t xml:space="preserve">133.00 </w:t>
        <w:tab/>
        <w:t xml:space="preserve">133.00 </w:t>
        <w:tab/>
        <w:t xml:space="preserve">132.50 </w:t>
        <w:tab/>
        <w:t xml:space="preserve">132.00 </w:t>
        <w:tab/>
        <w:t xml:space="preserve">132.50 </w:t>
      </w:r>
    </w:p>
    <w:p>
      <w:pPr>
        <w:pStyle w:val="right-1ab"/>
        <w:rPr/>
      </w:pPr>
      <w:r>
        <w:rPr/>
        <w:tab/>
        <w:t xml:space="preserve">136.00 </w:t>
        <w:tab/>
        <w:t xml:space="preserve">134.50 </w:t>
        <w:tab/>
        <w:t xml:space="preserve">152.00 </w:t>
        <w:tab/>
        <w:t xml:space="preserve">152.00 </w:t>
        <w:tab/>
        <w:t xml:space="preserve">153.00 </w:t>
      </w:r>
    </w:p>
    <w:p>
      <w:pPr>
        <w:pStyle w:val="right-1ab"/>
        <w:rPr/>
      </w:pPr>
      <w:r>
        <w:rPr/>
        <w:tab/>
        <w:tab/>
        <w:tab/>
        <w:tab/>
        <w:tab/>
      </w:r>
    </w:p>
    <w:p>
      <w:pPr>
        <w:pStyle w:val="right-1ab"/>
        <w:rPr/>
      </w:pPr>
      <w:r>
        <w:rPr/>
        <w:tab/>
        <w:tab/>
        <w:tab/>
        <w:tab/>
        <w:tab/>
      </w:r>
    </w:p>
    <w:p>
      <w:pPr>
        <w:pStyle w:val="right-1ab"/>
        <w:rPr/>
      </w:pPr>
      <w:r>
        <w:rPr/>
        <w:tab/>
        <w:t xml:space="preserve">123.00 </w:t>
        <w:tab/>
        <w:t xml:space="preserve">118.00 </w:t>
        <w:tab/>
        <w:t xml:space="preserve">128.00 </w:t>
        <w:tab/>
        <w:t xml:space="preserve">129.00 </w:t>
        <w:tab/>
        <w:t xml:space="preserve">131.50 </w:t>
      </w:r>
    </w:p>
    <w:p>
      <w:pPr>
        <w:pStyle w:val="right-1ab"/>
        <w:rPr/>
      </w:pPr>
      <w:r>
        <w:rPr/>
        <w:tab/>
        <w:t xml:space="preserve">131.00 </w:t>
        <w:tab/>
        <w:t xml:space="preserve">131.00 </w:t>
        <w:tab/>
        <w:t xml:space="preserve">136.00 </w:t>
        <w:tab/>
        <w:t xml:space="preserve">136.00 </w:t>
        <w:tab/>
        <w:t xml:space="preserve">143.50 </w:t>
      </w:r>
    </w:p>
    <w:p>
      <w:pPr>
        <w:pStyle w:val="right-1ab"/>
        <w:rPr/>
      </w:pPr>
      <w:r>
        <w:rPr/>
        <w:tab/>
        <w:tab/>
        <w:tab/>
        <w:tab/>
        <w:tab/>
      </w:r>
    </w:p>
    <w:p>
      <w:pPr>
        <w:pStyle w:val="right-1ab"/>
        <w:rPr/>
      </w:pPr>
      <w:r>
        <w:rPr/>
        <w:tab/>
        <w:tab/>
        <w:tab/>
        <w:tab/>
        <w:tab/>
      </w:r>
    </w:p>
    <w:p>
      <w:pPr>
        <w:pStyle w:val="right-1ab"/>
        <w:rPr/>
      </w:pPr>
      <w:r>
        <w:rPr/>
        <w:tab/>
        <w:t xml:space="preserve">120.00 </w:t>
        <w:tab/>
        <w:t xml:space="preserve">121.00 </w:t>
        <w:tab/>
        <w:t xml:space="preserve">128.50 </w:t>
        <w:tab/>
        <w:t xml:space="preserve">130.00 </w:t>
        <w:tab/>
        <w:t xml:space="preserve">129.25 </w:t>
      </w:r>
    </w:p>
    <w:p>
      <w:pPr>
        <w:pStyle w:val="right-1ab"/>
        <w:rPr/>
      </w:pPr>
      <w:r>
        <w:rPr/>
        <w:tab/>
        <w:t xml:space="preserve">116.75 </w:t>
        <w:tab/>
        <w:t xml:space="preserve">118.75 </w:t>
        <w:tab/>
        <w:t xml:space="preserve">126.75 </w:t>
        <w:tab/>
        <w:t xml:space="preserve">124.75 </w:t>
        <w:tab/>
        <w:t xml:space="preserve">129.75 </w:t>
      </w:r>
    </w:p>
    <w:p>
      <w:pPr>
        <w:pStyle w:val="right-1ab"/>
        <w:rPr/>
      </w:pPr>
      <w:r>
        <w:rPr/>
        <w:tab/>
        <w:tab/>
        <w:tab/>
        <w:tab/>
        <w:tab/>
      </w:r>
    </w:p>
    <w:p>
      <w:pPr>
        <w:pStyle w:val="right-1ab"/>
        <w:rPr/>
      </w:pPr>
      <w:r>
        <w:rPr/>
        <w:tab/>
        <w:tab/>
        <w:tab/>
        <w:tab/>
        <w:tab/>
      </w:r>
    </w:p>
    <w:p>
      <w:pPr>
        <w:pStyle w:val="right-1ab"/>
        <w:rPr/>
      </w:pPr>
      <w:r>
        <w:rPr/>
        <w:tab/>
        <w:t xml:space="preserve">118.25 </w:t>
        <w:tab/>
        <w:t xml:space="preserve">114.00 </w:t>
        <w:tab/>
        <w:t xml:space="preserve">118.00 </w:t>
        <w:tab/>
        <w:t xml:space="preserve">119.00 </w:t>
        <w:tab/>
        <w:t xml:space="preserve">122.50 </w:t>
      </w:r>
    </w:p>
    <w:p>
      <w:pPr>
        <w:pStyle w:val="right-1ab"/>
        <w:rPr/>
      </w:pPr>
      <w:r>
        <w:rPr/>
        <w:tab/>
        <w:t xml:space="preserve">121.00 </w:t>
        <w:tab/>
        <w:t xml:space="preserve">117.00 </w:t>
        <w:tab/>
        <w:t xml:space="preserve">122.00 </w:t>
        <w:tab/>
        <w:t xml:space="preserve">121.00 </w:t>
        <w:tab/>
        <w:t xml:space="preserve">125.00 </w:t>
      </w:r>
    </w:p>
    <w:p>
      <w:pPr>
        <w:pStyle w:val="right-1ab"/>
        <w:rPr/>
      </w:pPr>
      <w:r>
        <w:rPr/>
        <w:tab/>
        <w:t xml:space="preserve">127.00 </w:t>
        <w:tab/>
        <w:t xml:space="preserve">125.00 </w:t>
        <w:tab/>
        <w:t xml:space="preserve">128.00 </w:t>
        <w:tab/>
        <w:t xml:space="preserve">130.00 </w:t>
        <w:tab/>
        <w:t xml:space="preserve">130.00 </w:t>
      </w:r>
    </w:p>
    <w:p>
      <w:pPr>
        <w:pStyle w:val="right-1ab"/>
        <w:rPr/>
      </w:pPr>
      <w:r>
        <w:rPr/>
        <w:tab/>
        <w:tab/>
        <w:tab/>
        <w:tab/>
        <w:tab/>
      </w:r>
    </w:p>
    <w:p>
      <w:pPr>
        <w:pStyle w:val="right-1ab"/>
        <w:rPr/>
      </w:pPr>
      <w:r>
        <w:rPr/>
        <w:tab/>
        <w:tab/>
        <w:tab/>
        <w:tab/>
        <w:tab/>
      </w:r>
    </w:p>
    <w:p>
      <w:pPr>
        <w:pStyle w:val="right-1ab"/>
        <w:rPr/>
      </w:pPr>
      <w:r>
        <w:rPr/>
        <w:tab/>
        <w:t xml:space="preserve">119.00 </w:t>
        <w:tab/>
        <w:t xml:space="preserve">116.00 </w:t>
        <w:tab/>
        <w:t xml:space="preserve">121.00 </w:t>
        <w:tab/>
        <w:t xml:space="preserve">122.00 </w:t>
        <w:tab/>
        <w:t xml:space="preserve">122.00 </w:t>
      </w:r>
    </w:p>
    <w:p>
      <w:pPr>
        <w:pStyle w:val="right-1ab"/>
        <w:rPr/>
      </w:pPr>
      <w:r>
        <w:rPr/>
        <w:tab/>
        <w:tab/>
        <w:tab/>
        <w:tab/>
        <w:tab/>
      </w:r>
    </w:p>
    <w:p>
      <w:pPr>
        <w:pStyle w:val="right-1ab"/>
        <w:rPr/>
      </w:pPr>
      <w:r>
        <w:rPr/>
        <w:tab/>
        <w:tab/>
        <w:tab/>
        <w:tab/>
        <w:tab/>
      </w:r>
    </w:p>
    <w:p>
      <w:pPr>
        <w:pStyle w:val="right-1ab"/>
        <w:rPr/>
      </w:pPr>
      <w:r>
        <w:rPr/>
        <w:tab/>
        <w:t xml:space="preserve">122.00 </w:t>
        <w:tab/>
        <w:t xml:space="preserve">126.00 </w:t>
        <w:tab/>
        <w:t xml:space="preserve">126.00 </w:t>
        <w:tab/>
        <w:t xml:space="preserve">127.00 </w:t>
        <w:tab/>
        <w:t xml:space="preserve">127.00 </w:t>
      </w:r>
    </w:p>
    <w:p>
      <w:pPr>
        <w:pStyle w:val="right-1ab"/>
        <w:rPr/>
      </w:pPr>
      <w:r>
        <w:rPr/>
        <w:tab/>
        <w:t xml:space="preserve">128.00 </w:t>
        <w:tab/>
        <w:t xml:space="preserve">130.50 </w:t>
        <w:tab/>
        <w:t xml:space="preserve">132.00 </w:t>
        <w:tab/>
        <w:t xml:space="preserve">131.00 </w:t>
        <w:tab/>
        <w:t xml:space="preserve">133.00 </w:t>
      </w:r>
    </w:p>
    <w:p>
      <w:pPr>
        <w:pStyle w:val="right-1ab"/>
        <w:rPr/>
      </w:pPr>
      <w:r>
        <w:rPr/>
        <w:tab/>
        <w:tab/>
        <w:tab/>
        <w:tab/>
        <w:tab/>
      </w:r>
    </w:p>
    <w:p>
      <w:pPr>
        <w:pStyle w:val="right-1ab"/>
        <w:rPr/>
      </w:pPr>
      <w:r>
        <w:rPr/>
        <w:tab/>
        <w:tab/>
        <w:tab/>
        <w:tab/>
        <w:tab/>
      </w:r>
    </w:p>
    <w:p>
      <w:pPr>
        <w:pStyle w:val="right-1ab"/>
        <w:rPr/>
      </w:pPr>
      <w:r>
        <w:rPr/>
        <w:tab/>
        <w:t xml:space="preserve">122.50 </w:t>
        <w:tab/>
        <w:t xml:space="preserve">120.00 </w:t>
        <w:tab/>
        <w:t xml:space="preserve">124.00 </w:t>
        <w:tab/>
        <w:t xml:space="preserve">126.00 </w:t>
        <w:tab/>
        <w:t xml:space="preserve">134.00 </w:t>
      </w:r>
    </w:p>
    <w:p>
      <w:pPr>
        <w:pStyle w:val="right-1ab"/>
        <w:rPr/>
      </w:pPr>
      <w:r>
        <w:rPr/>
        <w:tab/>
        <w:t xml:space="preserve">128.00 </w:t>
        <w:tab/>
        <w:t xml:space="preserve">127.00 </w:t>
        <w:tab/>
        <w:t xml:space="preserve">132.00 </w:t>
        <w:tab/>
        <w:t xml:space="preserve">134.00 </w:t>
        <w:tab/>
        <w:t xml:space="preserve">129.00 </w:t>
      </w:r>
    </w:p>
    <w:p>
      <w:pPr>
        <w:pStyle w:val="right-1ab"/>
        <w:rPr/>
      </w:pPr>
      <w:r>
        <w:rPr/>
        <w:tab/>
        <w:tab/>
        <w:tab/>
        <w:tab/>
        <w:tab/>
      </w:r>
    </w:p>
    <w:p>
      <w:pPr>
        <w:pStyle w:val="right-1ab"/>
        <w:rPr/>
      </w:pPr>
      <w:r>
        <w:rPr/>
        <w:tab/>
        <w:tab/>
        <w:tab/>
        <w:tab/>
        <w:tab/>
      </w:r>
    </w:p>
    <w:p>
      <w:pPr>
        <w:pStyle w:val="right-1ab"/>
        <w:rPr/>
      </w:pPr>
      <w:r>
        <w:rPr/>
        <w:tab/>
        <w:t xml:space="preserve">119.00 </w:t>
        <w:tab/>
        <w:t xml:space="preserve">120.00 </w:t>
        <w:tab/>
        <w:t xml:space="preserve">126.00 </w:t>
        <w:tab/>
        <w:t xml:space="preserve">123.00 </w:t>
        <w:tab/>
        <w:t xml:space="preserve">129.00 </w:t>
      </w:r>
    </w:p>
    <w:p>
      <w:pPr>
        <w:pStyle w:val="right-1ab"/>
        <w:rPr/>
      </w:pPr>
      <w:r>
        <w:rPr/>
        <w:tab/>
        <w:t xml:space="preserve">126.00 </w:t>
        <w:tab/>
        <w:t xml:space="preserve">127.00 </w:t>
        <w:tab/>
        <w:t xml:space="preserve">129.00 </w:t>
        <w:tab/>
        <w:t xml:space="preserve">127.00 </w:t>
        <w:tab/>
        <w:t xml:space="preserve">132.25 </w:t>
      </w:r>
    </w:p>
    <w:p>
      <w:pPr>
        <w:pStyle w:val="right-1ab"/>
        <w:rPr/>
      </w:pPr>
      <w:r>
        <w:rPr/>
        <w:tab/>
        <w:tab/>
        <w:tab/>
        <w:tab/>
        <w:tab/>
      </w:r>
    </w:p>
    <w:p>
      <w:pPr>
        <w:pStyle w:val="right-1ab"/>
        <w:rPr/>
      </w:pPr>
      <w:r>
        <w:rPr/>
        <w:tab/>
        <w:tab/>
        <w:tab/>
        <w:tab/>
        <w:tab/>
      </w:r>
    </w:p>
    <w:p>
      <w:pPr>
        <w:pStyle w:val="right-1ab"/>
        <w:rPr/>
      </w:pPr>
      <w:r>
        <w:rPr/>
        <w:tab/>
        <w:t xml:space="preserve">128.50 </w:t>
        <w:tab/>
        <w:t xml:space="preserve">123.00 </w:t>
        <w:tab/>
        <w:t xml:space="preserve">127.50 </w:t>
        <w:tab/>
        <w:t xml:space="preserve">128.50 </w:t>
        <w:tab/>
        <w:t xml:space="preserve">135.50 </w:t>
      </w:r>
    </w:p>
    <w:p>
      <w:pPr>
        <w:pStyle w:val="right-1ab"/>
        <w:rPr/>
      </w:pPr>
      <w:r>
        <w:rPr/>
        <w:tab/>
        <w:t xml:space="preserve">129.50 </w:t>
        <w:tab/>
        <w:t xml:space="preserve">128.50 </w:t>
        <w:tab/>
        <w:t xml:space="preserve">130.50 </w:t>
        <w:tab/>
        <w:t xml:space="preserve">133.50 </w:t>
        <w:tab/>
        <w:t xml:space="preserve">140.00 </w:t>
      </w:r>
    </w:p>
    <w:p>
      <w:pPr>
        <w:pStyle w:val="right-1ab"/>
        <w:rPr/>
      </w:pPr>
      <w:r>
        <w:rPr/>
        <w:tab/>
        <w:t xml:space="preserve">138.00 </w:t>
        <w:tab/>
        <w:t xml:space="preserve">139.00 </w:t>
        <w:tab/>
        <w:t xml:space="preserve">143.00 </w:t>
        <w:tab/>
        <w:t xml:space="preserve">143.00 </w:t>
        <w:tab/>
        <w:t>149.50</w:t>
      </w:r>
    </w:p>
    <w:p>
      <w:pPr>
        <w:pStyle w:val="right-1ab"/>
        <w:rPr/>
      </w:pPr>
      <w:r>
        <w:rPr/>
      </w:r>
    </w:p>
    <w:p>
      <w:pPr>
        <w:sectPr>
          <w:type w:val="continuous"/>
          <w:pgSz w:w="12240" w:h="15840"/>
          <w:pgMar w:left="1440" w:right="1440" w:gutter="0" w:header="0" w:top="1152" w:footer="0" w:bottom="1152"/>
          <w:cols w:num="2" w:equalWidth="false" w:sep="false">
            <w:col w:w="2610" w:space="184"/>
            <w:col w:w="6566"/>
          </w:cols>
          <w:formProt w:val="false"/>
          <w:textDirection w:val="lrTb"/>
        </w:sectPr>
      </w:pPr>
    </w:p>
    <w:p>
      <w:pPr>
        <w:sectPr>
          <w:type w:val="continuous"/>
          <w:pgSz w:w="12240" w:h="15840"/>
          <w:pgMar w:left="1440" w:right="1440" w:gutter="0" w:header="0" w:top="1152" w:footer="0" w:bottom="1152"/>
          <w:formProt w:val="false"/>
          <w:textDirection w:val="lrTb"/>
        </w:sectPr>
        <w:pStyle w:val="footnotesfortables"/>
        <w:tabs>
          <w:tab w:val="clear" w:pos="360"/>
          <w:tab w:val="clear" w:pos="1440"/>
          <w:tab w:val="clear" w:pos="1800"/>
          <w:tab w:val="clear" w:pos="2880"/>
          <w:tab w:val="clear" w:pos="3240"/>
          <w:tab w:val="clear" w:pos="4320"/>
          <w:tab w:val="clear" w:pos="4680"/>
          <w:tab w:val="clear" w:pos="5760"/>
          <w:tab w:val="clear" w:pos="6120"/>
        </w:tabs>
        <w:rPr/>
      </w:pPr>
      <w:r>
        <w:rPr/>
        <w:t xml:space="preserve">Source:  </w:t>
      </w:r>
      <w:r>
        <w:rPr>
          <w:i/>
          <w:iCs/>
        </w:rPr>
        <w:t>Bunkerfuels Report</w:t>
      </w:r>
      <w:r>
        <w:rPr/>
        <w:t>.  Prices are means of the range</w:t>
        <w:br/>
        <w:t>a Ex wharf</w:t>
        <w:tab/>
        <w:t>b Delivered.</w:t>
        <w:tab/>
        <w:t>n/a - not available</w:t>
      </w:r>
      <w:r>
        <w:br w:type="page"/>
      </w:r>
    </w:p>
    <w:p>
      <w:pPr>
        <w:pStyle w:val="Heading4"/>
        <w:ind w:hanging="0" w:start="0"/>
        <w:rPr/>
      </w:pPr>
      <w:r>
        <w:rPr/>
        <w:t>Table I-D:  Recent Spot Freight Costs of Fuel Oil</w:t>
      </w:r>
    </w:p>
    <w:p>
      <w:pPr>
        <w:pStyle w:val="RIGHT1D"/>
        <w:tabs>
          <w:tab w:val="clear" w:pos="1260"/>
          <w:tab w:val="clear" w:pos="2700"/>
          <w:tab w:val="clear" w:pos="4050"/>
          <w:tab w:val="clear" w:pos="5310"/>
          <w:tab w:val="center" w:pos="5220" w:leader="none"/>
          <w:tab w:val="center" w:pos="7920" w:leader="none"/>
        </w:tabs>
        <w:rPr/>
      </w:pPr>
      <w:r>
        <w:rPr/>
        <w:tab/>
      </w:r>
    </w:p>
    <w:p>
      <w:pPr>
        <w:pStyle w:val="RIGHT1D"/>
        <w:tabs>
          <w:tab w:val="clear" w:pos="1260"/>
          <w:tab w:val="clear" w:pos="2700"/>
          <w:tab w:val="clear" w:pos="4050"/>
          <w:tab w:val="clear" w:pos="5310"/>
          <w:tab w:val="center" w:pos="5220" w:leader="none"/>
          <w:tab w:val="center" w:pos="7920" w:leader="none"/>
        </w:tabs>
        <w:rPr/>
      </w:pPr>
      <w:r>
        <w:rPr/>
        <w:tab/>
        <w:t xml:space="preserve">Worldscale Percentage or </w:t>
        <w:tab/>
      </w:r>
    </w:p>
    <w:p>
      <w:pPr>
        <w:pStyle w:val="RIGHT1D"/>
        <w:tabs>
          <w:tab w:val="clear" w:pos="1260"/>
          <w:tab w:val="clear" w:pos="2700"/>
          <w:tab w:val="clear" w:pos="4050"/>
          <w:tab w:val="clear" w:pos="5310"/>
          <w:tab w:val="center" w:pos="5220" w:leader="none"/>
          <w:tab w:val="center" w:pos="7920" w:leader="none"/>
        </w:tabs>
        <w:rPr/>
      </w:pPr>
      <w:r>
        <w:rPr/>
        <w:tab/>
      </w:r>
      <w:r>
        <w:rPr>
          <w:u w:val="single"/>
        </w:rPr>
        <w:t>Lump Sum in 000's US$</w:t>
      </w:r>
      <w:r>
        <w:rPr/>
        <w:tab/>
      </w:r>
      <w:r>
        <w:rPr>
          <w:u w:val="single"/>
        </w:rPr>
        <w:t>US$/Metric Ton</w:t>
      </w:r>
    </w:p>
    <w:p>
      <w:pPr>
        <w:sectPr>
          <w:headerReference w:type="default" r:id="rId9"/>
          <w:footerReference w:type="default" r:id="rId10"/>
          <w:type w:val="nextPage"/>
          <w:pgSz w:w="12240" w:h="15840"/>
          <w:pgMar w:left="1440" w:right="1440" w:gutter="0" w:header="576" w:top="1152" w:footer="576" w:bottom="1152"/>
          <w:pgNumType w:fmt="decimal"/>
          <w:formProt w:val="false"/>
          <w:textDirection w:val="lrTb"/>
        </w:sectPr>
      </w:pPr>
    </w:p>
    <w:p>
      <w:pPr>
        <w:pStyle w:val="LEFT1D"/>
        <w:tabs>
          <w:tab w:val="clear" w:pos="2970"/>
          <w:tab w:val="left" w:pos="1440" w:leader="none"/>
          <w:tab w:val="center" w:pos="3060" w:leader="none"/>
        </w:tabs>
        <w:rPr>
          <w:sz w:val="8"/>
          <w:szCs w:val="8"/>
          <w:u w:val="single"/>
        </w:rPr>
      </w:pPr>
      <w:r>
        <w:rPr>
          <w:sz w:val="8"/>
          <w:szCs w:val="8"/>
          <w:u w:val="single"/>
        </w:rPr>
      </w:r>
    </w:p>
    <w:p>
      <w:pPr>
        <w:pStyle w:val="LEFT1D"/>
        <w:tabs>
          <w:tab w:val="clear" w:pos="2970"/>
          <w:tab w:val="left" w:pos="1440" w:leader="none"/>
          <w:tab w:val="center" w:pos="3060" w:leader="none"/>
        </w:tabs>
        <w:rPr/>
      </w:pPr>
      <w:r>
        <w:rPr/>
      </w:r>
    </w:p>
    <w:p>
      <w:pPr>
        <w:pStyle w:val="LEFT1D"/>
        <w:tabs>
          <w:tab w:val="clear" w:pos="2970"/>
          <w:tab w:val="left" w:pos="1440" w:leader="none"/>
          <w:tab w:val="center" w:pos="3060" w:leader="none"/>
        </w:tabs>
        <w:spacing w:lineRule="exact" w:line="240"/>
        <w:rPr/>
      </w:pPr>
      <w:r>
        <w:rPr/>
        <w:t>Voyage:</w:t>
        <w:tab/>
        <w:tab/>
        <w:t>Cargo Size</w:t>
        <w:br/>
      </w:r>
      <w:r>
        <w:rPr>
          <w:u w:val="single"/>
        </w:rPr>
        <w:t>From</w:t>
      </w:r>
      <w:r>
        <w:rPr/>
        <w:tab/>
      </w:r>
      <w:r>
        <w:rPr>
          <w:u w:val="single"/>
        </w:rPr>
        <w:t>To</w:t>
      </w:r>
      <w:r>
        <w:rPr/>
        <w:tab/>
      </w:r>
      <w:r>
        <w:rPr>
          <w:u w:val="single"/>
        </w:rPr>
        <w:t>(000's MT)</w:t>
        <w:br/>
      </w:r>
      <w:r>
        <w:rPr/>
        <w:tab/>
        <w:tab/>
        <w:br/>
        <w:t>Caribbean</w:t>
        <w:tab/>
        <w:t xml:space="preserve">USEC </w:t>
        <w:tab/>
        <w:t xml:space="preserve">50 </w:t>
        <w:br/>
        <w:tab/>
        <w:t>NWE</w:t>
        <w:tab/>
        <w:t xml:space="preserve">50 </w:t>
        <w:br/>
        <w:tab/>
        <w:t>Italy</w:t>
        <w:tab/>
        <w:t xml:space="preserve">50 </w:t>
        <w:br/>
        <w:tab/>
        <w:t>Singapore</w:t>
        <w:tab/>
        <w:t xml:space="preserve">80 </w:t>
        <w:br/>
        <w:tab/>
        <w:tab/>
        <w:br/>
        <w:t>USGC</w:t>
        <w:tab/>
        <w:t>USEC</w:t>
      </w:r>
      <w:r>
        <w:rPr>
          <w:vertAlign w:val="superscript"/>
        </w:rPr>
        <w:t>a</w:t>
      </w:r>
      <w:r>
        <w:rPr/>
        <w:tab/>
        <w:t xml:space="preserve">50 </w:t>
        <w:br/>
        <w:tab/>
        <w:t>NWE</w:t>
        <w:tab/>
        <w:t xml:space="preserve">50 </w:t>
        <w:br/>
        <w:tab/>
        <w:t>Italy</w:t>
        <w:tab/>
        <w:t xml:space="preserve">50 </w:t>
        <w:br/>
        <w:tab/>
        <w:t>Singapore</w:t>
        <w:tab/>
        <w:t xml:space="preserve">80 </w:t>
        <w:br/>
        <w:tab/>
        <w:tab/>
        <w:br/>
        <w:t>NWE</w:t>
        <w:tab/>
        <w:t>Italy</w:t>
        <w:tab/>
        <w:t xml:space="preserve">50 </w:t>
        <w:br/>
        <w:tab/>
        <w:t>USEC</w:t>
        <w:tab/>
        <w:t xml:space="preserve">50 </w:t>
        <w:br/>
        <w:tab/>
        <w:t>Singapore</w:t>
      </w:r>
      <w:r>
        <w:rPr>
          <w:vertAlign w:val="superscript"/>
        </w:rPr>
        <w:t>b</w:t>
      </w:r>
      <w:r>
        <w:rPr/>
        <w:tab/>
        <w:t xml:space="preserve">80 </w:t>
        <w:br/>
        <w:tab/>
        <w:tab/>
        <w:br/>
        <w:t>Italy</w:t>
        <w:tab/>
        <w:t>NWE</w:t>
        <w:tab/>
        <w:t xml:space="preserve">50 </w:t>
        <w:br/>
        <w:tab/>
        <w:t>USEC</w:t>
        <w:tab/>
        <w:t xml:space="preserve">50 </w:t>
        <w:br/>
        <w:tab/>
        <w:t>Singapore</w:t>
      </w:r>
      <w:r>
        <w:rPr>
          <w:vertAlign w:val="superscript"/>
        </w:rPr>
        <w:t>b</w:t>
      </w:r>
      <w:r>
        <w:rPr/>
        <w:tab/>
        <w:t xml:space="preserve">80 </w:t>
        <w:br/>
        <w:tab/>
        <w:tab/>
        <w:br/>
        <w:t>Mideast Gulf</w:t>
        <w:tab/>
        <w:t>Fujairah</w:t>
        <w:tab/>
        <w:t xml:space="preserve">80 </w:t>
        <w:br/>
        <w:tab/>
        <w:t>Singapore</w:t>
        <w:tab/>
        <w:t xml:space="preserve">80 </w:t>
        <w:br/>
        <w:tab/>
        <w:t>NWE</w:t>
      </w:r>
      <w:r>
        <w:rPr>
          <w:vertAlign w:val="superscript"/>
        </w:rPr>
        <w:t>b</w:t>
      </w:r>
      <w:r>
        <w:rPr/>
        <w:tab/>
        <w:t xml:space="preserve">80 </w:t>
        <w:br/>
        <w:tab/>
        <w:t>Italy</w:t>
      </w:r>
      <w:r>
        <w:rPr>
          <w:vertAlign w:val="superscript"/>
        </w:rPr>
        <w:t>b</w:t>
      </w:r>
      <w:r>
        <w:rPr/>
        <w:tab/>
        <w:t xml:space="preserve">80 </w:t>
        <w:br/>
        <w:tab/>
        <w:t>USEC</w:t>
      </w:r>
      <w:r>
        <w:rPr>
          <w:vertAlign w:val="superscript"/>
        </w:rPr>
        <w:t>b</w:t>
      </w:r>
      <w:r>
        <w:rPr/>
        <w:tab/>
        <w:t xml:space="preserve">80 </w:t>
        <w:br/>
        <w:tab/>
        <w:t>USGC</w:t>
      </w:r>
      <w:r>
        <w:rPr>
          <w:vertAlign w:val="superscript"/>
        </w:rPr>
        <w:t>b</w:t>
      </w:r>
      <w:r>
        <w:rPr/>
        <w:tab/>
        <w:t xml:space="preserve">80 </w:t>
        <w:br/>
        <w:tab/>
        <w:tab/>
        <w:br/>
        <w:t>Singapore</w:t>
        <w:tab/>
        <w:t>Japan</w:t>
        <w:tab/>
        <w:t xml:space="preserve">80 </w:t>
        <w:br/>
        <w:tab/>
        <w:t>Taiwan</w:t>
        <w:tab/>
        <w:t xml:space="preserve">80 </w:t>
        <w:br/>
        <w:tab/>
        <w:t>South Korea</w:t>
        <w:tab/>
        <w:t xml:space="preserve">80 </w:t>
        <w:br/>
        <w:tab/>
        <w:t>USWC</w:t>
        <w:tab/>
        <w:t xml:space="preserve">80 </w:t>
        <w:br/>
        <w:tab/>
        <w:t>USEC</w:t>
        <w:tab/>
        <w:t xml:space="preserve">80 </w:t>
        <w:br/>
        <w:tab/>
        <w:t>USGC</w:t>
        <w:tab/>
        <w:t xml:space="preserve">80 </w:t>
        <w:br/>
        <w:tab/>
        <w:tab/>
        <w:br/>
        <w:t>USWC</w:t>
        <w:tab/>
        <w:t>Japan</w:t>
        <w:tab/>
        <w:t xml:space="preserve">80 </w:t>
        <w:br/>
        <w:tab/>
        <w:t>Taiwan</w:t>
        <w:tab/>
        <w:t xml:space="preserve">80 </w:t>
        <w:br/>
        <w:tab/>
        <w:t>South Korea</w:t>
        <w:tab/>
        <w:t xml:space="preserve">80 </w:t>
        <w:br/>
        <w:tab/>
        <w:t>Singapore</w:t>
        <w:tab/>
        <w:t>80</w:t>
        <w:br/>
      </w:r>
    </w:p>
    <w:p>
      <w:pPr>
        <w:pStyle w:val="RIGHT1D"/>
        <w:rPr/>
      </w:pPr>
      <w:r>
        <w:br w:type="column"/>
      </w:r>
      <w:r>
        <w:rPr/>
        <w:tab/>
        <w:tab/>
        <w:tab/>
        <w:tab/>
      </w:r>
    </w:p>
    <w:p>
      <w:pPr>
        <w:pStyle w:val="RIGHT1D"/>
        <w:rPr/>
      </w:pPr>
      <w:r>
        <w:rPr/>
        <w:tab/>
        <w:t>lst Week</w:t>
        <w:tab/>
        <w:t>lst Week</w:t>
        <w:tab/>
        <w:t>lst Week</w:t>
        <w:tab/>
        <w:t>lst Week</w:t>
      </w:r>
    </w:p>
    <w:p>
      <w:pPr>
        <w:pStyle w:val="RIGHT1D"/>
        <w:rPr/>
      </w:pPr>
      <w:r>
        <w:rPr/>
        <w:tab/>
        <w:t>July</w:t>
        <w:tab/>
        <w:t>Sept</w:t>
        <w:tab/>
        <w:t>July</w:t>
        <w:tab/>
        <w:t>Sept</w:t>
      </w:r>
    </w:p>
    <w:p>
      <w:pPr>
        <w:pStyle w:val="RIGHT1D"/>
        <w:rPr/>
      </w:pPr>
      <w:r>
        <w:rPr/>
        <w:tab/>
      </w:r>
      <w:r>
        <w:rPr>
          <w:u w:val="single"/>
        </w:rPr>
        <w:t>1999</w:t>
      </w:r>
      <w:r>
        <w:rPr/>
        <w:t xml:space="preserve"> </w:t>
        <w:tab/>
      </w:r>
      <w:r>
        <w:rPr>
          <w:u w:val="single"/>
        </w:rPr>
        <w:t>1999</w:t>
      </w:r>
      <w:r>
        <w:rPr/>
        <w:t xml:space="preserve"> </w:t>
        <w:tab/>
      </w:r>
      <w:r>
        <w:rPr>
          <w:u w:val="single"/>
        </w:rPr>
        <w:t>1999</w:t>
      </w:r>
      <w:r>
        <w:rPr/>
        <w:tab/>
      </w:r>
      <w:r>
        <w:rPr>
          <w:u w:val="single"/>
        </w:rPr>
        <w:t>1999</w:t>
      </w:r>
    </w:p>
    <w:p>
      <w:pPr>
        <w:pStyle w:val="RIGHT1D"/>
        <w:rPr/>
      </w:pPr>
      <w:r>
        <w:rPr/>
        <w:tab/>
        <w:tab/>
        <w:tab/>
        <w:tab/>
      </w:r>
    </w:p>
    <w:p>
      <w:pPr>
        <w:pStyle w:val="RIGHT1D"/>
        <w:rPr/>
      </w:pPr>
      <w:r>
        <w:rPr/>
        <w:tab/>
        <w:t xml:space="preserve">118 </w:t>
        <w:tab/>
        <w:t xml:space="preserve">115 </w:t>
        <w:tab/>
        <w:t xml:space="preserve">4.52 </w:t>
        <w:tab/>
        <w:t xml:space="preserve">4.43 </w:t>
      </w:r>
    </w:p>
    <w:p>
      <w:pPr>
        <w:pStyle w:val="RIGHT1D"/>
        <w:rPr/>
      </w:pPr>
      <w:r>
        <w:rPr/>
        <w:tab/>
        <w:t xml:space="preserve">105 </w:t>
        <w:tab/>
        <w:t xml:space="preserve">103 </w:t>
        <w:tab/>
        <w:t xml:space="preserve">7.99 </w:t>
        <w:tab/>
        <w:t xml:space="preserve">7.80 </w:t>
      </w:r>
    </w:p>
    <w:p>
      <w:pPr>
        <w:pStyle w:val="RIGHT1D"/>
        <w:rPr/>
      </w:pPr>
      <w:r>
        <w:rPr/>
        <w:tab/>
        <w:t xml:space="preserve">105 </w:t>
        <w:tab/>
        <w:t xml:space="preserve">100 </w:t>
        <w:tab/>
        <w:t xml:space="preserve">8.45 </w:t>
        <w:tab/>
        <w:t xml:space="preserve">8.05 </w:t>
      </w:r>
    </w:p>
    <w:p>
      <w:pPr>
        <w:pStyle w:val="RIGHT1D"/>
        <w:rPr/>
      </w:pPr>
      <w:r>
        <w:rPr/>
        <w:tab/>
        <w:t xml:space="preserve">$900 </w:t>
        <w:tab/>
        <w:t xml:space="preserve">$950 </w:t>
        <w:tab/>
        <w:t xml:space="preserve">11.25 </w:t>
        <w:tab/>
        <w:t xml:space="preserve">11.88 </w:t>
      </w:r>
    </w:p>
    <w:p>
      <w:pPr>
        <w:pStyle w:val="RIGHT1D"/>
        <w:rPr/>
      </w:pPr>
      <w:r>
        <w:rPr/>
        <w:tab/>
        <w:tab/>
        <w:tab/>
        <w:tab/>
      </w:r>
    </w:p>
    <w:p>
      <w:pPr>
        <w:pStyle w:val="RIGHT1D"/>
        <w:rPr/>
      </w:pPr>
      <w:r>
        <w:rPr/>
        <w:tab/>
        <w:t xml:space="preserve">175 </w:t>
        <w:tab/>
        <w:t xml:space="preserve">160 </w:t>
        <w:tab/>
        <w:t xml:space="preserve">9.78 </w:t>
        <w:tab/>
        <w:t xml:space="preserve">8.94 </w:t>
      </w:r>
    </w:p>
    <w:p>
      <w:pPr>
        <w:pStyle w:val="RIGHT1D"/>
        <w:rPr/>
      </w:pPr>
      <w:r>
        <w:rPr/>
        <w:tab/>
        <w:t xml:space="preserve">105 </w:t>
        <w:tab/>
        <w:t xml:space="preserve">100 </w:t>
        <w:tab/>
        <w:t xml:space="preserve">8.98 </w:t>
        <w:tab/>
        <w:t xml:space="preserve">8.55 </w:t>
      </w:r>
    </w:p>
    <w:p>
      <w:pPr>
        <w:pStyle w:val="RIGHT1D"/>
        <w:rPr/>
      </w:pPr>
      <w:r>
        <w:rPr/>
        <w:tab/>
        <w:t xml:space="preserve">105 </w:t>
        <w:tab/>
        <w:t xml:space="preserve">100 </w:t>
        <w:tab/>
        <w:t xml:space="preserve">9.80 </w:t>
        <w:tab/>
        <w:t xml:space="preserve">9.33 </w:t>
      </w:r>
    </w:p>
    <w:p>
      <w:pPr>
        <w:pStyle w:val="RIGHT1D"/>
        <w:rPr/>
      </w:pPr>
      <w:r>
        <w:rPr/>
        <w:tab/>
        <w:t xml:space="preserve">$1,100 </w:t>
        <w:tab/>
        <w:t xml:space="preserve">$1,000 </w:t>
        <w:tab/>
        <w:t xml:space="preserve">13.75 </w:t>
        <w:tab/>
        <w:t xml:space="preserve">12.50 </w:t>
      </w:r>
    </w:p>
    <w:p>
      <w:pPr>
        <w:pStyle w:val="RIGHT1D"/>
        <w:rPr/>
      </w:pPr>
      <w:r>
        <w:rPr/>
        <w:tab/>
        <w:tab/>
        <w:tab/>
        <w:tab/>
      </w:r>
    </w:p>
    <w:p>
      <w:pPr>
        <w:pStyle w:val="RIGHT1D"/>
        <w:rPr/>
      </w:pPr>
      <w:r>
        <w:rPr/>
        <w:tab/>
        <w:t xml:space="preserve">130 </w:t>
        <w:tab/>
        <w:t xml:space="preserve">120 </w:t>
        <w:tab/>
        <w:t xml:space="preserve">7.22 </w:t>
        <w:tab/>
        <w:t xml:space="preserve">6.66 </w:t>
      </w:r>
    </w:p>
    <w:p>
      <w:pPr>
        <w:pStyle w:val="RIGHT1D"/>
        <w:rPr/>
      </w:pPr>
      <w:r>
        <w:rPr/>
        <w:tab/>
        <w:t xml:space="preserve">128 </w:t>
        <w:tab/>
        <w:t xml:space="preserve">125 </w:t>
        <w:tab/>
        <w:t xml:space="preserve">8.38 </w:t>
        <w:tab/>
        <w:t xml:space="preserve">8.21 </w:t>
      </w:r>
    </w:p>
    <w:p>
      <w:pPr>
        <w:pStyle w:val="RIGHT1D"/>
        <w:rPr/>
      </w:pPr>
      <w:r>
        <w:rPr/>
        <w:tab/>
        <w:t xml:space="preserve">$1,100 </w:t>
        <w:tab/>
        <w:t xml:space="preserve">$950 </w:t>
        <w:tab/>
        <w:t xml:space="preserve">13.75 </w:t>
        <w:tab/>
        <w:t xml:space="preserve">11.88 </w:t>
      </w:r>
    </w:p>
    <w:p>
      <w:pPr>
        <w:pStyle w:val="RIGHT1D"/>
        <w:rPr/>
      </w:pPr>
      <w:r>
        <w:rPr/>
        <w:tab/>
        <w:tab/>
        <w:tab/>
        <w:tab/>
      </w:r>
    </w:p>
    <w:p>
      <w:pPr>
        <w:pStyle w:val="RIGHT1D"/>
        <w:rPr/>
      </w:pPr>
      <w:r>
        <w:rPr/>
        <w:tab/>
        <w:t xml:space="preserve">130 </w:t>
        <w:tab/>
        <w:t xml:space="preserve">125 </w:t>
        <w:tab/>
        <w:t xml:space="preserve">7.22 </w:t>
        <w:tab/>
        <w:t xml:space="preserve">6.94 </w:t>
      </w:r>
    </w:p>
    <w:p>
      <w:pPr>
        <w:pStyle w:val="RIGHT1D"/>
        <w:rPr/>
      </w:pPr>
      <w:r>
        <w:rPr/>
        <w:tab/>
        <w:t xml:space="preserve">125 </w:t>
        <w:tab/>
        <w:t xml:space="preserve">120 </w:t>
        <w:tab/>
        <w:t xml:space="preserve">9.34 </w:t>
        <w:tab/>
        <w:t xml:space="preserve">8.96 </w:t>
      </w:r>
    </w:p>
    <w:p>
      <w:pPr>
        <w:pStyle w:val="RIGHT1D"/>
        <w:rPr/>
      </w:pPr>
      <w:r>
        <w:rPr/>
        <w:tab/>
        <w:t xml:space="preserve">$950 </w:t>
        <w:tab/>
        <w:t xml:space="preserve">$975 </w:t>
        <w:tab/>
        <w:t xml:space="preserve">11.88 </w:t>
        <w:tab/>
        <w:t xml:space="preserve">12.19 </w:t>
      </w:r>
    </w:p>
    <w:p>
      <w:pPr>
        <w:pStyle w:val="RIGHT1D"/>
        <w:rPr/>
      </w:pPr>
      <w:r>
        <w:rPr/>
        <w:tab/>
        <w:tab/>
        <w:tab/>
        <w:tab/>
      </w:r>
    </w:p>
    <w:p>
      <w:pPr>
        <w:pStyle w:val="RIGHT1D"/>
        <w:rPr/>
      </w:pPr>
      <w:r>
        <w:rPr/>
        <w:tab/>
        <w:t xml:space="preserve">$120 </w:t>
        <w:tab/>
        <w:t xml:space="preserve">$130 </w:t>
        <w:tab/>
        <w:t xml:space="preserve">1.50 </w:t>
        <w:tab/>
        <w:t xml:space="preserve">1.63 </w:t>
      </w:r>
    </w:p>
    <w:p>
      <w:pPr>
        <w:pStyle w:val="RIGHT1D"/>
        <w:rPr/>
      </w:pPr>
      <w:r>
        <w:rPr/>
        <w:tab/>
        <w:t xml:space="preserve">68 </w:t>
        <w:tab/>
        <w:t xml:space="preserve">98 </w:t>
        <w:tab/>
        <w:t xml:space="preserve">4.00 </w:t>
        <w:tab/>
        <w:t xml:space="preserve">5.78 </w:t>
      </w:r>
    </w:p>
    <w:p>
      <w:pPr>
        <w:pStyle w:val="RIGHT1D"/>
        <w:rPr/>
      </w:pPr>
      <w:r>
        <w:rPr/>
        <w:tab/>
        <w:t xml:space="preserve">70 </w:t>
        <w:tab/>
        <w:t xml:space="preserve">90 </w:t>
        <w:tab/>
        <w:t xml:space="preserve">11.41 </w:t>
        <w:tab/>
        <w:t xml:space="preserve">13.53 </w:t>
      </w:r>
    </w:p>
    <w:p>
      <w:pPr>
        <w:pStyle w:val="RIGHT1D"/>
        <w:rPr/>
      </w:pPr>
      <w:r>
        <w:rPr/>
        <w:tab/>
        <w:t xml:space="preserve">70 </w:t>
        <w:tab/>
        <w:t xml:space="preserve">93 </w:t>
        <w:tab/>
        <w:t xml:space="preserve">9.76 </w:t>
        <w:tab/>
        <w:t xml:space="preserve">11.62 </w:t>
      </w:r>
    </w:p>
    <w:p>
      <w:pPr>
        <w:pStyle w:val="RIGHT1D"/>
        <w:rPr/>
      </w:pPr>
      <w:r>
        <w:rPr/>
        <w:tab/>
        <w:t xml:space="preserve">80 </w:t>
        <w:tab/>
        <w:t xml:space="preserve">90 </w:t>
        <w:tab/>
        <w:t xml:space="preserve">14.04 </w:t>
        <w:tab/>
        <w:t xml:space="preserve">15.30 </w:t>
      </w:r>
    </w:p>
    <w:p>
      <w:pPr>
        <w:pStyle w:val="RIGHT1D"/>
        <w:rPr/>
      </w:pPr>
      <w:r>
        <w:rPr/>
        <w:tab/>
        <w:t xml:space="preserve">88 </w:t>
        <w:tab/>
        <w:t xml:space="preserve">88 </w:t>
        <w:tab/>
        <w:t xml:space="preserve">16.63 </w:t>
        <w:tab/>
        <w:t xml:space="preserve">16.63 </w:t>
      </w:r>
    </w:p>
    <w:p>
      <w:pPr>
        <w:pStyle w:val="RIGHT1D"/>
        <w:rPr/>
      </w:pPr>
      <w:r>
        <w:rPr/>
        <w:tab/>
        <w:tab/>
        <w:tab/>
        <w:tab/>
      </w:r>
    </w:p>
    <w:p>
      <w:pPr>
        <w:pStyle w:val="RIGHT1D"/>
        <w:rPr/>
      </w:pPr>
      <w:r>
        <w:rPr/>
        <w:tab/>
        <w:t xml:space="preserve">80 </w:t>
        <w:tab/>
        <w:t xml:space="preserve">100 </w:t>
        <w:tab/>
        <w:t xml:space="preserve">4.35 </w:t>
        <w:tab/>
        <w:t xml:space="preserve">5.44 </w:t>
      </w:r>
    </w:p>
    <w:p>
      <w:pPr>
        <w:pStyle w:val="RIGHT1D"/>
        <w:rPr/>
      </w:pPr>
      <w:r>
        <w:rPr/>
        <w:tab/>
        <w:t xml:space="preserve">80 </w:t>
        <w:tab/>
        <w:t xml:space="preserve">105 </w:t>
        <w:tab/>
        <w:t xml:space="preserve">2.66 </w:t>
        <w:tab/>
        <w:t xml:space="preserve">3.50 </w:t>
      </w:r>
    </w:p>
    <w:p>
      <w:pPr>
        <w:pStyle w:val="RIGHT1D"/>
        <w:rPr/>
      </w:pPr>
      <w:r>
        <w:rPr/>
        <w:tab/>
        <w:t xml:space="preserve">80 </w:t>
        <w:tab/>
        <w:t xml:space="preserve">100 </w:t>
        <w:tab/>
        <w:t xml:space="preserve">3.54 </w:t>
        <w:tab/>
        <w:t xml:space="preserve">4.42 </w:t>
      </w:r>
    </w:p>
    <w:p>
      <w:pPr>
        <w:pStyle w:val="RIGHT1D"/>
        <w:rPr/>
      </w:pPr>
      <w:r>
        <w:rPr/>
        <w:tab/>
        <w:t xml:space="preserve">$775 </w:t>
        <w:tab/>
        <w:t xml:space="preserve">$775 </w:t>
        <w:tab/>
        <w:t xml:space="preserve">9.69 </w:t>
        <w:tab/>
        <w:t xml:space="preserve">9.69 </w:t>
      </w:r>
    </w:p>
    <w:p>
      <w:pPr>
        <w:pStyle w:val="RIGHT1D"/>
        <w:rPr/>
      </w:pPr>
      <w:r>
        <w:rPr/>
        <w:tab/>
        <w:t xml:space="preserve">$1,100 </w:t>
        <w:tab/>
        <w:t xml:space="preserve">$875 </w:t>
        <w:tab/>
        <w:t xml:space="preserve">13.75 </w:t>
        <w:tab/>
        <w:t xml:space="preserve">10.94 </w:t>
      </w:r>
    </w:p>
    <w:p>
      <w:pPr>
        <w:pStyle w:val="RIGHT1D"/>
        <w:rPr/>
      </w:pPr>
      <w:r>
        <w:rPr/>
        <w:tab/>
        <w:t xml:space="preserve">$900 </w:t>
        <w:tab/>
        <w:t xml:space="preserve">$900 </w:t>
        <w:tab/>
        <w:t xml:space="preserve">11.25 </w:t>
        <w:tab/>
        <w:t xml:space="preserve">11.25 </w:t>
      </w:r>
    </w:p>
    <w:p>
      <w:pPr>
        <w:pStyle w:val="RIGHT1D"/>
        <w:rPr/>
      </w:pPr>
      <w:r>
        <w:rPr/>
        <w:tab/>
        <w:tab/>
        <w:tab/>
        <w:tab/>
      </w:r>
    </w:p>
    <w:p>
      <w:pPr>
        <w:pStyle w:val="RIGHT1D"/>
        <w:rPr/>
      </w:pPr>
      <w:r>
        <w:rPr/>
        <w:tab/>
        <w:t xml:space="preserve">$750 </w:t>
        <w:tab/>
        <w:t xml:space="preserve">$750 </w:t>
        <w:tab/>
        <w:t xml:space="preserve">9.38 </w:t>
        <w:tab/>
        <w:t xml:space="preserve">9.38 </w:t>
      </w:r>
    </w:p>
    <w:p>
      <w:pPr>
        <w:pStyle w:val="RIGHT1D"/>
        <w:rPr/>
      </w:pPr>
      <w:r>
        <w:rPr/>
        <w:tab/>
        <w:t xml:space="preserve">$775 </w:t>
        <w:tab/>
        <w:t xml:space="preserve">$750 </w:t>
        <w:tab/>
        <w:t xml:space="preserve">9.69 </w:t>
        <w:tab/>
        <w:t xml:space="preserve">9.38 </w:t>
      </w:r>
    </w:p>
    <w:p>
      <w:pPr>
        <w:pStyle w:val="RIGHT1D"/>
        <w:rPr/>
      </w:pPr>
      <w:r>
        <w:rPr/>
        <w:tab/>
        <w:t xml:space="preserve">$900 </w:t>
        <w:tab/>
        <w:t xml:space="preserve">$775 </w:t>
        <w:tab/>
        <w:t xml:space="preserve">11.25 </w:t>
        <w:tab/>
        <w:t xml:space="preserve">9.69 </w:t>
      </w:r>
    </w:p>
    <w:p>
      <w:pPr>
        <w:pStyle w:val="RIGHT1D"/>
        <w:rPr/>
      </w:pPr>
      <w:r>
        <w:rPr/>
        <w:tab/>
        <w:t xml:space="preserve">$825 </w:t>
        <w:tab/>
        <w:t xml:space="preserve">$825 </w:t>
        <w:tab/>
        <w:t xml:space="preserve">10.31 </w:t>
        <w:tab/>
        <w:t xml:space="preserve">10.31 </w:t>
      </w:r>
    </w:p>
    <w:p>
      <w:pPr>
        <w:pStyle w:val="RIGHT1D"/>
        <w:rPr/>
      </w:pPr>
      <w:r>
        <w:rPr/>
        <w:tab/>
        <w:tab/>
        <w:tab/>
        <w:tab/>
      </w:r>
    </w:p>
    <w:p>
      <w:pPr>
        <w:pStyle w:val="RIGHT1D"/>
        <w:rPr/>
      </w:pPr>
      <w:r>
        <w:rPr/>
      </w:r>
    </w:p>
    <w:p>
      <w:pPr>
        <w:pStyle w:val="RIGHT1D"/>
        <w:rPr/>
      </w:pPr>
      <w:r>
        <w:rPr/>
      </w:r>
    </w:p>
    <w:p>
      <w:pPr>
        <w:sectPr>
          <w:type w:val="continuous"/>
          <w:pgSz w:w="12240" w:h="15840"/>
          <w:pgMar w:left="1440" w:right="1440" w:gutter="0" w:header="576" w:top="1152" w:footer="576" w:bottom="1152"/>
          <w:cols w:num="2" w:equalWidth="false" w:sep="false">
            <w:col w:w="3600" w:space="0"/>
            <w:col w:w="5760"/>
          </w:cols>
          <w:formProt w:val="false"/>
          <w:textDirection w:val="lrTb"/>
        </w:sectPr>
      </w:pPr>
    </w:p>
    <w:p>
      <w:pPr>
        <w:pStyle w:val="footnotesfortables"/>
        <w:rPr/>
      </w:pPr>
      <w:r>
        <w:rPr/>
      </w:r>
    </w:p>
    <w:p>
      <w:pPr>
        <w:pStyle w:val="footnotesfortables"/>
        <w:rPr/>
      </w:pPr>
      <w:r>
        <w:rPr/>
        <w:t>Source:  Poten &amp; Partners, Inc., Tanker Chartering Department.</w:t>
      </w:r>
    </w:p>
    <w:p>
      <w:pPr>
        <w:pStyle w:val="footnotesfortables"/>
        <w:rPr/>
      </w:pPr>
      <w:r>
        <w:rPr/>
      </w:r>
    </w:p>
    <w:p>
      <w:pPr>
        <w:pStyle w:val="footnotesfortables"/>
        <w:rPr/>
      </w:pPr>
      <w:r>
        <w:rPr/>
        <w:t>a  This voyage cost is based on the utilization of U.S. Flag vessels using ATRS.</w:t>
      </w:r>
    </w:p>
    <w:p>
      <w:pPr>
        <w:sectPr>
          <w:type w:val="continuous"/>
          <w:pgSz w:w="12240" w:h="15840"/>
          <w:pgMar w:left="1440" w:right="1440" w:gutter="0" w:header="576" w:top="1152" w:footer="576" w:bottom="1152"/>
          <w:formProt w:val="false"/>
          <w:textDirection w:val="lrTb"/>
        </w:sectPr>
        <w:pStyle w:val="footnotesfortables"/>
        <w:rPr/>
      </w:pPr>
      <w:r>
        <w:rPr/>
        <w:t>b  Cost of this voyage includes Suez Canal tolls.</w:t>
      </w:r>
      <w:r>
        <w:br w:type="page"/>
      </w:r>
    </w:p>
    <w:p>
      <w:pPr>
        <w:pStyle w:val="Heading1"/>
        <w:ind w:hanging="0" w:start="0"/>
        <w:rPr/>
      </w:pPr>
      <w:r>
        <w:rPr/>
        <w:t>Part II:  PRICING OUTLOOK</w:t>
      </w:r>
    </w:p>
    <w:p>
      <w:pPr>
        <w:pStyle w:val="Heading3"/>
        <w:ind w:hanging="0" w:start="0"/>
        <w:rPr/>
      </w:pPr>
      <w:r>
        <w:rPr/>
        <w:t>Crude Oil</w:t>
      </w:r>
    </w:p>
    <w:p>
      <w:pPr>
        <w:pStyle w:val="Normal"/>
        <w:rPr/>
      </w:pPr>
      <w:r>
        <w:rPr/>
        <w:t>Consistent with expectations, OPEC oil ministers easily reached agreement to abide by their March production agreement through its full term.  Talks leading to their September 22nd meeting were well orchestrated to insure that no negative signals were sent to the marketplace.  In a market where crude oil prices have responded very strongly to anticipated winter stock drawdowns, any hint of production increases was considered likely to cause a major drop in crude oil prices.  The IEA’s David Knapp advised that the gap between supply and demand for the remainder of the year is set to wipe out surplus inventories by the end of December.  To date, world oil inventories have fallen less than expected basis IEA supply calculations.  Fourth quarter 1999 and first quarter 2000 expectations of stockdraws nearing 3 million b/d, if realized, will reduce stock levels significantly.</w:t>
      </w:r>
    </w:p>
    <w:p>
      <w:pPr>
        <w:pStyle w:val="Normal"/>
        <w:rPr/>
      </w:pPr>
      <w:r>
        <w:rPr/>
      </w:r>
    </w:p>
    <w:p>
      <w:pPr>
        <w:pStyle w:val="Normal"/>
        <w:rPr/>
      </w:pPr>
      <w:r>
        <w:rPr/>
        <w:t>With Brent crude oil already trading above initial target levels, many outside of OPEC have suggested that it would be in OPEC’s best interest to increase production, thereby dampening any further price increases.  OPEC ministers disagreed, and instead have stated that they want to make sure world stockpiles are down to normal levels — those of 1996 and 1997 — before they consider easing production limits.</w:t>
      </w:r>
    </w:p>
    <w:p>
      <w:pPr>
        <w:pStyle w:val="Normal"/>
        <w:rPr/>
      </w:pPr>
      <w:r>
        <w:rPr/>
      </w:r>
    </w:p>
    <w:p>
      <w:pPr>
        <w:pStyle w:val="Normal"/>
        <w:rPr/>
      </w:pPr>
      <w:r>
        <w:rPr/>
        <w:t>During September, front month Brent prices rose from about $21 per barrel to the $24 level, the largest monthly gain of the seven month crude price rally.  If OPEC holds to its production agreement through March, prices could go significantly higher as oil stocks drop to levels well below those of 1996.  This theory was disputed by OPEC president Youcef Yousfi, who dismissed the possibility that prices would increase further between now and March as a result of production cuts.  He pointed out that the average OPEC basket price for 1999 remains below $15 per barrel and will not increase significantly by the end of the year.  This argument is flawed, however.  Current price levels and their ramifications in the present market have little relationship to the 1999 OPEC average basket price.  With OPEC’s fixation on stock levels, it is possible that prices will increase well beyond levels consistent with a sustainable balance between the needs of OPEC producers and consumers.  High price levels could quickly stifle improvements in fragile Asian economies and encourage non-OPEC investment in alternative production.  Former Saudi oil minister Sheikh Ahmed Zaki Yamani advised that OPEC should target a basket price of about $15 per barrel as a sensible long term price.  He also stated that a basket price of $18-20 per barrel (in late September the OPEC basket price is about $22 per barrel) would likely encourage non-OPEC production increases.</w:t>
      </w:r>
    </w:p>
    <w:p>
      <w:pPr>
        <w:pStyle w:val="Normal"/>
        <w:rPr/>
      </w:pPr>
      <w:r>
        <w:rPr/>
      </w:r>
    </w:p>
    <w:p>
      <w:pPr>
        <w:pStyle w:val="Normal"/>
        <w:rPr/>
      </w:pPr>
      <w:r>
        <w:rPr/>
        <w:t>Despite the bullish trend and talk, there is always a chance that the oil markets will face a price correction before the end of 1999.  The market has had a long run up over many months.  A substantial correction, at least a brief one, is a real possibility given that prices have risen by about 150% since hitting lows early in the year.</w:t>
      </w:r>
    </w:p>
    <w:p>
      <w:pPr>
        <w:pStyle w:val="Normal"/>
        <w:rPr/>
      </w:pPr>
      <w:r>
        <w:rPr/>
      </w:r>
    </w:p>
    <w:p>
      <w:pPr>
        <w:pStyle w:val="Normal"/>
        <w:rPr/>
      </w:pPr>
      <w:r>
        <w:rPr/>
        <w:t>Over the past month, OPEC has worked to establish a methodology to be used in stabilizing crude oil prices.  So far, it has proven difficult to determine whether a link to price or inventory levels would work better.  The idea of establishing a price band for Brent with production levels adjusted to maintain prices within the band was initially proposed by Venezuela.  Others felt that world inventory levels would serve as a better measure to control world price levels once they return to “more normal levels”.  After all, high stock levels were the root of last year’s price collapse.  Proponents of inventory based controls have gained status, with the Saudi’s and Iranian’s joining this group.  A Saudi official said that his country wanted to be sure that world inventories were back to normal before any change in production policy was considered.  World stock levels were considered to be the most important fundamental factor.  However, with inventory levels at least a step removed from price levels, this approach is likely to prove difficult to implement as a price control mechanism.</w:t>
      </w:r>
    </w:p>
    <w:p>
      <w:pPr>
        <w:pStyle w:val="Normal"/>
        <w:rPr/>
      </w:pPr>
      <w:r>
        <w:rPr/>
      </w:r>
    </w:p>
    <w:p>
      <w:pPr>
        <w:pStyle w:val="Normal"/>
        <w:rPr/>
      </w:pPr>
      <w:r>
        <w:rPr/>
        <w:t>The only discord evident in the September OPEC meeting was over choosing a new secretary-general to replace Mr. Rilwanu Lukman.  Both Saudi Arabia and Iran put up their respective OPEC governors as candidates for the position.  Shortly before the meeting, Algeria nominated its oil minister Youcef Yousfi.  Mr. Yousfi, OPEC’s current president, was seen as a compromise candidate, who could achieve the unanimous support required for election to the position of secretary-general.  Neither the Saudi or Iranian nominee was likely to find the unanimous support necessary to win.  In the interest of OPEC unity, Mr. Yousfi removed his name from consideration.  With no solution evident, the issue of choosing a new OPEC secretary general to replace Mr. Lukman was put on hold until the March meeting.</w:t>
      </w:r>
    </w:p>
    <w:p>
      <w:pPr>
        <w:pStyle w:val="Normal"/>
        <w:rPr/>
      </w:pPr>
      <w:r>
        <w:rPr/>
      </w:r>
    </w:p>
    <w:p>
      <w:pPr>
        <w:pStyle w:val="Normal"/>
        <w:jc w:val="center"/>
        <w:rPr/>
      </w:pPr>
      <w:r>
        <w:rPr/>
        <w:t>*   *   *   *   *   *   *   *   *   *   *</w:t>
      </w:r>
    </w:p>
    <w:p>
      <w:pPr>
        <w:pStyle w:val="Normal"/>
        <w:rPr/>
      </w:pPr>
      <w:r>
        <w:rPr/>
        <w:t>As an aside, Nigeria’s NNPC has apparently awarded the coming year’s crude oil contract export volumes to sixteen companies as follows:</w:t>
      </w:r>
    </w:p>
    <w:p>
      <w:pPr>
        <w:pStyle w:val="Normal"/>
        <w:rPr/>
      </w:pPr>
      <w:r>
        <w:rPr/>
      </w:r>
    </w:p>
    <w:tbl>
      <w:tblPr>
        <w:tblW w:w="4536" w:type="dxa"/>
        <w:jc w:val="center"/>
        <w:tblInd w:w="0" w:type="dxa"/>
        <w:tblLayout w:type="fixed"/>
        <w:tblCellMar>
          <w:top w:w="0" w:type="dxa"/>
          <w:start w:w="108" w:type="dxa"/>
          <w:bottom w:w="0" w:type="dxa"/>
          <w:end w:w="108" w:type="dxa"/>
        </w:tblCellMar>
      </w:tblPr>
      <w:tblGrid>
        <w:gridCol w:w="3168"/>
        <w:gridCol w:w="1368"/>
      </w:tblGrid>
      <w:tr>
        <w:trPr>
          <w:tblHeader w:val="true"/>
        </w:trPr>
        <w:tc>
          <w:tcPr>
            <w:tcW w:w="3168" w:type="dxa"/>
            <w:tcBorders/>
          </w:tcPr>
          <w:p>
            <w:pPr>
              <w:pStyle w:val="Normal"/>
              <w:snapToGrid w:val="false"/>
              <w:rPr>
                <w:sz w:val="20"/>
                <w:szCs w:val="20"/>
                <w:u w:val="single"/>
              </w:rPr>
            </w:pPr>
            <w:r>
              <w:rPr>
                <w:sz w:val="20"/>
                <w:szCs w:val="20"/>
                <w:u w:val="single"/>
              </w:rPr>
            </w:r>
          </w:p>
        </w:tc>
        <w:tc>
          <w:tcPr>
            <w:tcW w:w="1368" w:type="dxa"/>
            <w:tcBorders/>
          </w:tcPr>
          <w:p>
            <w:pPr>
              <w:pStyle w:val="Normal"/>
              <w:rPr>
                <w:sz w:val="20"/>
                <w:szCs w:val="20"/>
                <w:u w:val="single"/>
              </w:rPr>
            </w:pPr>
            <w:r>
              <w:rPr>
                <w:sz w:val="20"/>
                <w:szCs w:val="20"/>
                <w:u w:val="single"/>
              </w:rPr>
              <w:t>Award kb/d</w:t>
            </w:r>
          </w:p>
        </w:tc>
      </w:tr>
      <w:tr>
        <w:trPr/>
        <w:tc>
          <w:tcPr>
            <w:tcW w:w="3168" w:type="dxa"/>
            <w:tcBorders/>
          </w:tcPr>
          <w:p>
            <w:pPr>
              <w:pStyle w:val="Normal"/>
              <w:rPr>
                <w:sz w:val="20"/>
                <w:szCs w:val="20"/>
              </w:rPr>
            </w:pPr>
            <w:r>
              <w:rPr>
                <w:sz w:val="20"/>
                <w:szCs w:val="20"/>
              </w:rPr>
              <w:t>Addax</w:t>
            </w:r>
          </w:p>
        </w:tc>
        <w:tc>
          <w:tcPr>
            <w:tcW w:w="1368" w:type="dxa"/>
            <w:tcBorders/>
          </w:tcPr>
          <w:p>
            <w:pPr>
              <w:pStyle w:val="Normal"/>
              <w:tabs>
                <w:tab w:val="clear" w:pos="720"/>
                <w:tab w:val="decimal" w:pos="702" w:leader="none"/>
              </w:tabs>
              <w:rPr>
                <w:sz w:val="20"/>
                <w:szCs w:val="20"/>
              </w:rPr>
            </w:pPr>
            <w:r>
              <w:rPr>
                <w:sz w:val="20"/>
                <w:szCs w:val="20"/>
              </w:rPr>
              <w:t>90</w:t>
            </w:r>
          </w:p>
        </w:tc>
      </w:tr>
      <w:tr>
        <w:trPr/>
        <w:tc>
          <w:tcPr>
            <w:tcW w:w="3168" w:type="dxa"/>
            <w:tcBorders/>
          </w:tcPr>
          <w:p>
            <w:pPr>
              <w:pStyle w:val="Normal"/>
              <w:rPr>
                <w:sz w:val="20"/>
                <w:szCs w:val="20"/>
              </w:rPr>
            </w:pPr>
            <w:r>
              <w:rPr>
                <w:sz w:val="20"/>
                <w:szCs w:val="20"/>
              </w:rPr>
              <w:t>Arcadia</w:t>
            </w:r>
          </w:p>
        </w:tc>
        <w:tc>
          <w:tcPr>
            <w:tcW w:w="1368" w:type="dxa"/>
            <w:tcBorders/>
          </w:tcPr>
          <w:p>
            <w:pPr>
              <w:pStyle w:val="Normal"/>
              <w:tabs>
                <w:tab w:val="clear" w:pos="720"/>
                <w:tab w:val="decimal" w:pos="702" w:leader="none"/>
              </w:tabs>
              <w:rPr>
                <w:sz w:val="20"/>
                <w:szCs w:val="20"/>
              </w:rPr>
            </w:pPr>
            <w:r>
              <w:rPr>
                <w:sz w:val="20"/>
                <w:szCs w:val="20"/>
              </w:rPr>
              <w:t>100</w:t>
            </w:r>
          </w:p>
        </w:tc>
      </w:tr>
      <w:tr>
        <w:trPr/>
        <w:tc>
          <w:tcPr>
            <w:tcW w:w="3168" w:type="dxa"/>
            <w:tcBorders/>
          </w:tcPr>
          <w:p>
            <w:pPr>
              <w:pStyle w:val="Normal"/>
              <w:rPr>
                <w:sz w:val="20"/>
                <w:szCs w:val="20"/>
              </w:rPr>
            </w:pPr>
            <w:r>
              <w:rPr>
                <w:sz w:val="20"/>
                <w:szCs w:val="20"/>
              </w:rPr>
              <w:t>Attock</w:t>
            </w:r>
          </w:p>
        </w:tc>
        <w:tc>
          <w:tcPr>
            <w:tcW w:w="1368" w:type="dxa"/>
            <w:tcBorders/>
          </w:tcPr>
          <w:p>
            <w:pPr>
              <w:pStyle w:val="Normal"/>
              <w:tabs>
                <w:tab w:val="clear" w:pos="720"/>
                <w:tab w:val="decimal" w:pos="702" w:leader="none"/>
              </w:tabs>
              <w:rPr>
                <w:sz w:val="20"/>
                <w:szCs w:val="20"/>
              </w:rPr>
            </w:pPr>
            <w:r>
              <w:rPr>
                <w:sz w:val="20"/>
                <w:szCs w:val="20"/>
              </w:rPr>
              <w:t>60</w:t>
            </w:r>
          </w:p>
        </w:tc>
      </w:tr>
      <w:tr>
        <w:trPr/>
        <w:tc>
          <w:tcPr>
            <w:tcW w:w="3168" w:type="dxa"/>
            <w:tcBorders/>
          </w:tcPr>
          <w:p>
            <w:pPr>
              <w:pStyle w:val="Normal"/>
              <w:rPr>
                <w:sz w:val="20"/>
                <w:szCs w:val="20"/>
              </w:rPr>
            </w:pPr>
            <w:r>
              <w:rPr>
                <w:sz w:val="20"/>
                <w:szCs w:val="20"/>
              </w:rPr>
              <w:t>Calson</w:t>
            </w:r>
          </w:p>
        </w:tc>
        <w:tc>
          <w:tcPr>
            <w:tcW w:w="1368" w:type="dxa"/>
            <w:tcBorders/>
          </w:tcPr>
          <w:p>
            <w:pPr>
              <w:pStyle w:val="Normal"/>
              <w:tabs>
                <w:tab w:val="clear" w:pos="720"/>
                <w:tab w:val="decimal" w:pos="702" w:leader="none"/>
              </w:tabs>
              <w:rPr>
                <w:sz w:val="20"/>
                <w:szCs w:val="20"/>
              </w:rPr>
            </w:pPr>
            <w:r>
              <w:rPr>
                <w:sz w:val="20"/>
                <w:szCs w:val="20"/>
              </w:rPr>
              <w:t>30</w:t>
            </w:r>
          </w:p>
        </w:tc>
      </w:tr>
      <w:tr>
        <w:trPr/>
        <w:tc>
          <w:tcPr>
            <w:tcW w:w="3168" w:type="dxa"/>
            <w:tcBorders/>
          </w:tcPr>
          <w:p>
            <w:pPr>
              <w:pStyle w:val="Normal"/>
              <w:rPr>
                <w:sz w:val="20"/>
                <w:szCs w:val="20"/>
              </w:rPr>
            </w:pPr>
            <w:r>
              <w:rPr>
                <w:sz w:val="20"/>
                <w:szCs w:val="20"/>
              </w:rPr>
              <w:t>Duke Oil</w:t>
            </w:r>
          </w:p>
        </w:tc>
        <w:tc>
          <w:tcPr>
            <w:tcW w:w="1368" w:type="dxa"/>
            <w:tcBorders/>
          </w:tcPr>
          <w:p>
            <w:pPr>
              <w:pStyle w:val="Normal"/>
              <w:tabs>
                <w:tab w:val="clear" w:pos="720"/>
                <w:tab w:val="decimal" w:pos="702" w:leader="none"/>
              </w:tabs>
              <w:rPr>
                <w:sz w:val="20"/>
                <w:szCs w:val="20"/>
              </w:rPr>
            </w:pPr>
            <w:r>
              <w:rPr>
                <w:sz w:val="20"/>
                <w:szCs w:val="20"/>
              </w:rPr>
              <w:t>20</w:t>
            </w:r>
          </w:p>
        </w:tc>
      </w:tr>
      <w:tr>
        <w:trPr/>
        <w:tc>
          <w:tcPr>
            <w:tcW w:w="3168" w:type="dxa"/>
            <w:tcBorders/>
          </w:tcPr>
          <w:p>
            <w:pPr>
              <w:pStyle w:val="Normal"/>
              <w:rPr>
                <w:sz w:val="20"/>
                <w:szCs w:val="20"/>
              </w:rPr>
            </w:pPr>
            <w:r>
              <w:rPr>
                <w:sz w:val="20"/>
                <w:szCs w:val="20"/>
              </w:rPr>
              <w:t>Ghana Oil</w:t>
            </w:r>
          </w:p>
        </w:tc>
        <w:tc>
          <w:tcPr>
            <w:tcW w:w="1368" w:type="dxa"/>
            <w:tcBorders/>
          </w:tcPr>
          <w:p>
            <w:pPr>
              <w:pStyle w:val="Normal"/>
              <w:tabs>
                <w:tab w:val="clear" w:pos="720"/>
                <w:tab w:val="decimal" w:pos="702" w:leader="none"/>
              </w:tabs>
              <w:rPr>
                <w:sz w:val="20"/>
                <w:szCs w:val="20"/>
              </w:rPr>
            </w:pPr>
            <w:r>
              <w:rPr>
                <w:sz w:val="20"/>
                <w:szCs w:val="20"/>
              </w:rPr>
              <w:t>30</w:t>
            </w:r>
          </w:p>
        </w:tc>
      </w:tr>
      <w:tr>
        <w:trPr/>
        <w:tc>
          <w:tcPr>
            <w:tcW w:w="3168" w:type="dxa"/>
            <w:tcBorders/>
          </w:tcPr>
          <w:p>
            <w:pPr>
              <w:pStyle w:val="Normal"/>
              <w:rPr>
                <w:sz w:val="20"/>
                <w:szCs w:val="20"/>
              </w:rPr>
            </w:pPr>
            <w:r>
              <w:rPr>
                <w:sz w:val="20"/>
                <w:szCs w:val="20"/>
              </w:rPr>
              <w:t>Glencore</w:t>
            </w:r>
          </w:p>
        </w:tc>
        <w:tc>
          <w:tcPr>
            <w:tcW w:w="1368" w:type="dxa"/>
            <w:tcBorders/>
          </w:tcPr>
          <w:p>
            <w:pPr>
              <w:pStyle w:val="Normal"/>
              <w:tabs>
                <w:tab w:val="clear" w:pos="720"/>
                <w:tab w:val="decimal" w:pos="702" w:leader="none"/>
              </w:tabs>
              <w:rPr>
                <w:sz w:val="20"/>
                <w:szCs w:val="20"/>
              </w:rPr>
            </w:pPr>
            <w:r>
              <w:rPr>
                <w:sz w:val="20"/>
                <w:szCs w:val="20"/>
              </w:rPr>
              <w:t>90</w:t>
            </w:r>
          </w:p>
        </w:tc>
      </w:tr>
      <w:tr>
        <w:trPr/>
        <w:tc>
          <w:tcPr>
            <w:tcW w:w="3168" w:type="dxa"/>
            <w:tcBorders/>
          </w:tcPr>
          <w:p>
            <w:pPr>
              <w:pStyle w:val="Normal"/>
              <w:rPr>
                <w:sz w:val="20"/>
                <w:szCs w:val="20"/>
              </w:rPr>
            </w:pPr>
            <w:r>
              <w:rPr>
                <w:sz w:val="20"/>
                <w:szCs w:val="20"/>
              </w:rPr>
              <w:t>Itochu</w:t>
            </w:r>
          </w:p>
        </w:tc>
        <w:tc>
          <w:tcPr>
            <w:tcW w:w="1368" w:type="dxa"/>
            <w:tcBorders/>
          </w:tcPr>
          <w:p>
            <w:pPr>
              <w:pStyle w:val="Normal"/>
              <w:tabs>
                <w:tab w:val="clear" w:pos="720"/>
                <w:tab w:val="decimal" w:pos="702" w:leader="none"/>
              </w:tabs>
              <w:rPr>
                <w:sz w:val="20"/>
                <w:szCs w:val="20"/>
              </w:rPr>
            </w:pPr>
            <w:r>
              <w:rPr>
                <w:sz w:val="20"/>
                <w:szCs w:val="20"/>
              </w:rPr>
              <w:t>20</w:t>
            </w:r>
          </w:p>
        </w:tc>
      </w:tr>
      <w:tr>
        <w:trPr/>
        <w:tc>
          <w:tcPr>
            <w:tcW w:w="3168" w:type="dxa"/>
            <w:tcBorders/>
          </w:tcPr>
          <w:p>
            <w:pPr>
              <w:pStyle w:val="Normal"/>
              <w:rPr>
                <w:sz w:val="20"/>
                <w:szCs w:val="20"/>
              </w:rPr>
            </w:pPr>
            <w:r>
              <w:rPr>
                <w:sz w:val="20"/>
                <w:szCs w:val="20"/>
              </w:rPr>
              <w:t>Kyokuto</w:t>
            </w:r>
          </w:p>
        </w:tc>
        <w:tc>
          <w:tcPr>
            <w:tcW w:w="1368" w:type="dxa"/>
            <w:tcBorders/>
          </w:tcPr>
          <w:p>
            <w:pPr>
              <w:pStyle w:val="Normal"/>
              <w:tabs>
                <w:tab w:val="clear" w:pos="720"/>
                <w:tab w:val="decimal" w:pos="702" w:leader="none"/>
              </w:tabs>
              <w:rPr>
                <w:sz w:val="20"/>
                <w:szCs w:val="20"/>
              </w:rPr>
            </w:pPr>
            <w:r>
              <w:rPr>
                <w:sz w:val="20"/>
                <w:szCs w:val="20"/>
              </w:rPr>
              <w:t>100</w:t>
            </w:r>
          </w:p>
        </w:tc>
      </w:tr>
      <w:tr>
        <w:trPr/>
        <w:tc>
          <w:tcPr>
            <w:tcW w:w="3168" w:type="dxa"/>
            <w:tcBorders/>
          </w:tcPr>
          <w:p>
            <w:pPr>
              <w:pStyle w:val="Normal"/>
              <w:rPr>
                <w:sz w:val="20"/>
                <w:szCs w:val="20"/>
              </w:rPr>
            </w:pPr>
            <w:r>
              <w:rPr>
                <w:sz w:val="20"/>
                <w:szCs w:val="20"/>
              </w:rPr>
              <w:t>Napoil</w:t>
            </w:r>
          </w:p>
        </w:tc>
        <w:tc>
          <w:tcPr>
            <w:tcW w:w="1368" w:type="dxa"/>
            <w:tcBorders/>
          </w:tcPr>
          <w:p>
            <w:pPr>
              <w:pStyle w:val="Normal"/>
              <w:tabs>
                <w:tab w:val="clear" w:pos="720"/>
                <w:tab w:val="decimal" w:pos="702" w:leader="none"/>
              </w:tabs>
              <w:rPr>
                <w:sz w:val="20"/>
                <w:szCs w:val="20"/>
              </w:rPr>
            </w:pPr>
            <w:r>
              <w:rPr>
                <w:sz w:val="20"/>
                <w:szCs w:val="20"/>
              </w:rPr>
              <w:t>20</w:t>
            </w:r>
          </w:p>
        </w:tc>
      </w:tr>
      <w:tr>
        <w:trPr/>
        <w:tc>
          <w:tcPr>
            <w:tcW w:w="3168" w:type="dxa"/>
            <w:tcBorders/>
          </w:tcPr>
          <w:p>
            <w:pPr>
              <w:pStyle w:val="Normal"/>
              <w:rPr>
                <w:sz w:val="20"/>
                <w:szCs w:val="20"/>
              </w:rPr>
            </w:pPr>
            <w:r>
              <w:rPr>
                <w:sz w:val="20"/>
                <w:szCs w:val="20"/>
              </w:rPr>
              <w:t>National Oil Co. of Kenya</w:t>
            </w:r>
          </w:p>
        </w:tc>
        <w:tc>
          <w:tcPr>
            <w:tcW w:w="1368" w:type="dxa"/>
            <w:tcBorders/>
          </w:tcPr>
          <w:p>
            <w:pPr>
              <w:pStyle w:val="Normal"/>
              <w:tabs>
                <w:tab w:val="clear" w:pos="720"/>
                <w:tab w:val="decimal" w:pos="702" w:leader="none"/>
              </w:tabs>
              <w:rPr>
                <w:sz w:val="20"/>
                <w:szCs w:val="20"/>
              </w:rPr>
            </w:pPr>
            <w:r>
              <w:rPr>
                <w:sz w:val="20"/>
                <w:szCs w:val="20"/>
              </w:rPr>
              <w:t>30</w:t>
            </w:r>
          </w:p>
        </w:tc>
      </w:tr>
      <w:tr>
        <w:trPr/>
        <w:tc>
          <w:tcPr>
            <w:tcW w:w="3168" w:type="dxa"/>
            <w:tcBorders/>
          </w:tcPr>
          <w:p>
            <w:pPr>
              <w:pStyle w:val="Normal"/>
              <w:rPr>
                <w:sz w:val="20"/>
                <w:szCs w:val="20"/>
              </w:rPr>
            </w:pPr>
            <w:r>
              <w:rPr>
                <w:sz w:val="20"/>
                <w:szCs w:val="20"/>
              </w:rPr>
              <w:t>No. Atlantic Ref of Canada</w:t>
            </w:r>
          </w:p>
        </w:tc>
        <w:tc>
          <w:tcPr>
            <w:tcW w:w="1368" w:type="dxa"/>
            <w:tcBorders/>
          </w:tcPr>
          <w:p>
            <w:pPr>
              <w:pStyle w:val="Normal"/>
              <w:tabs>
                <w:tab w:val="clear" w:pos="720"/>
                <w:tab w:val="decimal" w:pos="702" w:leader="none"/>
              </w:tabs>
              <w:rPr>
                <w:sz w:val="20"/>
                <w:szCs w:val="20"/>
              </w:rPr>
            </w:pPr>
            <w:r>
              <w:rPr>
                <w:sz w:val="20"/>
                <w:szCs w:val="20"/>
              </w:rPr>
              <w:t>50</w:t>
            </w:r>
          </w:p>
        </w:tc>
      </w:tr>
      <w:tr>
        <w:trPr/>
        <w:tc>
          <w:tcPr>
            <w:tcW w:w="3168" w:type="dxa"/>
            <w:tcBorders/>
          </w:tcPr>
          <w:p>
            <w:pPr>
              <w:pStyle w:val="Normal"/>
              <w:rPr>
                <w:sz w:val="20"/>
                <w:szCs w:val="20"/>
              </w:rPr>
            </w:pPr>
            <w:r>
              <w:rPr>
                <w:sz w:val="20"/>
                <w:szCs w:val="20"/>
              </w:rPr>
              <w:t>Republic of South Africa</w:t>
            </w:r>
          </w:p>
        </w:tc>
        <w:tc>
          <w:tcPr>
            <w:tcW w:w="1368" w:type="dxa"/>
            <w:tcBorders/>
          </w:tcPr>
          <w:p>
            <w:pPr>
              <w:pStyle w:val="Normal"/>
              <w:tabs>
                <w:tab w:val="clear" w:pos="720"/>
                <w:tab w:val="decimal" w:pos="702" w:leader="none"/>
              </w:tabs>
              <w:rPr>
                <w:sz w:val="20"/>
                <w:szCs w:val="20"/>
              </w:rPr>
            </w:pPr>
            <w:r>
              <w:rPr>
                <w:sz w:val="20"/>
                <w:szCs w:val="20"/>
              </w:rPr>
              <w:t>55</w:t>
            </w:r>
          </w:p>
        </w:tc>
      </w:tr>
      <w:tr>
        <w:trPr/>
        <w:tc>
          <w:tcPr>
            <w:tcW w:w="3168" w:type="dxa"/>
            <w:tcBorders/>
          </w:tcPr>
          <w:p>
            <w:pPr>
              <w:pStyle w:val="Normal"/>
              <w:rPr>
                <w:sz w:val="20"/>
                <w:szCs w:val="20"/>
              </w:rPr>
            </w:pPr>
            <w:r>
              <w:rPr>
                <w:sz w:val="20"/>
                <w:szCs w:val="20"/>
              </w:rPr>
              <w:t>Total</w:t>
            </w:r>
          </w:p>
        </w:tc>
        <w:tc>
          <w:tcPr>
            <w:tcW w:w="1368" w:type="dxa"/>
            <w:tcBorders/>
          </w:tcPr>
          <w:p>
            <w:pPr>
              <w:pStyle w:val="Normal"/>
              <w:tabs>
                <w:tab w:val="clear" w:pos="720"/>
                <w:tab w:val="decimal" w:pos="702" w:leader="none"/>
              </w:tabs>
              <w:rPr>
                <w:sz w:val="20"/>
                <w:szCs w:val="20"/>
              </w:rPr>
            </w:pPr>
            <w:r>
              <w:rPr>
                <w:sz w:val="20"/>
                <w:szCs w:val="20"/>
              </w:rPr>
              <w:t>50</w:t>
            </w:r>
          </w:p>
        </w:tc>
      </w:tr>
      <w:tr>
        <w:trPr/>
        <w:tc>
          <w:tcPr>
            <w:tcW w:w="3168" w:type="dxa"/>
            <w:tcBorders/>
          </w:tcPr>
          <w:p>
            <w:pPr>
              <w:pStyle w:val="Normal"/>
              <w:rPr>
                <w:sz w:val="20"/>
                <w:szCs w:val="20"/>
              </w:rPr>
            </w:pPr>
            <w:r>
              <w:rPr>
                <w:sz w:val="20"/>
                <w:szCs w:val="20"/>
              </w:rPr>
              <w:t>Trafigura</w:t>
            </w:r>
          </w:p>
        </w:tc>
        <w:tc>
          <w:tcPr>
            <w:tcW w:w="1368" w:type="dxa"/>
            <w:tcBorders/>
          </w:tcPr>
          <w:p>
            <w:pPr>
              <w:pStyle w:val="Normal"/>
              <w:tabs>
                <w:tab w:val="clear" w:pos="720"/>
                <w:tab w:val="decimal" w:pos="702" w:leader="none"/>
              </w:tabs>
              <w:rPr>
                <w:sz w:val="20"/>
                <w:szCs w:val="20"/>
              </w:rPr>
            </w:pPr>
            <w:r>
              <w:rPr>
                <w:sz w:val="20"/>
                <w:szCs w:val="20"/>
              </w:rPr>
              <w:t>60</w:t>
            </w:r>
          </w:p>
        </w:tc>
      </w:tr>
      <w:tr>
        <w:trPr/>
        <w:tc>
          <w:tcPr>
            <w:tcW w:w="3168" w:type="dxa"/>
            <w:tcBorders/>
          </w:tcPr>
          <w:p>
            <w:pPr>
              <w:pStyle w:val="Normal"/>
              <w:rPr>
                <w:sz w:val="20"/>
                <w:szCs w:val="20"/>
              </w:rPr>
            </w:pPr>
            <w:r>
              <w:rPr>
                <w:sz w:val="20"/>
                <w:szCs w:val="20"/>
              </w:rPr>
              <w:t>Vitol</w:t>
            </w:r>
          </w:p>
        </w:tc>
        <w:tc>
          <w:tcPr>
            <w:tcW w:w="1368" w:type="dxa"/>
            <w:tcBorders/>
          </w:tcPr>
          <w:p>
            <w:pPr>
              <w:pStyle w:val="Normal"/>
              <w:tabs>
                <w:tab w:val="clear" w:pos="720"/>
                <w:tab w:val="decimal" w:pos="702" w:leader="none"/>
              </w:tabs>
              <w:rPr>
                <w:sz w:val="20"/>
                <w:szCs w:val="20"/>
              </w:rPr>
            </w:pPr>
            <w:r>
              <w:rPr>
                <w:sz w:val="20"/>
                <w:szCs w:val="20"/>
              </w:rPr>
              <w:t>60</w:t>
            </w:r>
          </w:p>
        </w:tc>
      </w:tr>
    </w:tbl>
    <w:p>
      <w:pPr>
        <w:pStyle w:val="Normal"/>
        <w:rPr/>
      </w:pPr>
      <w:r>
        <w:rPr/>
      </w:r>
    </w:p>
    <w:p>
      <w:pPr>
        <w:pStyle w:val="Normal"/>
        <w:rPr/>
      </w:pPr>
      <w:r>
        <w:rPr/>
        <w:t>Nigeria’s domestic refineries also process over 300,000 b/d depending upon NNPC’s ability to keep the units running.</w:t>
      </w:r>
    </w:p>
    <w:p>
      <w:pPr>
        <w:pStyle w:val="Heading3"/>
        <w:ind w:hanging="0" w:start="0"/>
        <w:rPr/>
      </w:pPr>
      <w:r>
        <w:rPr/>
        <w:t>Fuel Oil Relationships to Crude</w:t>
      </w:r>
    </w:p>
    <w:p>
      <w:pPr>
        <w:pStyle w:val="Normal"/>
        <w:rPr/>
      </w:pPr>
      <w:r>
        <w:rPr/>
        <w:t>The relentless march upwards in residual fuel oil prices continued in August and September.  The strength in the crude oil markets was once again mostly responsible for the ascent in fuel oil prices.  Monthly average prices of WTI, Brent and Dubai rose some $3.79 per barrels $3.48 per barrel and $4.06 per barrel, respectively, over the two month period between July and September .  Hot August weather and drought conditions in some areas supported continued resid use in power plant burns.  However, drought conditions in some areas like Chile has subsided.  The average monthly prices for fuel oil continued to move sharply higher in August and September in all international markets.  The pace of increase accelerated when compared to increases which occurred in the early months of the year especially for high-sulfur grades.  The following price comparison tracks monthly price moves since June.</w:t>
      </w:r>
    </w:p>
    <w:p>
      <w:pPr>
        <w:pStyle w:val="Normal"/>
        <w:tabs>
          <w:tab w:val="clear" w:pos="720"/>
          <w:tab w:val="left" w:pos="4140" w:leader="none"/>
          <w:tab w:val="center" w:pos="6570" w:leader="none"/>
          <w:tab w:val="right" w:pos="8820" w:leader="none"/>
        </w:tabs>
        <w:ind w:end="-90"/>
        <w:rPr>
          <w:sz w:val="20"/>
          <w:szCs w:val="20"/>
        </w:rPr>
      </w:pPr>
      <w:r>
        <w:rPr>
          <w:sz w:val="20"/>
          <w:szCs w:val="20"/>
        </w:rPr>
        <w:tab/>
      </w:r>
      <w:r>
        <w:rPr>
          <w:sz w:val="20"/>
          <w:szCs w:val="20"/>
          <w:u w:val="single"/>
        </w:rPr>
        <w:tab/>
        <w:t>Monthly Average Price, US$/Bbl*</w:t>
        <w:tab/>
      </w:r>
    </w:p>
    <w:tbl>
      <w:tblPr>
        <w:tblW w:w="8838" w:type="dxa"/>
        <w:jc w:val="center"/>
        <w:tblInd w:w="0" w:type="dxa"/>
        <w:tblLayout w:type="fixed"/>
        <w:tblCellMar>
          <w:top w:w="0" w:type="dxa"/>
          <w:start w:w="108" w:type="dxa"/>
          <w:bottom w:w="0" w:type="dxa"/>
          <w:end w:w="108" w:type="dxa"/>
        </w:tblCellMar>
      </w:tblPr>
      <w:tblGrid>
        <w:gridCol w:w="1458"/>
        <w:gridCol w:w="1980"/>
        <w:gridCol w:w="1350"/>
        <w:gridCol w:w="1350"/>
        <w:gridCol w:w="1350"/>
        <w:gridCol w:w="1350"/>
      </w:tblGrid>
      <w:tr>
        <w:trPr/>
        <w:tc>
          <w:tcPr>
            <w:tcW w:w="1458" w:type="dxa"/>
            <w:tcBorders/>
          </w:tcPr>
          <w:p>
            <w:pPr>
              <w:pStyle w:val="Normal"/>
              <w:ind w:end="-90"/>
              <w:rPr>
                <w:sz w:val="20"/>
                <w:szCs w:val="20"/>
                <w:u w:val="single"/>
              </w:rPr>
            </w:pPr>
            <w:r>
              <w:rPr>
                <w:sz w:val="20"/>
                <w:szCs w:val="20"/>
                <w:u w:val="single"/>
              </w:rPr>
              <w:t>Location</w:t>
            </w:r>
          </w:p>
        </w:tc>
        <w:tc>
          <w:tcPr>
            <w:tcW w:w="1980" w:type="dxa"/>
            <w:tcBorders/>
          </w:tcPr>
          <w:p>
            <w:pPr>
              <w:pStyle w:val="Normal"/>
              <w:ind w:end="-90"/>
              <w:rPr>
                <w:sz w:val="20"/>
                <w:szCs w:val="20"/>
                <w:u w:val="single"/>
              </w:rPr>
            </w:pPr>
            <w:r>
              <w:rPr>
                <w:sz w:val="20"/>
                <w:szCs w:val="20"/>
                <w:u w:val="single"/>
              </w:rPr>
              <w:t>Grade</w:t>
            </w:r>
          </w:p>
        </w:tc>
        <w:tc>
          <w:tcPr>
            <w:tcW w:w="1350" w:type="dxa"/>
            <w:tcBorders/>
          </w:tcPr>
          <w:p>
            <w:pPr>
              <w:pStyle w:val="Normal"/>
              <w:ind w:end="-90"/>
              <w:jc w:val="center"/>
              <w:rPr>
                <w:sz w:val="20"/>
                <w:szCs w:val="20"/>
                <w:u w:val="single"/>
              </w:rPr>
            </w:pPr>
            <w:r>
              <w:rPr>
                <w:sz w:val="20"/>
                <w:szCs w:val="20"/>
                <w:u w:val="single"/>
              </w:rPr>
              <w:t>June</w:t>
            </w:r>
          </w:p>
        </w:tc>
        <w:tc>
          <w:tcPr>
            <w:tcW w:w="1350" w:type="dxa"/>
            <w:tcBorders/>
          </w:tcPr>
          <w:p>
            <w:pPr>
              <w:pStyle w:val="Normal"/>
              <w:ind w:end="-90"/>
              <w:jc w:val="center"/>
              <w:rPr>
                <w:sz w:val="20"/>
                <w:szCs w:val="20"/>
                <w:u w:val="single"/>
              </w:rPr>
            </w:pPr>
            <w:r>
              <w:rPr>
                <w:sz w:val="20"/>
                <w:szCs w:val="20"/>
                <w:u w:val="single"/>
              </w:rPr>
              <w:t>July</w:t>
            </w:r>
          </w:p>
        </w:tc>
        <w:tc>
          <w:tcPr>
            <w:tcW w:w="1350" w:type="dxa"/>
            <w:tcBorders/>
          </w:tcPr>
          <w:p>
            <w:pPr>
              <w:pStyle w:val="Normal"/>
              <w:ind w:end="-90"/>
              <w:jc w:val="center"/>
              <w:rPr>
                <w:sz w:val="20"/>
                <w:szCs w:val="20"/>
                <w:u w:val="single"/>
              </w:rPr>
            </w:pPr>
            <w:r>
              <w:rPr>
                <w:sz w:val="20"/>
                <w:szCs w:val="20"/>
                <w:u w:val="single"/>
              </w:rPr>
              <w:t>Aug</w:t>
            </w:r>
          </w:p>
        </w:tc>
        <w:tc>
          <w:tcPr>
            <w:tcW w:w="1350" w:type="dxa"/>
            <w:tcBorders/>
          </w:tcPr>
          <w:p>
            <w:pPr>
              <w:pStyle w:val="Normal"/>
              <w:ind w:end="-90"/>
              <w:jc w:val="center"/>
              <w:rPr>
                <w:sz w:val="20"/>
                <w:szCs w:val="20"/>
                <w:u w:val="single"/>
              </w:rPr>
            </w:pPr>
            <w:r>
              <w:rPr>
                <w:sz w:val="20"/>
                <w:szCs w:val="20"/>
                <w:u w:val="single"/>
              </w:rPr>
              <w:t>Sept</w:t>
            </w:r>
          </w:p>
        </w:tc>
      </w:tr>
      <w:tr>
        <w:trPr/>
        <w:tc>
          <w:tcPr>
            <w:tcW w:w="1458" w:type="dxa"/>
            <w:tcBorders/>
          </w:tcPr>
          <w:p>
            <w:pPr>
              <w:pStyle w:val="Normal"/>
              <w:ind w:end="-90"/>
              <w:rPr>
                <w:sz w:val="20"/>
                <w:szCs w:val="20"/>
              </w:rPr>
            </w:pPr>
            <w:r>
              <w:rPr>
                <w:sz w:val="20"/>
                <w:szCs w:val="20"/>
              </w:rPr>
              <w:t>NYH</w:t>
            </w:r>
          </w:p>
        </w:tc>
        <w:tc>
          <w:tcPr>
            <w:tcW w:w="1980" w:type="dxa"/>
            <w:tcBorders/>
          </w:tcPr>
          <w:p>
            <w:pPr>
              <w:pStyle w:val="Normal"/>
              <w:ind w:end="-90"/>
              <w:rPr>
                <w:sz w:val="20"/>
                <w:szCs w:val="20"/>
              </w:rPr>
            </w:pPr>
            <w:r>
              <w:rPr>
                <w:sz w:val="20"/>
                <w:szCs w:val="20"/>
              </w:rPr>
              <w:t xml:space="preserve">LSFO-0.3%S  </w:t>
            </w:r>
          </w:p>
        </w:tc>
        <w:tc>
          <w:tcPr>
            <w:tcW w:w="1350" w:type="dxa"/>
            <w:tcBorders/>
          </w:tcPr>
          <w:p>
            <w:pPr>
              <w:pStyle w:val="Normal"/>
              <w:tabs>
                <w:tab w:val="clear" w:pos="720"/>
                <w:tab w:val="decimal" w:pos="587" w:leader="none"/>
              </w:tabs>
              <w:ind w:end="-90"/>
              <w:rPr>
                <w:sz w:val="20"/>
                <w:szCs w:val="20"/>
              </w:rPr>
            </w:pPr>
            <w:r>
              <w:rPr>
                <w:sz w:val="20"/>
                <w:szCs w:val="20"/>
              </w:rPr>
              <w:t>15.95</w:t>
            </w:r>
          </w:p>
        </w:tc>
        <w:tc>
          <w:tcPr>
            <w:tcW w:w="1350" w:type="dxa"/>
            <w:tcBorders/>
          </w:tcPr>
          <w:p>
            <w:pPr>
              <w:pStyle w:val="Normal"/>
              <w:tabs>
                <w:tab w:val="clear" w:pos="720"/>
                <w:tab w:val="decimal" w:pos="587" w:leader="none"/>
              </w:tabs>
              <w:ind w:end="-90"/>
              <w:rPr>
                <w:sz w:val="20"/>
                <w:szCs w:val="20"/>
              </w:rPr>
            </w:pPr>
            <w:r>
              <w:rPr>
                <w:sz w:val="20"/>
                <w:szCs w:val="20"/>
              </w:rPr>
              <w:t>17.90</w:t>
            </w:r>
          </w:p>
        </w:tc>
        <w:tc>
          <w:tcPr>
            <w:tcW w:w="1350" w:type="dxa"/>
            <w:tcBorders/>
          </w:tcPr>
          <w:p>
            <w:pPr>
              <w:pStyle w:val="Normal"/>
              <w:tabs>
                <w:tab w:val="clear" w:pos="720"/>
                <w:tab w:val="decimal" w:pos="587" w:leader="none"/>
              </w:tabs>
              <w:ind w:end="-90"/>
              <w:rPr>
                <w:sz w:val="20"/>
                <w:szCs w:val="20"/>
              </w:rPr>
            </w:pPr>
            <w:r>
              <w:rPr>
                <w:sz w:val="20"/>
                <w:szCs w:val="20"/>
              </w:rPr>
              <w:t>20.54</w:t>
            </w:r>
          </w:p>
        </w:tc>
        <w:tc>
          <w:tcPr>
            <w:tcW w:w="1350" w:type="dxa"/>
            <w:tcBorders/>
          </w:tcPr>
          <w:p>
            <w:pPr>
              <w:pStyle w:val="Normal"/>
              <w:tabs>
                <w:tab w:val="clear" w:pos="720"/>
                <w:tab w:val="decimal" w:pos="587" w:leader="none"/>
              </w:tabs>
              <w:ind w:end="-90"/>
              <w:rPr>
                <w:sz w:val="20"/>
                <w:szCs w:val="20"/>
              </w:rPr>
            </w:pPr>
            <w:r>
              <w:rPr>
                <w:sz w:val="20"/>
                <w:szCs w:val="20"/>
              </w:rPr>
              <w:t>21.53</w:t>
            </w:r>
          </w:p>
        </w:tc>
      </w:tr>
      <w:tr>
        <w:trPr/>
        <w:tc>
          <w:tcPr>
            <w:tcW w:w="1458" w:type="dxa"/>
            <w:tcBorders/>
          </w:tcPr>
          <w:p>
            <w:pPr>
              <w:pStyle w:val="Normal"/>
              <w:ind w:end="-90"/>
              <w:rPr>
                <w:sz w:val="20"/>
                <w:szCs w:val="20"/>
              </w:rPr>
            </w:pPr>
            <w:r>
              <w:rPr>
                <w:sz w:val="20"/>
                <w:szCs w:val="20"/>
              </w:rPr>
              <w:t xml:space="preserve">NYH </w:t>
            </w:r>
          </w:p>
        </w:tc>
        <w:tc>
          <w:tcPr>
            <w:tcW w:w="1980" w:type="dxa"/>
            <w:tcBorders/>
          </w:tcPr>
          <w:p>
            <w:pPr>
              <w:pStyle w:val="Normal"/>
              <w:ind w:end="-90"/>
              <w:rPr>
                <w:sz w:val="20"/>
                <w:szCs w:val="20"/>
              </w:rPr>
            </w:pPr>
            <w:r>
              <w:rPr>
                <w:sz w:val="20"/>
                <w:szCs w:val="20"/>
              </w:rPr>
              <w:t xml:space="preserve">LSFO-1.0%S   </w:t>
            </w:r>
          </w:p>
        </w:tc>
        <w:tc>
          <w:tcPr>
            <w:tcW w:w="1350" w:type="dxa"/>
            <w:tcBorders/>
          </w:tcPr>
          <w:p>
            <w:pPr>
              <w:pStyle w:val="Normal"/>
              <w:tabs>
                <w:tab w:val="clear" w:pos="720"/>
                <w:tab w:val="decimal" w:pos="587" w:leader="none"/>
              </w:tabs>
              <w:ind w:end="-90"/>
              <w:rPr>
                <w:sz w:val="20"/>
                <w:szCs w:val="20"/>
              </w:rPr>
            </w:pPr>
            <w:r>
              <w:rPr>
                <w:sz w:val="20"/>
                <w:szCs w:val="20"/>
              </w:rPr>
              <w:t>14.61</w:t>
            </w:r>
          </w:p>
        </w:tc>
        <w:tc>
          <w:tcPr>
            <w:tcW w:w="1350" w:type="dxa"/>
            <w:tcBorders/>
          </w:tcPr>
          <w:p>
            <w:pPr>
              <w:pStyle w:val="Normal"/>
              <w:tabs>
                <w:tab w:val="clear" w:pos="720"/>
                <w:tab w:val="decimal" w:pos="587" w:leader="none"/>
              </w:tabs>
              <w:ind w:end="-90"/>
              <w:rPr>
                <w:sz w:val="20"/>
                <w:szCs w:val="20"/>
              </w:rPr>
            </w:pPr>
            <w:r>
              <w:rPr>
                <w:sz w:val="20"/>
                <w:szCs w:val="20"/>
              </w:rPr>
              <w:t>16.39</w:t>
            </w:r>
          </w:p>
        </w:tc>
        <w:tc>
          <w:tcPr>
            <w:tcW w:w="1350" w:type="dxa"/>
            <w:tcBorders/>
          </w:tcPr>
          <w:p>
            <w:pPr>
              <w:pStyle w:val="Normal"/>
              <w:tabs>
                <w:tab w:val="clear" w:pos="720"/>
                <w:tab w:val="decimal" w:pos="587" w:leader="none"/>
              </w:tabs>
              <w:ind w:end="-90"/>
              <w:rPr>
                <w:sz w:val="20"/>
                <w:szCs w:val="20"/>
              </w:rPr>
            </w:pPr>
            <w:r>
              <w:rPr>
                <w:sz w:val="20"/>
                <w:szCs w:val="20"/>
              </w:rPr>
              <w:t>18.62</w:t>
            </w:r>
          </w:p>
        </w:tc>
        <w:tc>
          <w:tcPr>
            <w:tcW w:w="1350" w:type="dxa"/>
            <w:tcBorders/>
          </w:tcPr>
          <w:p>
            <w:pPr>
              <w:pStyle w:val="Normal"/>
              <w:tabs>
                <w:tab w:val="clear" w:pos="720"/>
                <w:tab w:val="decimal" w:pos="587" w:leader="none"/>
              </w:tabs>
              <w:ind w:end="-90"/>
              <w:rPr>
                <w:sz w:val="20"/>
                <w:szCs w:val="20"/>
              </w:rPr>
            </w:pPr>
            <w:r>
              <w:rPr>
                <w:sz w:val="20"/>
                <w:szCs w:val="20"/>
              </w:rPr>
              <w:t>19.46</w:t>
            </w:r>
          </w:p>
        </w:tc>
      </w:tr>
      <w:tr>
        <w:trPr/>
        <w:tc>
          <w:tcPr>
            <w:tcW w:w="1458" w:type="dxa"/>
            <w:tcBorders/>
          </w:tcPr>
          <w:p>
            <w:pPr>
              <w:pStyle w:val="Normal"/>
              <w:ind w:end="-90"/>
              <w:rPr>
                <w:sz w:val="20"/>
                <w:szCs w:val="20"/>
              </w:rPr>
            </w:pPr>
            <w:r>
              <w:rPr>
                <w:sz w:val="20"/>
                <w:szCs w:val="20"/>
              </w:rPr>
              <w:t xml:space="preserve">NYH </w:t>
            </w:r>
          </w:p>
        </w:tc>
        <w:tc>
          <w:tcPr>
            <w:tcW w:w="1980" w:type="dxa"/>
            <w:tcBorders/>
          </w:tcPr>
          <w:p>
            <w:pPr>
              <w:pStyle w:val="Normal"/>
              <w:ind w:end="-90"/>
              <w:rPr>
                <w:sz w:val="20"/>
                <w:szCs w:val="20"/>
              </w:rPr>
            </w:pPr>
            <w:r>
              <w:rPr>
                <w:sz w:val="20"/>
                <w:szCs w:val="20"/>
              </w:rPr>
              <w:t xml:space="preserve">HSFO </w:t>
            </w:r>
          </w:p>
        </w:tc>
        <w:tc>
          <w:tcPr>
            <w:tcW w:w="1350" w:type="dxa"/>
            <w:tcBorders/>
          </w:tcPr>
          <w:p>
            <w:pPr>
              <w:pStyle w:val="Normal"/>
              <w:tabs>
                <w:tab w:val="clear" w:pos="720"/>
                <w:tab w:val="decimal" w:pos="587" w:leader="none"/>
              </w:tabs>
              <w:ind w:end="-90"/>
              <w:rPr>
                <w:sz w:val="20"/>
                <w:szCs w:val="20"/>
              </w:rPr>
            </w:pPr>
            <w:r>
              <w:rPr>
                <w:sz w:val="20"/>
                <w:szCs w:val="20"/>
              </w:rPr>
              <w:t>12.40</w:t>
            </w:r>
          </w:p>
        </w:tc>
        <w:tc>
          <w:tcPr>
            <w:tcW w:w="1350" w:type="dxa"/>
            <w:tcBorders/>
          </w:tcPr>
          <w:p>
            <w:pPr>
              <w:pStyle w:val="Normal"/>
              <w:tabs>
                <w:tab w:val="clear" w:pos="720"/>
                <w:tab w:val="decimal" w:pos="587" w:leader="none"/>
              </w:tabs>
              <w:ind w:end="-90"/>
              <w:rPr>
                <w:sz w:val="20"/>
                <w:szCs w:val="20"/>
              </w:rPr>
            </w:pPr>
            <w:r>
              <w:rPr>
                <w:sz w:val="20"/>
                <w:szCs w:val="20"/>
              </w:rPr>
              <w:t>13.90</w:t>
            </w:r>
          </w:p>
        </w:tc>
        <w:tc>
          <w:tcPr>
            <w:tcW w:w="1350" w:type="dxa"/>
            <w:tcBorders/>
          </w:tcPr>
          <w:p>
            <w:pPr>
              <w:pStyle w:val="Normal"/>
              <w:tabs>
                <w:tab w:val="clear" w:pos="720"/>
                <w:tab w:val="decimal" w:pos="587" w:leader="none"/>
              </w:tabs>
              <w:ind w:end="-90"/>
              <w:rPr>
                <w:sz w:val="20"/>
                <w:szCs w:val="20"/>
              </w:rPr>
            </w:pPr>
            <w:r>
              <w:rPr>
                <w:sz w:val="20"/>
                <w:szCs w:val="20"/>
              </w:rPr>
              <w:t>16.75</w:t>
            </w:r>
          </w:p>
        </w:tc>
        <w:tc>
          <w:tcPr>
            <w:tcW w:w="1350" w:type="dxa"/>
            <w:tcBorders/>
          </w:tcPr>
          <w:p>
            <w:pPr>
              <w:pStyle w:val="Normal"/>
              <w:tabs>
                <w:tab w:val="clear" w:pos="720"/>
                <w:tab w:val="decimal" w:pos="587" w:leader="none"/>
              </w:tabs>
              <w:ind w:end="-90"/>
              <w:rPr>
                <w:sz w:val="20"/>
                <w:szCs w:val="20"/>
              </w:rPr>
            </w:pPr>
            <w:r>
              <w:rPr>
                <w:sz w:val="20"/>
                <w:szCs w:val="20"/>
              </w:rPr>
              <w:t>18.71</w:t>
            </w:r>
          </w:p>
        </w:tc>
      </w:tr>
      <w:tr>
        <w:trPr/>
        <w:tc>
          <w:tcPr>
            <w:tcW w:w="1458" w:type="dxa"/>
            <w:tcBorders/>
          </w:tcPr>
          <w:p>
            <w:pPr>
              <w:pStyle w:val="Normal"/>
              <w:ind w:end="-90"/>
              <w:rPr>
                <w:sz w:val="20"/>
                <w:szCs w:val="20"/>
              </w:rPr>
            </w:pPr>
            <w:r>
              <w:rPr>
                <w:sz w:val="20"/>
                <w:szCs w:val="20"/>
              </w:rPr>
              <w:t xml:space="preserve">NWE </w:t>
            </w:r>
          </w:p>
        </w:tc>
        <w:tc>
          <w:tcPr>
            <w:tcW w:w="1980" w:type="dxa"/>
            <w:tcBorders/>
          </w:tcPr>
          <w:p>
            <w:pPr>
              <w:pStyle w:val="Normal"/>
              <w:ind w:end="-90"/>
              <w:rPr>
                <w:sz w:val="20"/>
                <w:szCs w:val="20"/>
              </w:rPr>
            </w:pPr>
            <w:r>
              <w:rPr>
                <w:sz w:val="20"/>
                <w:szCs w:val="20"/>
              </w:rPr>
              <w:t xml:space="preserve">LSFO </w:t>
            </w:r>
          </w:p>
        </w:tc>
        <w:tc>
          <w:tcPr>
            <w:tcW w:w="1350" w:type="dxa"/>
            <w:tcBorders/>
          </w:tcPr>
          <w:p>
            <w:pPr>
              <w:pStyle w:val="Normal"/>
              <w:tabs>
                <w:tab w:val="clear" w:pos="720"/>
                <w:tab w:val="decimal" w:pos="587" w:leader="none"/>
              </w:tabs>
              <w:ind w:end="-90"/>
              <w:rPr>
                <w:sz w:val="20"/>
                <w:szCs w:val="20"/>
              </w:rPr>
            </w:pPr>
            <w:r>
              <w:rPr>
                <w:sz w:val="20"/>
                <w:szCs w:val="20"/>
              </w:rPr>
              <w:t>12.39</w:t>
            </w:r>
          </w:p>
        </w:tc>
        <w:tc>
          <w:tcPr>
            <w:tcW w:w="1350" w:type="dxa"/>
            <w:tcBorders/>
          </w:tcPr>
          <w:p>
            <w:pPr>
              <w:pStyle w:val="Normal"/>
              <w:tabs>
                <w:tab w:val="clear" w:pos="720"/>
                <w:tab w:val="decimal" w:pos="587" w:leader="none"/>
              </w:tabs>
              <w:ind w:end="-90"/>
              <w:rPr>
                <w:sz w:val="20"/>
                <w:szCs w:val="20"/>
              </w:rPr>
            </w:pPr>
            <w:r>
              <w:rPr>
                <w:sz w:val="20"/>
                <w:szCs w:val="20"/>
              </w:rPr>
              <w:t>14.35</w:t>
            </w:r>
          </w:p>
        </w:tc>
        <w:tc>
          <w:tcPr>
            <w:tcW w:w="1350" w:type="dxa"/>
            <w:tcBorders/>
          </w:tcPr>
          <w:p>
            <w:pPr>
              <w:pStyle w:val="Normal"/>
              <w:tabs>
                <w:tab w:val="clear" w:pos="720"/>
                <w:tab w:val="decimal" w:pos="587" w:leader="none"/>
              </w:tabs>
              <w:ind w:end="-90"/>
              <w:rPr>
                <w:sz w:val="20"/>
                <w:szCs w:val="20"/>
              </w:rPr>
            </w:pPr>
            <w:r>
              <w:rPr>
                <w:sz w:val="20"/>
                <w:szCs w:val="20"/>
              </w:rPr>
              <w:t>17.38</w:t>
            </w:r>
          </w:p>
        </w:tc>
        <w:tc>
          <w:tcPr>
            <w:tcW w:w="1350" w:type="dxa"/>
            <w:tcBorders/>
          </w:tcPr>
          <w:p>
            <w:pPr>
              <w:pStyle w:val="Normal"/>
              <w:tabs>
                <w:tab w:val="clear" w:pos="720"/>
                <w:tab w:val="decimal" w:pos="587" w:leader="none"/>
              </w:tabs>
              <w:ind w:end="-90"/>
              <w:rPr>
                <w:sz w:val="20"/>
                <w:szCs w:val="20"/>
              </w:rPr>
            </w:pPr>
            <w:r>
              <w:rPr>
                <w:sz w:val="20"/>
                <w:szCs w:val="20"/>
              </w:rPr>
              <w:t>17.76</w:t>
            </w:r>
          </w:p>
        </w:tc>
      </w:tr>
      <w:tr>
        <w:trPr/>
        <w:tc>
          <w:tcPr>
            <w:tcW w:w="1458" w:type="dxa"/>
            <w:tcBorders/>
          </w:tcPr>
          <w:p>
            <w:pPr>
              <w:pStyle w:val="Normal"/>
              <w:ind w:end="-90"/>
              <w:rPr>
                <w:sz w:val="20"/>
                <w:szCs w:val="20"/>
              </w:rPr>
            </w:pPr>
            <w:r>
              <w:rPr>
                <w:sz w:val="20"/>
                <w:szCs w:val="20"/>
              </w:rPr>
              <w:t xml:space="preserve">NWE  </w:t>
            </w:r>
          </w:p>
        </w:tc>
        <w:tc>
          <w:tcPr>
            <w:tcW w:w="1980" w:type="dxa"/>
            <w:tcBorders/>
          </w:tcPr>
          <w:p>
            <w:pPr>
              <w:pStyle w:val="Normal"/>
              <w:ind w:end="-90"/>
              <w:rPr>
                <w:sz w:val="20"/>
                <w:szCs w:val="20"/>
              </w:rPr>
            </w:pPr>
            <w:r>
              <w:rPr>
                <w:sz w:val="20"/>
                <w:szCs w:val="20"/>
              </w:rPr>
              <w:t>HSFO</w:t>
            </w:r>
          </w:p>
        </w:tc>
        <w:tc>
          <w:tcPr>
            <w:tcW w:w="1350" w:type="dxa"/>
            <w:tcBorders/>
          </w:tcPr>
          <w:p>
            <w:pPr>
              <w:pStyle w:val="Normal"/>
              <w:tabs>
                <w:tab w:val="clear" w:pos="720"/>
                <w:tab w:val="decimal" w:pos="587" w:leader="none"/>
              </w:tabs>
              <w:ind w:end="-90"/>
              <w:rPr>
                <w:sz w:val="20"/>
                <w:szCs w:val="20"/>
              </w:rPr>
            </w:pPr>
            <w:r>
              <w:rPr>
                <w:sz w:val="20"/>
                <w:szCs w:val="20"/>
              </w:rPr>
              <w:t>10.18</w:t>
            </w:r>
          </w:p>
        </w:tc>
        <w:tc>
          <w:tcPr>
            <w:tcW w:w="1350" w:type="dxa"/>
            <w:tcBorders/>
          </w:tcPr>
          <w:p>
            <w:pPr>
              <w:pStyle w:val="Normal"/>
              <w:tabs>
                <w:tab w:val="clear" w:pos="720"/>
                <w:tab w:val="decimal" w:pos="587" w:leader="none"/>
              </w:tabs>
              <w:ind w:end="-90"/>
              <w:rPr>
                <w:sz w:val="20"/>
                <w:szCs w:val="20"/>
              </w:rPr>
            </w:pPr>
            <w:r>
              <w:rPr>
                <w:sz w:val="20"/>
                <w:szCs w:val="20"/>
              </w:rPr>
              <w:t>12.52</w:t>
            </w:r>
          </w:p>
        </w:tc>
        <w:tc>
          <w:tcPr>
            <w:tcW w:w="1350" w:type="dxa"/>
            <w:tcBorders/>
          </w:tcPr>
          <w:p>
            <w:pPr>
              <w:pStyle w:val="Normal"/>
              <w:tabs>
                <w:tab w:val="clear" w:pos="720"/>
                <w:tab w:val="decimal" w:pos="587" w:leader="none"/>
              </w:tabs>
              <w:ind w:end="-90"/>
              <w:rPr>
                <w:sz w:val="20"/>
                <w:szCs w:val="20"/>
              </w:rPr>
            </w:pPr>
            <w:r>
              <w:rPr>
                <w:sz w:val="20"/>
                <w:szCs w:val="20"/>
              </w:rPr>
              <w:t>15.78</w:t>
            </w:r>
          </w:p>
        </w:tc>
        <w:tc>
          <w:tcPr>
            <w:tcW w:w="1350" w:type="dxa"/>
            <w:tcBorders/>
          </w:tcPr>
          <w:p>
            <w:pPr>
              <w:pStyle w:val="Normal"/>
              <w:tabs>
                <w:tab w:val="clear" w:pos="720"/>
                <w:tab w:val="decimal" w:pos="587" w:leader="none"/>
              </w:tabs>
              <w:ind w:end="-90"/>
              <w:rPr>
                <w:sz w:val="20"/>
                <w:szCs w:val="20"/>
              </w:rPr>
            </w:pPr>
            <w:r>
              <w:rPr>
                <w:sz w:val="20"/>
                <w:szCs w:val="20"/>
              </w:rPr>
              <w:t>16.58</w:t>
            </w:r>
          </w:p>
        </w:tc>
      </w:tr>
      <w:tr>
        <w:trPr/>
        <w:tc>
          <w:tcPr>
            <w:tcW w:w="1458" w:type="dxa"/>
            <w:tcBorders/>
          </w:tcPr>
          <w:p>
            <w:pPr>
              <w:pStyle w:val="Normal"/>
              <w:ind w:end="-90"/>
              <w:rPr>
                <w:sz w:val="20"/>
                <w:szCs w:val="20"/>
              </w:rPr>
            </w:pPr>
            <w:r>
              <w:rPr>
                <w:sz w:val="20"/>
                <w:szCs w:val="20"/>
              </w:rPr>
              <w:t xml:space="preserve">Med </w:t>
            </w:r>
          </w:p>
        </w:tc>
        <w:tc>
          <w:tcPr>
            <w:tcW w:w="1980" w:type="dxa"/>
            <w:tcBorders/>
          </w:tcPr>
          <w:p>
            <w:pPr>
              <w:pStyle w:val="Normal"/>
              <w:ind w:end="-90"/>
              <w:rPr>
                <w:sz w:val="20"/>
                <w:szCs w:val="20"/>
              </w:rPr>
            </w:pPr>
            <w:r>
              <w:rPr>
                <w:sz w:val="20"/>
                <w:szCs w:val="20"/>
              </w:rPr>
              <w:t xml:space="preserve">LSFO </w:t>
            </w:r>
          </w:p>
        </w:tc>
        <w:tc>
          <w:tcPr>
            <w:tcW w:w="1350" w:type="dxa"/>
            <w:tcBorders/>
          </w:tcPr>
          <w:p>
            <w:pPr>
              <w:pStyle w:val="Normal"/>
              <w:tabs>
                <w:tab w:val="clear" w:pos="720"/>
                <w:tab w:val="decimal" w:pos="587" w:leader="none"/>
              </w:tabs>
              <w:ind w:end="-90"/>
              <w:rPr>
                <w:sz w:val="20"/>
                <w:szCs w:val="20"/>
              </w:rPr>
            </w:pPr>
            <w:r>
              <w:rPr>
                <w:sz w:val="20"/>
                <w:szCs w:val="20"/>
              </w:rPr>
              <w:t>12.19</w:t>
            </w:r>
          </w:p>
        </w:tc>
        <w:tc>
          <w:tcPr>
            <w:tcW w:w="1350" w:type="dxa"/>
            <w:tcBorders/>
          </w:tcPr>
          <w:p>
            <w:pPr>
              <w:pStyle w:val="Normal"/>
              <w:tabs>
                <w:tab w:val="clear" w:pos="720"/>
                <w:tab w:val="decimal" w:pos="587" w:leader="none"/>
              </w:tabs>
              <w:ind w:end="-90"/>
              <w:rPr>
                <w:sz w:val="20"/>
                <w:szCs w:val="20"/>
              </w:rPr>
            </w:pPr>
            <w:r>
              <w:rPr>
                <w:sz w:val="20"/>
                <w:szCs w:val="20"/>
              </w:rPr>
              <w:t>14.73</w:t>
            </w:r>
          </w:p>
        </w:tc>
        <w:tc>
          <w:tcPr>
            <w:tcW w:w="1350" w:type="dxa"/>
            <w:tcBorders/>
          </w:tcPr>
          <w:p>
            <w:pPr>
              <w:pStyle w:val="Normal"/>
              <w:tabs>
                <w:tab w:val="clear" w:pos="720"/>
                <w:tab w:val="decimal" w:pos="587" w:leader="none"/>
              </w:tabs>
              <w:ind w:end="-90"/>
              <w:rPr>
                <w:sz w:val="20"/>
                <w:szCs w:val="20"/>
              </w:rPr>
            </w:pPr>
            <w:r>
              <w:rPr>
                <w:sz w:val="20"/>
                <w:szCs w:val="20"/>
              </w:rPr>
              <w:t>17.57</w:t>
            </w:r>
          </w:p>
        </w:tc>
        <w:tc>
          <w:tcPr>
            <w:tcW w:w="1350" w:type="dxa"/>
            <w:tcBorders/>
          </w:tcPr>
          <w:p>
            <w:pPr>
              <w:pStyle w:val="Normal"/>
              <w:tabs>
                <w:tab w:val="clear" w:pos="720"/>
                <w:tab w:val="decimal" w:pos="587" w:leader="none"/>
              </w:tabs>
              <w:ind w:end="-90"/>
              <w:rPr>
                <w:sz w:val="20"/>
                <w:szCs w:val="20"/>
              </w:rPr>
            </w:pPr>
            <w:r>
              <w:rPr>
                <w:sz w:val="20"/>
                <w:szCs w:val="20"/>
              </w:rPr>
              <w:t>17.79</w:t>
            </w:r>
          </w:p>
        </w:tc>
      </w:tr>
      <w:tr>
        <w:trPr/>
        <w:tc>
          <w:tcPr>
            <w:tcW w:w="1458" w:type="dxa"/>
            <w:tcBorders/>
          </w:tcPr>
          <w:p>
            <w:pPr>
              <w:pStyle w:val="Normal"/>
              <w:ind w:end="-90"/>
              <w:rPr>
                <w:sz w:val="20"/>
                <w:szCs w:val="20"/>
              </w:rPr>
            </w:pPr>
            <w:r>
              <w:rPr>
                <w:sz w:val="20"/>
                <w:szCs w:val="20"/>
              </w:rPr>
              <w:t xml:space="preserve">Med </w:t>
            </w:r>
          </w:p>
        </w:tc>
        <w:tc>
          <w:tcPr>
            <w:tcW w:w="1980" w:type="dxa"/>
            <w:tcBorders/>
          </w:tcPr>
          <w:p>
            <w:pPr>
              <w:pStyle w:val="Normal"/>
              <w:ind w:end="-90"/>
              <w:rPr>
                <w:sz w:val="20"/>
                <w:szCs w:val="20"/>
              </w:rPr>
            </w:pPr>
            <w:r>
              <w:rPr>
                <w:sz w:val="20"/>
                <w:szCs w:val="20"/>
              </w:rPr>
              <w:t>HSFO</w:t>
            </w:r>
          </w:p>
        </w:tc>
        <w:tc>
          <w:tcPr>
            <w:tcW w:w="1350" w:type="dxa"/>
            <w:tcBorders/>
          </w:tcPr>
          <w:p>
            <w:pPr>
              <w:pStyle w:val="Normal"/>
              <w:tabs>
                <w:tab w:val="clear" w:pos="720"/>
                <w:tab w:val="decimal" w:pos="587" w:leader="none"/>
              </w:tabs>
              <w:ind w:end="-90"/>
              <w:rPr>
                <w:sz w:val="20"/>
                <w:szCs w:val="20"/>
              </w:rPr>
            </w:pPr>
            <w:r>
              <w:rPr>
                <w:sz w:val="20"/>
                <w:szCs w:val="20"/>
              </w:rPr>
              <w:t>10.71</w:t>
            </w:r>
          </w:p>
        </w:tc>
        <w:tc>
          <w:tcPr>
            <w:tcW w:w="1350" w:type="dxa"/>
            <w:tcBorders/>
          </w:tcPr>
          <w:p>
            <w:pPr>
              <w:pStyle w:val="Normal"/>
              <w:tabs>
                <w:tab w:val="clear" w:pos="720"/>
                <w:tab w:val="decimal" w:pos="587" w:leader="none"/>
              </w:tabs>
              <w:ind w:end="-90"/>
              <w:rPr>
                <w:sz w:val="20"/>
                <w:szCs w:val="20"/>
              </w:rPr>
            </w:pPr>
            <w:r>
              <w:rPr>
                <w:sz w:val="20"/>
                <w:szCs w:val="20"/>
              </w:rPr>
              <w:t>13.30</w:t>
            </w:r>
          </w:p>
        </w:tc>
        <w:tc>
          <w:tcPr>
            <w:tcW w:w="1350" w:type="dxa"/>
            <w:tcBorders/>
          </w:tcPr>
          <w:p>
            <w:pPr>
              <w:pStyle w:val="Normal"/>
              <w:tabs>
                <w:tab w:val="clear" w:pos="720"/>
                <w:tab w:val="decimal" w:pos="587" w:leader="none"/>
              </w:tabs>
              <w:ind w:end="-90"/>
              <w:rPr>
                <w:sz w:val="20"/>
                <w:szCs w:val="20"/>
              </w:rPr>
            </w:pPr>
            <w:r>
              <w:rPr>
                <w:sz w:val="20"/>
                <w:szCs w:val="20"/>
              </w:rPr>
              <w:t>16.20</w:t>
            </w:r>
          </w:p>
        </w:tc>
        <w:tc>
          <w:tcPr>
            <w:tcW w:w="1350" w:type="dxa"/>
            <w:tcBorders/>
          </w:tcPr>
          <w:p>
            <w:pPr>
              <w:pStyle w:val="Normal"/>
              <w:tabs>
                <w:tab w:val="clear" w:pos="720"/>
                <w:tab w:val="decimal" w:pos="587" w:leader="none"/>
              </w:tabs>
              <w:ind w:end="-90"/>
              <w:rPr>
                <w:sz w:val="20"/>
                <w:szCs w:val="20"/>
              </w:rPr>
            </w:pPr>
            <w:r>
              <w:rPr>
                <w:sz w:val="20"/>
                <w:szCs w:val="20"/>
              </w:rPr>
              <w:t>17.30</w:t>
            </w:r>
          </w:p>
        </w:tc>
      </w:tr>
      <w:tr>
        <w:trPr/>
        <w:tc>
          <w:tcPr>
            <w:tcW w:w="1458" w:type="dxa"/>
            <w:tcBorders/>
          </w:tcPr>
          <w:p>
            <w:pPr>
              <w:pStyle w:val="Normal"/>
              <w:ind w:end="-90"/>
              <w:rPr>
                <w:sz w:val="20"/>
                <w:szCs w:val="20"/>
              </w:rPr>
            </w:pPr>
            <w:r>
              <w:rPr>
                <w:sz w:val="20"/>
                <w:szCs w:val="20"/>
              </w:rPr>
              <w:t xml:space="preserve">Sing. </w:t>
            </w:r>
          </w:p>
        </w:tc>
        <w:tc>
          <w:tcPr>
            <w:tcW w:w="1980" w:type="dxa"/>
            <w:tcBorders/>
          </w:tcPr>
          <w:p>
            <w:pPr>
              <w:pStyle w:val="Normal"/>
              <w:ind w:end="-90"/>
              <w:rPr>
                <w:sz w:val="20"/>
                <w:szCs w:val="20"/>
              </w:rPr>
            </w:pPr>
            <w:r>
              <w:rPr>
                <w:sz w:val="20"/>
                <w:szCs w:val="20"/>
              </w:rPr>
              <w:t xml:space="preserve">LSWR </w:t>
            </w:r>
          </w:p>
        </w:tc>
        <w:tc>
          <w:tcPr>
            <w:tcW w:w="1350" w:type="dxa"/>
            <w:tcBorders/>
          </w:tcPr>
          <w:p>
            <w:pPr>
              <w:pStyle w:val="Normal"/>
              <w:tabs>
                <w:tab w:val="clear" w:pos="720"/>
                <w:tab w:val="decimal" w:pos="587" w:leader="none"/>
              </w:tabs>
              <w:ind w:end="-90"/>
              <w:rPr>
                <w:sz w:val="20"/>
                <w:szCs w:val="20"/>
              </w:rPr>
            </w:pPr>
            <w:r>
              <w:rPr>
                <w:sz w:val="20"/>
                <w:szCs w:val="20"/>
              </w:rPr>
              <w:t>14.17</w:t>
            </w:r>
          </w:p>
        </w:tc>
        <w:tc>
          <w:tcPr>
            <w:tcW w:w="1350" w:type="dxa"/>
            <w:tcBorders/>
          </w:tcPr>
          <w:p>
            <w:pPr>
              <w:pStyle w:val="Normal"/>
              <w:tabs>
                <w:tab w:val="clear" w:pos="720"/>
                <w:tab w:val="decimal" w:pos="587" w:leader="none"/>
              </w:tabs>
              <w:ind w:end="-90"/>
              <w:rPr>
                <w:sz w:val="20"/>
                <w:szCs w:val="20"/>
              </w:rPr>
            </w:pPr>
            <w:r>
              <w:rPr>
                <w:sz w:val="20"/>
                <w:szCs w:val="20"/>
              </w:rPr>
              <w:t>15.53</w:t>
            </w:r>
          </w:p>
        </w:tc>
        <w:tc>
          <w:tcPr>
            <w:tcW w:w="1350" w:type="dxa"/>
            <w:tcBorders/>
          </w:tcPr>
          <w:p>
            <w:pPr>
              <w:pStyle w:val="Normal"/>
              <w:tabs>
                <w:tab w:val="clear" w:pos="720"/>
                <w:tab w:val="decimal" w:pos="587" w:leader="none"/>
              </w:tabs>
              <w:ind w:end="-90"/>
              <w:rPr>
                <w:sz w:val="20"/>
                <w:szCs w:val="20"/>
              </w:rPr>
            </w:pPr>
            <w:r>
              <w:rPr>
                <w:sz w:val="20"/>
                <w:szCs w:val="20"/>
              </w:rPr>
              <w:t>17.23</w:t>
            </w:r>
          </w:p>
        </w:tc>
        <w:tc>
          <w:tcPr>
            <w:tcW w:w="1350" w:type="dxa"/>
            <w:tcBorders/>
          </w:tcPr>
          <w:p>
            <w:pPr>
              <w:pStyle w:val="Normal"/>
              <w:tabs>
                <w:tab w:val="clear" w:pos="720"/>
                <w:tab w:val="decimal" w:pos="587" w:leader="none"/>
              </w:tabs>
              <w:ind w:end="-90"/>
              <w:rPr>
                <w:sz w:val="20"/>
                <w:szCs w:val="20"/>
              </w:rPr>
            </w:pPr>
            <w:r>
              <w:rPr>
                <w:sz w:val="20"/>
                <w:szCs w:val="20"/>
              </w:rPr>
              <w:t>18.82</w:t>
            </w:r>
          </w:p>
        </w:tc>
      </w:tr>
      <w:tr>
        <w:trPr/>
        <w:tc>
          <w:tcPr>
            <w:tcW w:w="1458" w:type="dxa"/>
            <w:tcBorders/>
          </w:tcPr>
          <w:p>
            <w:pPr>
              <w:pStyle w:val="Normal"/>
              <w:ind w:end="-90"/>
              <w:rPr>
                <w:sz w:val="20"/>
                <w:szCs w:val="20"/>
              </w:rPr>
            </w:pPr>
            <w:r>
              <w:rPr>
                <w:sz w:val="20"/>
                <w:szCs w:val="20"/>
              </w:rPr>
              <w:t xml:space="preserve">Sing.  </w:t>
            </w:r>
          </w:p>
        </w:tc>
        <w:tc>
          <w:tcPr>
            <w:tcW w:w="1980" w:type="dxa"/>
            <w:tcBorders/>
          </w:tcPr>
          <w:p>
            <w:pPr>
              <w:pStyle w:val="Normal"/>
              <w:ind w:end="-90"/>
              <w:rPr>
                <w:sz w:val="20"/>
                <w:szCs w:val="20"/>
              </w:rPr>
            </w:pPr>
            <w:r>
              <w:rPr>
                <w:sz w:val="20"/>
                <w:szCs w:val="20"/>
              </w:rPr>
              <w:t>HSFO</w:t>
            </w:r>
          </w:p>
        </w:tc>
        <w:tc>
          <w:tcPr>
            <w:tcW w:w="1350" w:type="dxa"/>
            <w:tcBorders/>
          </w:tcPr>
          <w:p>
            <w:pPr>
              <w:pStyle w:val="Normal"/>
              <w:tabs>
                <w:tab w:val="clear" w:pos="720"/>
                <w:tab w:val="decimal" w:pos="587" w:leader="none"/>
              </w:tabs>
              <w:ind w:end="-90"/>
              <w:rPr>
                <w:sz w:val="20"/>
                <w:szCs w:val="20"/>
              </w:rPr>
            </w:pPr>
            <w:r>
              <w:rPr>
                <w:sz w:val="20"/>
                <w:szCs w:val="20"/>
              </w:rPr>
              <w:t>12.89</w:t>
            </w:r>
          </w:p>
        </w:tc>
        <w:tc>
          <w:tcPr>
            <w:tcW w:w="1350" w:type="dxa"/>
            <w:tcBorders/>
          </w:tcPr>
          <w:p>
            <w:pPr>
              <w:pStyle w:val="Normal"/>
              <w:tabs>
                <w:tab w:val="clear" w:pos="720"/>
                <w:tab w:val="decimal" w:pos="587" w:leader="none"/>
              </w:tabs>
              <w:ind w:end="-90"/>
              <w:rPr>
                <w:sz w:val="20"/>
                <w:szCs w:val="20"/>
              </w:rPr>
            </w:pPr>
            <w:r>
              <w:rPr>
                <w:sz w:val="20"/>
                <w:szCs w:val="20"/>
              </w:rPr>
              <w:t>14.99</w:t>
            </w:r>
          </w:p>
        </w:tc>
        <w:tc>
          <w:tcPr>
            <w:tcW w:w="1350" w:type="dxa"/>
            <w:tcBorders/>
          </w:tcPr>
          <w:p>
            <w:pPr>
              <w:pStyle w:val="Normal"/>
              <w:tabs>
                <w:tab w:val="clear" w:pos="720"/>
                <w:tab w:val="decimal" w:pos="587" w:leader="none"/>
              </w:tabs>
              <w:ind w:end="-90"/>
              <w:rPr>
                <w:sz w:val="20"/>
                <w:szCs w:val="20"/>
              </w:rPr>
            </w:pPr>
            <w:r>
              <w:rPr>
                <w:sz w:val="20"/>
                <w:szCs w:val="20"/>
              </w:rPr>
              <w:t>17.83</w:t>
            </w:r>
          </w:p>
        </w:tc>
        <w:tc>
          <w:tcPr>
            <w:tcW w:w="1350" w:type="dxa"/>
            <w:tcBorders/>
          </w:tcPr>
          <w:p>
            <w:pPr>
              <w:pStyle w:val="Normal"/>
              <w:tabs>
                <w:tab w:val="clear" w:pos="720"/>
                <w:tab w:val="decimal" w:pos="587" w:leader="none"/>
              </w:tabs>
              <w:ind w:end="-90"/>
              <w:rPr>
                <w:sz w:val="20"/>
                <w:szCs w:val="20"/>
              </w:rPr>
            </w:pPr>
            <w:r>
              <w:rPr>
                <w:sz w:val="20"/>
                <w:szCs w:val="20"/>
              </w:rPr>
              <w:t>19.35</w:t>
            </w:r>
          </w:p>
        </w:tc>
      </w:tr>
    </w:tbl>
    <w:p>
      <w:pPr>
        <w:pStyle w:val="Normal"/>
        <w:ind w:firstLine="360" w:end="-90"/>
        <w:rPr>
          <w:sz w:val="20"/>
          <w:szCs w:val="20"/>
        </w:rPr>
      </w:pPr>
      <w:r>
        <w:rPr>
          <w:sz w:val="20"/>
          <w:szCs w:val="20"/>
        </w:rPr>
        <w:t>*  Source:  Platt’s Oilgram</w:t>
      </w:r>
    </w:p>
    <w:p>
      <w:pPr>
        <w:pStyle w:val="Normal"/>
        <w:rPr>
          <w:sz w:val="20"/>
          <w:szCs w:val="20"/>
        </w:rPr>
      </w:pPr>
      <w:r>
        <w:rPr>
          <w:sz w:val="20"/>
          <w:szCs w:val="20"/>
        </w:rPr>
      </w:r>
    </w:p>
    <w:p>
      <w:pPr>
        <w:pStyle w:val="Normal"/>
        <w:rPr/>
      </w:pPr>
      <w:r>
        <w:rPr/>
        <w:t>New York Harbor price increases in September were more concentrated in the high sulfur grades while low and ultra-low sulfurs rose more modestly — opposite the trend witnessed back in July.  The 3%S HSFO market rose an average of just under two dollars per barrel in September versus August while 0.3%S LSFO and 1.0%S resid rose one dollar per barrel or less in the same period.  The strength in HSFO markets was supported by Mexico’s demand and the relatively tighter availability of heavy sour crudes to light sweet grades.</w:t>
      </w:r>
    </w:p>
    <w:p>
      <w:pPr>
        <w:pStyle w:val="Normal"/>
        <w:rPr/>
      </w:pPr>
      <w:r>
        <w:rPr/>
      </w:r>
    </w:p>
    <w:p>
      <w:pPr>
        <w:pStyle w:val="Normal"/>
        <w:rPr/>
      </w:pPr>
      <w:r>
        <w:rPr/>
        <w:t>In Europe, HSFO also showed relative strength in September versus LSFO.  In September, HSFO’s rose on average US$0.80 per barrel in Northwest Europe and US$1.10 per barrel in the Med while LSFO rose only US$0.38 per barrel in Northwest Europe and US$0.22 per barrel in the Med.</w:t>
      </w:r>
    </w:p>
    <w:p>
      <w:pPr>
        <w:pStyle w:val="Normal"/>
        <w:rPr/>
      </w:pPr>
      <w:r>
        <w:rPr/>
      </w:r>
    </w:p>
    <w:p>
      <w:pPr>
        <w:pStyle w:val="Normal"/>
        <w:rPr/>
      </w:pPr>
      <w:r>
        <w:rPr/>
        <w:t xml:space="preserve">The Singapore market behaved differently than the US and Europe.  Low and high sulfur resid prices rose similar amounts in September. LSWR prices rose US$1.59 per barrel while HSFO rose US$1.52 per barrel. </w:t>
      </w:r>
    </w:p>
    <w:p>
      <w:pPr>
        <w:pStyle w:val="Normal"/>
        <w:rPr/>
      </w:pPr>
      <w:r>
        <w:rPr/>
      </w:r>
    </w:p>
    <w:p>
      <w:pPr>
        <w:pStyle w:val="Normal"/>
        <w:rPr/>
      </w:pPr>
      <w:r>
        <w:rPr/>
        <w:t>The relative prices of fuel oils when compared to crude oils on a volumetric percentage basis mostly weakened in September after showing a lot of strength in August.</w:t>
      </w:r>
    </w:p>
    <w:p>
      <w:pPr>
        <w:pStyle w:val="Normal"/>
        <w:rPr/>
      </w:pPr>
      <w:r>
        <w:rPr/>
      </w:r>
    </w:p>
    <w:p>
      <w:pPr>
        <w:pStyle w:val="Normal"/>
        <w:ind w:end="-90"/>
        <w:rPr/>
      </w:pPr>
      <w:r>
        <w:rPr/>
        <w:t>The Monthly Average Relative Strength (MARS) of fuel oils are shown below for the various markets.  The MARS is calculated taking the barrel price of fuel oil divided by the barrel price of crude oil and the result is reflected as a percentage.  Different crude oils are used as the references for different fuel oils depending upon sulfur content and location.  The MARS is calculated using Dubai crude as the reference crude oil for all of the high sulfur fuel oils worldwide.  The MARS is calculated using Nigerian Bonny Crude as the reference crude oil for New York (netted back to the Caribbean), LSFO - 0.3%S and LSFO - 1.0%S figures, as well as Med LSFO figures.  The MARS is calculated using Brent Crude oil as the reference crude in the Northwest Europe (NWE) LSFO - 1.0%S figures.  The MARS is calculated using Minas crude oil as the reference crude oil in the Singapore LSWR figures.</w:t>
      </w:r>
    </w:p>
    <w:p>
      <w:pPr>
        <w:pStyle w:val="Normal"/>
        <w:rPr/>
      </w:pPr>
      <w:r>
        <w:rPr/>
      </w:r>
    </w:p>
    <w:p>
      <w:pPr>
        <w:pStyle w:val="Normal"/>
        <w:rPr/>
      </w:pPr>
      <w:r>
        <w:rPr/>
        <w:t>In September, low sulfur fuel oil grades showed a lot of weakness on a MARS basis in the US, Europe, and to a lesser degree Singapore.  High sulfur grades also showed weakness on a MARS basis in Europe and the Far East.  The US HSFO market, however, pretty much held its strength on a MARS basis.</w:t>
      </w:r>
    </w:p>
    <w:p>
      <w:pPr>
        <w:pStyle w:val="Normal"/>
        <w:rPr/>
      </w:pPr>
      <w:r>
        <w:rPr/>
      </w:r>
    </w:p>
    <w:p>
      <w:pPr>
        <w:pStyle w:val="Normal"/>
        <w:rPr/>
      </w:pPr>
      <w:r>
        <w:rPr/>
        <w:t>Despite September’s relative strength basis weakness, high sulfur grades were strong versus early summer levels (June) on a MARS basis.  Low sulfur grades of fuel oil were on a MARS basis closer to those seen in June.</w:t>
      </w:r>
    </w:p>
    <w:p>
      <w:pPr>
        <w:pStyle w:val="Normal"/>
        <w:rPr/>
      </w:pPr>
      <w:r>
        <w:rPr/>
      </w:r>
    </w:p>
    <w:p>
      <w:pPr>
        <w:pStyle w:val="Normal"/>
        <w:keepNext w:val="true"/>
        <w:tabs>
          <w:tab w:val="clear" w:pos="720"/>
          <w:tab w:val="left" w:pos="3960" w:leader="none"/>
          <w:tab w:val="center" w:pos="6210" w:leader="none"/>
          <w:tab w:val="right" w:pos="8550" w:leader="none"/>
        </w:tabs>
        <w:rPr/>
      </w:pPr>
      <w:r>
        <w:rPr>
          <w:sz w:val="20"/>
          <w:szCs w:val="20"/>
        </w:rPr>
        <w:tab/>
      </w:r>
      <w:r>
        <w:rPr>
          <w:sz w:val="20"/>
          <w:szCs w:val="20"/>
          <w:u w:val="single"/>
        </w:rPr>
        <w:tab/>
        <w:t>MARS</w:t>
        <w:tab/>
      </w:r>
    </w:p>
    <w:tbl>
      <w:tblPr>
        <w:tblW w:w="8407" w:type="dxa"/>
        <w:jc w:val="center"/>
        <w:tblInd w:w="0" w:type="dxa"/>
        <w:tblLayout w:type="fixed"/>
        <w:tblCellMar>
          <w:top w:w="0" w:type="dxa"/>
          <w:start w:w="108" w:type="dxa"/>
          <w:bottom w:w="0" w:type="dxa"/>
          <w:end w:w="108" w:type="dxa"/>
        </w:tblCellMar>
      </w:tblPr>
      <w:tblGrid>
        <w:gridCol w:w="1414"/>
        <w:gridCol w:w="1649"/>
        <w:gridCol w:w="1336"/>
        <w:gridCol w:w="1336"/>
        <w:gridCol w:w="1336"/>
        <w:gridCol w:w="1336"/>
      </w:tblGrid>
      <w:tr>
        <w:trPr/>
        <w:tc>
          <w:tcPr>
            <w:tcW w:w="1414" w:type="dxa"/>
            <w:tcBorders/>
          </w:tcPr>
          <w:p>
            <w:pPr>
              <w:pStyle w:val="Normal"/>
              <w:keepNext w:val="true"/>
              <w:rPr>
                <w:sz w:val="20"/>
                <w:szCs w:val="20"/>
                <w:u w:val="single"/>
              </w:rPr>
            </w:pPr>
            <w:r>
              <w:rPr>
                <w:sz w:val="20"/>
                <w:szCs w:val="20"/>
                <w:u w:val="single"/>
              </w:rPr>
              <w:t>Location</w:t>
            </w:r>
          </w:p>
        </w:tc>
        <w:tc>
          <w:tcPr>
            <w:tcW w:w="1649" w:type="dxa"/>
            <w:tcBorders/>
          </w:tcPr>
          <w:p>
            <w:pPr>
              <w:pStyle w:val="Normal"/>
              <w:keepNext w:val="true"/>
              <w:rPr>
                <w:sz w:val="20"/>
                <w:szCs w:val="20"/>
                <w:u w:val="single"/>
              </w:rPr>
            </w:pPr>
            <w:r>
              <w:rPr>
                <w:sz w:val="20"/>
                <w:szCs w:val="20"/>
                <w:u w:val="single"/>
              </w:rPr>
              <w:t>Grade</w:t>
            </w:r>
          </w:p>
        </w:tc>
        <w:tc>
          <w:tcPr>
            <w:tcW w:w="1336" w:type="dxa"/>
            <w:tcBorders/>
          </w:tcPr>
          <w:p>
            <w:pPr>
              <w:pStyle w:val="Normal"/>
              <w:keepNext w:val="true"/>
              <w:jc w:val="center"/>
              <w:rPr>
                <w:sz w:val="20"/>
                <w:szCs w:val="20"/>
                <w:u w:val="single"/>
              </w:rPr>
            </w:pPr>
            <w:r>
              <w:rPr>
                <w:sz w:val="20"/>
                <w:szCs w:val="20"/>
                <w:u w:val="single"/>
              </w:rPr>
              <w:t>June</w:t>
            </w:r>
          </w:p>
        </w:tc>
        <w:tc>
          <w:tcPr>
            <w:tcW w:w="1336" w:type="dxa"/>
            <w:tcBorders/>
          </w:tcPr>
          <w:p>
            <w:pPr>
              <w:pStyle w:val="Normal"/>
              <w:keepNext w:val="true"/>
              <w:jc w:val="center"/>
              <w:rPr>
                <w:sz w:val="20"/>
                <w:szCs w:val="20"/>
                <w:u w:val="single"/>
              </w:rPr>
            </w:pPr>
            <w:r>
              <w:rPr>
                <w:sz w:val="20"/>
                <w:szCs w:val="20"/>
                <w:u w:val="single"/>
              </w:rPr>
              <w:t>July</w:t>
            </w:r>
          </w:p>
        </w:tc>
        <w:tc>
          <w:tcPr>
            <w:tcW w:w="1336" w:type="dxa"/>
            <w:tcBorders/>
          </w:tcPr>
          <w:p>
            <w:pPr>
              <w:pStyle w:val="Normal"/>
              <w:keepNext w:val="true"/>
              <w:jc w:val="center"/>
              <w:rPr>
                <w:sz w:val="20"/>
                <w:szCs w:val="20"/>
                <w:u w:val="single"/>
              </w:rPr>
            </w:pPr>
            <w:r>
              <w:rPr>
                <w:sz w:val="20"/>
                <w:szCs w:val="20"/>
                <w:u w:val="single"/>
              </w:rPr>
              <w:t>Aug</w:t>
            </w:r>
          </w:p>
        </w:tc>
        <w:tc>
          <w:tcPr>
            <w:tcW w:w="1336" w:type="dxa"/>
            <w:tcBorders/>
          </w:tcPr>
          <w:p>
            <w:pPr>
              <w:pStyle w:val="Normal"/>
              <w:keepNext w:val="true"/>
              <w:jc w:val="center"/>
              <w:rPr>
                <w:sz w:val="20"/>
                <w:szCs w:val="20"/>
                <w:u w:val="single"/>
              </w:rPr>
            </w:pPr>
            <w:r>
              <w:rPr>
                <w:sz w:val="20"/>
                <w:szCs w:val="20"/>
                <w:u w:val="single"/>
              </w:rPr>
              <w:t>Sept</w:t>
            </w:r>
          </w:p>
        </w:tc>
      </w:tr>
      <w:tr>
        <w:trPr/>
        <w:tc>
          <w:tcPr>
            <w:tcW w:w="1414" w:type="dxa"/>
            <w:tcBorders/>
          </w:tcPr>
          <w:p>
            <w:pPr>
              <w:pStyle w:val="Normal"/>
              <w:keepNext w:val="true"/>
              <w:rPr>
                <w:sz w:val="20"/>
                <w:szCs w:val="20"/>
              </w:rPr>
            </w:pPr>
            <w:r>
              <w:rPr>
                <w:sz w:val="20"/>
                <w:szCs w:val="20"/>
              </w:rPr>
              <w:t>NYC</w:t>
            </w:r>
          </w:p>
        </w:tc>
        <w:tc>
          <w:tcPr>
            <w:tcW w:w="1649" w:type="dxa"/>
            <w:tcBorders/>
          </w:tcPr>
          <w:p>
            <w:pPr>
              <w:pStyle w:val="Normal"/>
              <w:keepNext w:val="true"/>
              <w:rPr>
                <w:sz w:val="20"/>
                <w:szCs w:val="20"/>
              </w:rPr>
            </w:pPr>
            <w:r>
              <w:rPr>
                <w:sz w:val="20"/>
                <w:szCs w:val="20"/>
              </w:rPr>
              <w:t>LSFO-0.3%S</w:t>
            </w:r>
          </w:p>
        </w:tc>
        <w:tc>
          <w:tcPr>
            <w:tcW w:w="1336" w:type="dxa"/>
            <w:tcBorders/>
          </w:tcPr>
          <w:p>
            <w:pPr>
              <w:pStyle w:val="Normal"/>
              <w:keepNext w:val="true"/>
              <w:tabs>
                <w:tab w:val="clear" w:pos="720"/>
                <w:tab w:val="decimal" w:pos="611" w:leader="none"/>
              </w:tabs>
              <w:rPr>
                <w:sz w:val="20"/>
                <w:szCs w:val="20"/>
              </w:rPr>
            </w:pPr>
            <w:r>
              <w:rPr>
                <w:sz w:val="20"/>
                <w:szCs w:val="20"/>
              </w:rPr>
              <w:t>90.3*</w:t>
            </w:r>
          </w:p>
        </w:tc>
        <w:tc>
          <w:tcPr>
            <w:tcW w:w="1336" w:type="dxa"/>
            <w:tcBorders/>
          </w:tcPr>
          <w:p>
            <w:pPr>
              <w:pStyle w:val="Normal"/>
              <w:keepNext w:val="true"/>
              <w:tabs>
                <w:tab w:val="clear" w:pos="720"/>
                <w:tab w:val="decimal" w:pos="625" w:leader="none"/>
              </w:tabs>
              <w:rPr>
                <w:sz w:val="20"/>
                <w:szCs w:val="20"/>
              </w:rPr>
            </w:pPr>
            <w:r>
              <w:rPr>
                <w:sz w:val="20"/>
                <w:szCs w:val="20"/>
              </w:rPr>
              <w:t>85.7*</w:t>
            </w:r>
          </w:p>
        </w:tc>
        <w:tc>
          <w:tcPr>
            <w:tcW w:w="1336" w:type="dxa"/>
            <w:tcBorders/>
          </w:tcPr>
          <w:p>
            <w:pPr>
              <w:pStyle w:val="Normal"/>
              <w:keepNext w:val="true"/>
              <w:tabs>
                <w:tab w:val="clear" w:pos="720"/>
                <w:tab w:val="decimal" w:pos="625" w:leader="none"/>
              </w:tabs>
              <w:rPr>
                <w:sz w:val="20"/>
                <w:szCs w:val="20"/>
              </w:rPr>
            </w:pPr>
            <w:r>
              <w:rPr>
                <w:sz w:val="20"/>
                <w:szCs w:val="20"/>
              </w:rPr>
              <w:t>93.9*</w:t>
            </w:r>
          </w:p>
        </w:tc>
        <w:tc>
          <w:tcPr>
            <w:tcW w:w="1336" w:type="dxa"/>
            <w:tcBorders/>
          </w:tcPr>
          <w:p>
            <w:pPr>
              <w:pStyle w:val="Normal"/>
              <w:keepNext w:val="true"/>
              <w:tabs>
                <w:tab w:val="clear" w:pos="720"/>
                <w:tab w:val="decimal" w:pos="625" w:leader="none"/>
              </w:tabs>
              <w:rPr>
                <w:sz w:val="20"/>
                <w:szCs w:val="20"/>
              </w:rPr>
            </w:pPr>
            <w:r>
              <w:rPr>
                <w:sz w:val="20"/>
                <w:szCs w:val="20"/>
              </w:rPr>
              <w:t>88.3*</w:t>
            </w:r>
          </w:p>
        </w:tc>
      </w:tr>
      <w:tr>
        <w:trPr/>
        <w:tc>
          <w:tcPr>
            <w:tcW w:w="1414" w:type="dxa"/>
            <w:tcBorders/>
          </w:tcPr>
          <w:p>
            <w:pPr>
              <w:pStyle w:val="Normal"/>
              <w:keepNext w:val="true"/>
              <w:rPr>
                <w:sz w:val="20"/>
                <w:szCs w:val="20"/>
              </w:rPr>
            </w:pPr>
            <w:r>
              <w:rPr>
                <w:sz w:val="20"/>
                <w:szCs w:val="20"/>
              </w:rPr>
              <w:t xml:space="preserve">NYH </w:t>
            </w:r>
          </w:p>
        </w:tc>
        <w:tc>
          <w:tcPr>
            <w:tcW w:w="1649" w:type="dxa"/>
            <w:tcBorders/>
          </w:tcPr>
          <w:p>
            <w:pPr>
              <w:pStyle w:val="Normal"/>
              <w:keepNext w:val="true"/>
              <w:rPr>
                <w:sz w:val="20"/>
                <w:szCs w:val="20"/>
              </w:rPr>
            </w:pPr>
            <w:r>
              <w:rPr>
                <w:sz w:val="20"/>
                <w:szCs w:val="20"/>
              </w:rPr>
              <w:t>LSFO-1.0%S</w:t>
            </w:r>
          </w:p>
        </w:tc>
        <w:tc>
          <w:tcPr>
            <w:tcW w:w="1336" w:type="dxa"/>
            <w:tcBorders/>
          </w:tcPr>
          <w:p>
            <w:pPr>
              <w:pStyle w:val="Normal"/>
              <w:keepNext w:val="true"/>
              <w:tabs>
                <w:tab w:val="clear" w:pos="720"/>
                <w:tab w:val="decimal" w:pos="611" w:leader="none"/>
              </w:tabs>
              <w:rPr>
                <w:sz w:val="20"/>
                <w:szCs w:val="20"/>
              </w:rPr>
            </w:pPr>
            <w:r>
              <w:rPr>
                <w:sz w:val="20"/>
                <w:szCs w:val="20"/>
              </w:rPr>
              <w:t>81.9*</w:t>
            </w:r>
          </w:p>
        </w:tc>
        <w:tc>
          <w:tcPr>
            <w:tcW w:w="1336" w:type="dxa"/>
            <w:tcBorders/>
          </w:tcPr>
          <w:p>
            <w:pPr>
              <w:pStyle w:val="Normal"/>
              <w:keepNext w:val="true"/>
              <w:tabs>
                <w:tab w:val="clear" w:pos="720"/>
                <w:tab w:val="decimal" w:pos="625" w:leader="none"/>
              </w:tabs>
              <w:rPr>
                <w:sz w:val="20"/>
                <w:szCs w:val="20"/>
              </w:rPr>
            </w:pPr>
            <w:r>
              <w:rPr>
                <w:sz w:val="20"/>
                <w:szCs w:val="20"/>
              </w:rPr>
              <w:t>77.9*</w:t>
            </w:r>
          </w:p>
        </w:tc>
        <w:tc>
          <w:tcPr>
            <w:tcW w:w="1336" w:type="dxa"/>
            <w:tcBorders/>
          </w:tcPr>
          <w:p>
            <w:pPr>
              <w:pStyle w:val="Normal"/>
              <w:keepNext w:val="true"/>
              <w:tabs>
                <w:tab w:val="clear" w:pos="720"/>
                <w:tab w:val="decimal" w:pos="625" w:leader="none"/>
              </w:tabs>
              <w:rPr>
                <w:sz w:val="20"/>
                <w:szCs w:val="20"/>
              </w:rPr>
            </w:pPr>
            <w:r>
              <w:rPr>
                <w:sz w:val="20"/>
                <w:szCs w:val="20"/>
              </w:rPr>
              <w:t>84.6*</w:t>
            </w:r>
          </w:p>
        </w:tc>
        <w:tc>
          <w:tcPr>
            <w:tcW w:w="1336" w:type="dxa"/>
            <w:tcBorders/>
          </w:tcPr>
          <w:p>
            <w:pPr>
              <w:pStyle w:val="Normal"/>
              <w:keepNext w:val="true"/>
              <w:tabs>
                <w:tab w:val="clear" w:pos="720"/>
                <w:tab w:val="decimal" w:pos="625" w:leader="none"/>
              </w:tabs>
              <w:rPr>
                <w:sz w:val="20"/>
                <w:szCs w:val="20"/>
              </w:rPr>
            </w:pPr>
            <w:r>
              <w:rPr>
                <w:sz w:val="20"/>
                <w:szCs w:val="20"/>
              </w:rPr>
              <w:t>79.4*</w:t>
            </w:r>
          </w:p>
        </w:tc>
      </w:tr>
      <w:tr>
        <w:trPr/>
        <w:tc>
          <w:tcPr>
            <w:tcW w:w="1414" w:type="dxa"/>
            <w:tcBorders/>
          </w:tcPr>
          <w:p>
            <w:pPr>
              <w:pStyle w:val="Normal"/>
              <w:keepNext w:val="true"/>
              <w:rPr>
                <w:sz w:val="20"/>
                <w:szCs w:val="20"/>
              </w:rPr>
            </w:pPr>
            <w:r>
              <w:rPr>
                <w:sz w:val="20"/>
                <w:szCs w:val="20"/>
              </w:rPr>
              <w:t>NYH</w:t>
            </w:r>
          </w:p>
        </w:tc>
        <w:tc>
          <w:tcPr>
            <w:tcW w:w="1649" w:type="dxa"/>
            <w:tcBorders/>
          </w:tcPr>
          <w:p>
            <w:pPr>
              <w:pStyle w:val="Normal"/>
              <w:keepNext w:val="true"/>
              <w:rPr>
                <w:sz w:val="20"/>
                <w:szCs w:val="20"/>
              </w:rPr>
            </w:pPr>
            <w:r>
              <w:rPr>
                <w:sz w:val="20"/>
                <w:szCs w:val="20"/>
              </w:rPr>
              <w:t>HSFO</w:t>
            </w:r>
          </w:p>
        </w:tc>
        <w:tc>
          <w:tcPr>
            <w:tcW w:w="1336" w:type="dxa"/>
            <w:tcBorders/>
          </w:tcPr>
          <w:p>
            <w:pPr>
              <w:pStyle w:val="Normal"/>
              <w:keepNext w:val="true"/>
              <w:tabs>
                <w:tab w:val="clear" w:pos="720"/>
                <w:tab w:val="decimal" w:pos="611" w:leader="none"/>
              </w:tabs>
              <w:rPr>
                <w:sz w:val="20"/>
                <w:szCs w:val="20"/>
              </w:rPr>
            </w:pPr>
            <w:r>
              <w:rPr>
                <w:sz w:val="20"/>
                <w:szCs w:val="20"/>
              </w:rPr>
              <w:t>68.6*</w:t>
            </w:r>
          </w:p>
        </w:tc>
        <w:tc>
          <w:tcPr>
            <w:tcW w:w="1336" w:type="dxa"/>
            <w:tcBorders/>
          </w:tcPr>
          <w:p>
            <w:pPr>
              <w:pStyle w:val="Normal"/>
              <w:keepNext w:val="true"/>
              <w:tabs>
                <w:tab w:val="clear" w:pos="720"/>
                <w:tab w:val="decimal" w:pos="625" w:leader="none"/>
              </w:tabs>
              <w:rPr>
                <w:sz w:val="20"/>
                <w:szCs w:val="20"/>
              </w:rPr>
            </w:pPr>
            <w:r>
              <w:rPr>
                <w:sz w:val="20"/>
                <w:szCs w:val="20"/>
              </w:rPr>
              <w:t>69.9*</w:t>
            </w:r>
          </w:p>
        </w:tc>
        <w:tc>
          <w:tcPr>
            <w:tcW w:w="1336" w:type="dxa"/>
            <w:tcBorders/>
          </w:tcPr>
          <w:p>
            <w:pPr>
              <w:pStyle w:val="Normal"/>
              <w:keepNext w:val="true"/>
              <w:tabs>
                <w:tab w:val="clear" w:pos="720"/>
                <w:tab w:val="decimal" w:pos="625" w:leader="none"/>
              </w:tabs>
              <w:rPr>
                <w:sz w:val="20"/>
                <w:szCs w:val="20"/>
              </w:rPr>
            </w:pPr>
            <w:r>
              <w:rPr>
                <w:sz w:val="20"/>
                <w:szCs w:val="20"/>
              </w:rPr>
              <w:t>78.4*</w:t>
            </w:r>
          </w:p>
        </w:tc>
        <w:tc>
          <w:tcPr>
            <w:tcW w:w="1336" w:type="dxa"/>
            <w:tcBorders/>
          </w:tcPr>
          <w:p>
            <w:pPr>
              <w:pStyle w:val="Normal"/>
              <w:keepNext w:val="true"/>
              <w:tabs>
                <w:tab w:val="clear" w:pos="720"/>
                <w:tab w:val="decimal" w:pos="625" w:leader="none"/>
              </w:tabs>
              <w:rPr>
                <w:sz w:val="20"/>
                <w:szCs w:val="20"/>
              </w:rPr>
            </w:pPr>
            <w:r>
              <w:rPr>
                <w:sz w:val="20"/>
                <w:szCs w:val="20"/>
              </w:rPr>
              <w:t>78.3*</w:t>
            </w:r>
          </w:p>
        </w:tc>
      </w:tr>
      <w:tr>
        <w:trPr/>
        <w:tc>
          <w:tcPr>
            <w:tcW w:w="1414" w:type="dxa"/>
            <w:tcBorders/>
          </w:tcPr>
          <w:p>
            <w:pPr>
              <w:pStyle w:val="Normal"/>
              <w:keepNext w:val="true"/>
              <w:rPr>
                <w:sz w:val="20"/>
                <w:szCs w:val="20"/>
              </w:rPr>
            </w:pPr>
            <w:r>
              <w:rPr>
                <w:sz w:val="20"/>
                <w:szCs w:val="20"/>
              </w:rPr>
              <w:t xml:space="preserve">NWE </w:t>
            </w:r>
          </w:p>
        </w:tc>
        <w:tc>
          <w:tcPr>
            <w:tcW w:w="1649" w:type="dxa"/>
            <w:tcBorders/>
          </w:tcPr>
          <w:p>
            <w:pPr>
              <w:pStyle w:val="Normal"/>
              <w:keepNext w:val="true"/>
              <w:rPr>
                <w:sz w:val="20"/>
                <w:szCs w:val="20"/>
              </w:rPr>
            </w:pPr>
            <w:r>
              <w:rPr>
                <w:sz w:val="20"/>
                <w:szCs w:val="20"/>
              </w:rPr>
              <w:t xml:space="preserve">LSFO  </w:t>
            </w:r>
          </w:p>
        </w:tc>
        <w:tc>
          <w:tcPr>
            <w:tcW w:w="1336" w:type="dxa"/>
            <w:tcBorders/>
          </w:tcPr>
          <w:p>
            <w:pPr>
              <w:pStyle w:val="Normal"/>
              <w:keepNext w:val="true"/>
              <w:tabs>
                <w:tab w:val="clear" w:pos="720"/>
                <w:tab w:val="decimal" w:pos="611" w:leader="none"/>
              </w:tabs>
              <w:rPr>
                <w:sz w:val="20"/>
                <w:szCs w:val="20"/>
              </w:rPr>
            </w:pPr>
            <w:r>
              <w:rPr>
                <w:sz w:val="20"/>
                <w:szCs w:val="20"/>
              </w:rPr>
              <w:t>76.1</w:t>
            </w:r>
          </w:p>
        </w:tc>
        <w:tc>
          <w:tcPr>
            <w:tcW w:w="1336" w:type="dxa"/>
            <w:tcBorders/>
          </w:tcPr>
          <w:p>
            <w:pPr>
              <w:pStyle w:val="Normal"/>
              <w:keepNext w:val="true"/>
              <w:tabs>
                <w:tab w:val="clear" w:pos="720"/>
                <w:tab w:val="decimal" w:pos="625" w:leader="none"/>
              </w:tabs>
              <w:rPr>
                <w:sz w:val="20"/>
                <w:szCs w:val="20"/>
              </w:rPr>
            </w:pPr>
            <w:r>
              <w:rPr>
                <w:sz w:val="20"/>
                <w:szCs w:val="20"/>
              </w:rPr>
              <w:t>73.5</w:t>
            </w:r>
          </w:p>
        </w:tc>
        <w:tc>
          <w:tcPr>
            <w:tcW w:w="1336" w:type="dxa"/>
            <w:tcBorders/>
          </w:tcPr>
          <w:p>
            <w:pPr>
              <w:pStyle w:val="Normal"/>
              <w:keepNext w:val="true"/>
              <w:tabs>
                <w:tab w:val="clear" w:pos="720"/>
                <w:tab w:val="decimal" w:pos="625" w:leader="none"/>
              </w:tabs>
              <w:rPr>
                <w:sz w:val="20"/>
                <w:szCs w:val="20"/>
              </w:rPr>
            </w:pPr>
            <w:r>
              <w:rPr>
                <w:sz w:val="20"/>
                <w:szCs w:val="20"/>
              </w:rPr>
              <w:t>83.6</w:t>
            </w:r>
          </w:p>
        </w:tc>
        <w:tc>
          <w:tcPr>
            <w:tcW w:w="1336" w:type="dxa"/>
            <w:tcBorders/>
          </w:tcPr>
          <w:p>
            <w:pPr>
              <w:pStyle w:val="Normal"/>
              <w:keepNext w:val="true"/>
              <w:tabs>
                <w:tab w:val="clear" w:pos="720"/>
                <w:tab w:val="decimal" w:pos="625" w:leader="none"/>
              </w:tabs>
              <w:rPr>
                <w:sz w:val="20"/>
                <w:szCs w:val="20"/>
              </w:rPr>
            </w:pPr>
            <w:r>
              <w:rPr>
                <w:sz w:val="20"/>
                <w:szCs w:val="20"/>
              </w:rPr>
              <w:t>77.1</w:t>
            </w:r>
          </w:p>
        </w:tc>
      </w:tr>
      <w:tr>
        <w:trPr/>
        <w:tc>
          <w:tcPr>
            <w:tcW w:w="1414" w:type="dxa"/>
            <w:tcBorders/>
          </w:tcPr>
          <w:p>
            <w:pPr>
              <w:pStyle w:val="Normal"/>
              <w:keepNext w:val="true"/>
              <w:rPr>
                <w:sz w:val="20"/>
                <w:szCs w:val="20"/>
              </w:rPr>
            </w:pPr>
            <w:r>
              <w:rPr>
                <w:sz w:val="20"/>
                <w:szCs w:val="20"/>
              </w:rPr>
              <w:t>NWE</w:t>
            </w:r>
          </w:p>
        </w:tc>
        <w:tc>
          <w:tcPr>
            <w:tcW w:w="1649" w:type="dxa"/>
            <w:tcBorders/>
          </w:tcPr>
          <w:p>
            <w:pPr>
              <w:pStyle w:val="Normal"/>
              <w:keepNext w:val="true"/>
              <w:rPr>
                <w:sz w:val="20"/>
                <w:szCs w:val="20"/>
              </w:rPr>
            </w:pPr>
            <w:r>
              <w:rPr>
                <w:sz w:val="20"/>
                <w:szCs w:val="20"/>
              </w:rPr>
              <w:t xml:space="preserve">HSFO </w:t>
            </w:r>
          </w:p>
        </w:tc>
        <w:tc>
          <w:tcPr>
            <w:tcW w:w="1336" w:type="dxa"/>
            <w:tcBorders/>
          </w:tcPr>
          <w:p>
            <w:pPr>
              <w:pStyle w:val="Normal"/>
              <w:keepNext w:val="true"/>
              <w:tabs>
                <w:tab w:val="clear" w:pos="720"/>
                <w:tab w:val="decimal" w:pos="611" w:leader="none"/>
              </w:tabs>
              <w:rPr>
                <w:sz w:val="20"/>
                <w:szCs w:val="20"/>
              </w:rPr>
            </w:pPr>
            <w:r>
              <w:rPr>
                <w:sz w:val="20"/>
                <w:szCs w:val="20"/>
              </w:rPr>
              <w:t>61.1</w:t>
            </w:r>
          </w:p>
        </w:tc>
        <w:tc>
          <w:tcPr>
            <w:tcW w:w="1336" w:type="dxa"/>
            <w:tcBorders/>
          </w:tcPr>
          <w:p>
            <w:pPr>
              <w:pStyle w:val="Normal"/>
              <w:keepNext w:val="true"/>
              <w:tabs>
                <w:tab w:val="clear" w:pos="720"/>
                <w:tab w:val="decimal" w:pos="625" w:leader="none"/>
              </w:tabs>
              <w:rPr>
                <w:sz w:val="20"/>
                <w:szCs w:val="20"/>
              </w:rPr>
            </w:pPr>
            <w:r>
              <w:rPr>
                <w:sz w:val="20"/>
                <w:szCs w:val="20"/>
              </w:rPr>
              <w:t>66.6</w:t>
            </w:r>
          </w:p>
        </w:tc>
        <w:tc>
          <w:tcPr>
            <w:tcW w:w="1336" w:type="dxa"/>
            <w:tcBorders/>
          </w:tcPr>
          <w:p>
            <w:pPr>
              <w:pStyle w:val="Normal"/>
              <w:keepNext w:val="true"/>
              <w:tabs>
                <w:tab w:val="clear" w:pos="720"/>
                <w:tab w:val="decimal" w:pos="625" w:leader="none"/>
              </w:tabs>
              <w:rPr>
                <w:sz w:val="20"/>
                <w:szCs w:val="20"/>
              </w:rPr>
            </w:pPr>
            <w:r>
              <w:rPr>
                <w:sz w:val="20"/>
                <w:szCs w:val="20"/>
              </w:rPr>
              <w:t>77.3</w:t>
            </w:r>
          </w:p>
        </w:tc>
        <w:tc>
          <w:tcPr>
            <w:tcW w:w="1336" w:type="dxa"/>
            <w:tcBorders/>
          </w:tcPr>
          <w:p>
            <w:pPr>
              <w:pStyle w:val="Normal"/>
              <w:keepNext w:val="true"/>
              <w:tabs>
                <w:tab w:val="clear" w:pos="720"/>
                <w:tab w:val="decimal" w:pos="625" w:leader="none"/>
              </w:tabs>
              <w:rPr>
                <w:sz w:val="20"/>
                <w:szCs w:val="20"/>
              </w:rPr>
            </w:pPr>
            <w:r>
              <w:rPr>
                <w:sz w:val="20"/>
                <w:szCs w:val="20"/>
              </w:rPr>
              <w:t>72.2</w:t>
            </w:r>
          </w:p>
        </w:tc>
      </w:tr>
      <w:tr>
        <w:trPr/>
        <w:tc>
          <w:tcPr>
            <w:tcW w:w="1414" w:type="dxa"/>
            <w:tcBorders/>
          </w:tcPr>
          <w:p>
            <w:pPr>
              <w:pStyle w:val="Normal"/>
              <w:keepNext w:val="true"/>
              <w:rPr>
                <w:sz w:val="20"/>
                <w:szCs w:val="20"/>
              </w:rPr>
            </w:pPr>
            <w:r>
              <w:rPr>
                <w:sz w:val="20"/>
                <w:szCs w:val="20"/>
              </w:rPr>
              <w:t xml:space="preserve">Med  </w:t>
            </w:r>
          </w:p>
        </w:tc>
        <w:tc>
          <w:tcPr>
            <w:tcW w:w="1649" w:type="dxa"/>
            <w:tcBorders/>
          </w:tcPr>
          <w:p>
            <w:pPr>
              <w:pStyle w:val="Normal"/>
              <w:keepNext w:val="true"/>
              <w:rPr>
                <w:sz w:val="20"/>
                <w:szCs w:val="20"/>
              </w:rPr>
            </w:pPr>
            <w:r>
              <w:rPr>
                <w:sz w:val="20"/>
                <w:szCs w:val="20"/>
              </w:rPr>
              <w:t xml:space="preserve">LSFO </w:t>
            </w:r>
          </w:p>
        </w:tc>
        <w:tc>
          <w:tcPr>
            <w:tcW w:w="1336" w:type="dxa"/>
            <w:tcBorders/>
          </w:tcPr>
          <w:p>
            <w:pPr>
              <w:pStyle w:val="Normal"/>
              <w:keepNext w:val="true"/>
              <w:tabs>
                <w:tab w:val="clear" w:pos="720"/>
                <w:tab w:val="decimal" w:pos="611" w:leader="none"/>
              </w:tabs>
              <w:rPr>
                <w:sz w:val="20"/>
                <w:szCs w:val="20"/>
              </w:rPr>
            </w:pPr>
            <w:r>
              <w:rPr>
                <w:sz w:val="20"/>
                <w:szCs w:val="20"/>
              </w:rPr>
              <w:t>73.6</w:t>
            </w:r>
          </w:p>
        </w:tc>
        <w:tc>
          <w:tcPr>
            <w:tcW w:w="1336" w:type="dxa"/>
            <w:tcBorders/>
          </w:tcPr>
          <w:p>
            <w:pPr>
              <w:pStyle w:val="Normal"/>
              <w:keepNext w:val="true"/>
              <w:tabs>
                <w:tab w:val="clear" w:pos="720"/>
                <w:tab w:val="decimal" w:pos="625" w:leader="none"/>
              </w:tabs>
              <w:rPr>
                <w:sz w:val="20"/>
                <w:szCs w:val="20"/>
              </w:rPr>
            </w:pPr>
            <w:r>
              <w:rPr>
                <w:sz w:val="20"/>
                <w:szCs w:val="20"/>
              </w:rPr>
              <w:t>73.5</w:t>
            </w:r>
          </w:p>
        </w:tc>
        <w:tc>
          <w:tcPr>
            <w:tcW w:w="1336" w:type="dxa"/>
            <w:tcBorders/>
          </w:tcPr>
          <w:p>
            <w:pPr>
              <w:pStyle w:val="Normal"/>
              <w:keepNext w:val="true"/>
              <w:tabs>
                <w:tab w:val="clear" w:pos="720"/>
                <w:tab w:val="decimal" w:pos="625" w:leader="none"/>
              </w:tabs>
              <w:rPr>
                <w:sz w:val="20"/>
                <w:szCs w:val="20"/>
              </w:rPr>
            </w:pPr>
            <w:r>
              <w:rPr>
                <w:sz w:val="20"/>
                <w:szCs w:val="20"/>
              </w:rPr>
              <w:t>83.6</w:t>
            </w:r>
          </w:p>
        </w:tc>
        <w:tc>
          <w:tcPr>
            <w:tcW w:w="1336" w:type="dxa"/>
            <w:tcBorders/>
          </w:tcPr>
          <w:p>
            <w:pPr>
              <w:pStyle w:val="Normal"/>
              <w:keepNext w:val="true"/>
              <w:tabs>
                <w:tab w:val="clear" w:pos="720"/>
                <w:tab w:val="decimal" w:pos="625" w:leader="none"/>
              </w:tabs>
              <w:rPr>
                <w:sz w:val="20"/>
                <w:szCs w:val="20"/>
              </w:rPr>
            </w:pPr>
            <w:r>
              <w:rPr>
                <w:sz w:val="20"/>
                <w:szCs w:val="20"/>
              </w:rPr>
              <w:t>75.7</w:t>
            </w:r>
          </w:p>
        </w:tc>
      </w:tr>
      <w:tr>
        <w:trPr/>
        <w:tc>
          <w:tcPr>
            <w:tcW w:w="1414" w:type="dxa"/>
            <w:tcBorders/>
          </w:tcPr>
          <w:p>
            <w:pPr>
              <w:pStyle w:val="Normal"/>
              <w:keepNext w:val="true"/>
              <w:rPr>
                <w:sz w:val="20"/>
                <w:szCs w:val="20"/>
              </w:rPr>
            </w:pPr>
            <w:r>
              <w:rPr>
                <w:sz w:val="20"/>
                <w:szCs w:val="20"/>
              </w:rPr>
              <w:t xml:space="preserve">Med </w:t>
            </w:r>
          </w:p>
        </w:tc>
        <w:tc>
          <w:tcPr>
            <w:tcW w:w="1649" w:type="dxa"/>
            <w:tcBorders/>
          </w:tcPr>
          <w:p>
            <w:pPr>
              <w:pStyle w:val="Normal"/>
              <w:keepNext w:val="true"/>
              <w:rPr>
                <w:sz w:val="20"/>
                <w:szCs w:val="20"/>
              </w:rPr>
            </w:pPr>
            <w:r>
              <w:rPr>
                <w:sz w:val="20"/>
                <w:szCs w:val="20"/>
              </w:rPr>
              <w:t xml:space="preserve">HSFO </w:t>
            </w:r>
          </w:p>
        </w:tc>
        <w:tc>
          <w:tcPr>
            <w:tcW w:w="1336" w:type="dxa"/>
            <w:tcBorders/>
          </w:tcPr>
          <w:p>
            <w:pPr>
              <w:pStyle w:val="Normal"/>
              <w:keepNext w:val="true"/>
              <w:tabs>
                <w:tab w:val="clear" w:pos="720"/>
                <w:tab w:val="decimal" w:pos="611" w:leader="none"/>
              </w:tabs>
              <w:rPr>
                <w:sz w:val="20"/>
                <w:szCs w:val="20"/>
              </w:rPr>
            </w:pPr>
            <w:r>
              <w:rPr>
                <w:sz w:val="20"/>
                <w:szCs w:val="20"/>
              </w:rPr>
              <w:t>64.4</w:t>
            </w:r>
          </w:p>
        </w:tc>
        <w:tc>
          <w:tcPr>
            <w:tcW w:w="1336" w:type="dxa"/>
            <w:tcBorders/>
          </w:tcPr>
          <w:p>
            <w:pPr>
              <w:pStyle w:val="Normal"/>
              <w:keepNext w:val="true"/>
              <w:tabs>
                <w:tab w:val="clear" w:pos="720"/>
                <w:tab w:val="decimal" w:pos="625" w:leader="none"/>
              </w:tabs>
              <w:rPr>
                <w:sz w:val="20"/>
                <w:szCs w:val="20"/>
              </w:rPr>
            </w:pPr>
            <w:r>
              <w:rPr>
                <w:sz w:val="20"/>
                <w:szCs w:val="20"/>
              </w:rPr>
              <w:t>70.8</w:t>
            </w:r>
          </w:p>
        </w:tc>
        <w:tc>
          <w:tcPr>
            <w:tcW w:w="1336" w:type="dxa"/>
            <w:tcBorders/>
          </w:tcPr>
          <w:p>
            <w:pPr>
              <w:pStyle w:val="Normal"/>
              <w:keepNext w:val="true"/>
              <w:tabs>
                <w:tab w:val="clear" w:pos="720"/>
                <w:tab w:val="decimal" w:pos="625" w:leader="none"/>
              </w:tabs>
              <w:rPr>
                <w:sz w:val="20"/>
                <w:szCs w:val="20"/>
              </w:rPr>
            </w:pPr>
            <w:r>
              <w:rPr>
                <w:sz w:val="20"/>
                <w:szCs w:val="20"/>
              </w:rPr>
              <w:t>79.4</w:t>
            </w:r>
          </w:p>
        </w:tc>
        <w:tc>
          <w:tcPr>
            <w:tcW w:w="1336" w:type="dxa"/>
            <w:tcBorders/>
          </w:tcPr>
          <w:p>
            <w:pPr>
              <w:pStyle w:val="Normal"/>
              <w:keepNext w:val="true"/>
              <w:tabs>
                <w:tab w:val="clear" w:pos="720"/>
                <w:tab w:val="decimal" w:pos="625" w:leader="none"/>
              </w:tabs>
              <w:rPr>
                <w:sz w:val="20"/>
                <w:szCs w:val="20"/>
              </w:rPr>
            </w:pPr>
            <w:r>
              <w:rPr>
                <w:sz w:val="20"/>
                <w:szCs w:val="20"/>
              </w:rPr>
              <w:t>75.4</w:t>
            </w:r>
          </w:p>
        </w:tc>
      </w:tr>
      <w:tr>
        <w:trPr/>
        <w:tc>
          <w:tcPr>
            <w:tcW w:w="1414" w:type="dxa"/>
            <w:tcBorders/>
          </w:tcPr>
          <w:p>
            <w:pPr>
              <w:pStyle w:val="Normal"/>
              <w:keepNext w:val="true"/>
              <w:rPr>
                <w:sz w:val="20"/>
                <w:szCs w:val="20"/>
              </w:rPr>
            </w:pPr>
            <w:r>
              <w:rPr>
                <w:sz w:val="20"/>
                <w:szCs w:val="20"/>
              </w:rPr>
              <w:t xml:space="preserve">Sing. </w:t>
            </w:r>
          </w:p>
        </w:tc>
        <w:tc>
          <w:tcPr>
            <w:tcW w:w="1649" w:type="dxa"/>
            <w:tcBorders/>
          </w:tcPr>
          <w:p>
            <w:pPr>
              <w:pStyle w:val="Normal"/>
              <w:keepNext w:val="true"/>
              <w:rPr>
                <w:sz w:val="20"/>
                <w:szCs w:val="20"/>
              </w:rPr>
            </w:pPr>
            <w:r>
              <w:rPr>
                <w:sz w:val="20"/>
                <w:szCs w:val="20"/>
              </w:rPr>
              <w:t>LSWR</w:t>
            </w:r>
          </w:p>
        </w:tc>
        <w:tc>
          <w:tcPr>
            <w:tcW w:w="1336" w:type="dxa"/>
            <w:tcBorders/>
          </w:tcPr>
          <w:p>
            <w:pPr>
              <w:pStyle w:val="Normal"/>
              <w:keepNext w:val="true"/>
              <w:tabs>
                <w:tab w:val="clear" w:pos="720"/>
                <w:tab w:val="decimal" w:pos="611" w:leader="none"/>
              </w:tabs>
              <w:rPr>
                <w:sz w:val="20"/>
                <w:szCs w:val="20"/>
              </w:rPr>
            </w:pPr>
            <w:r>
              <w:rPr>
                <w:sz w:val="20"/>
                <w:szCs w:val="20"/>
              </w:rPr>
              <w:t>83.8</w:t>
            </w:r>
          </w:p>
        </w:tc>
        <w:tc>
          <w:tcPr>
            <w:tcW w:w="1336" w:type="dxa"/>
            <w:tcBorders/>
          </w:tcPr>
          <w:p>
            <w:pPr>
              <w:pStyle w:val="Normal"/>
              <w:keepNext w:val="true"/>
              <w:tabs>
                <w:tab w:val="clear" w:pos="720"/>
                <w:tab w:val="decimal" w:pos="625" w:leader="none"/>
              </w:tabs>
              <w:rPr>
                <w:sz w:val="20"/>
                <w:szCs w:val="20"/>
              </w:rPr>
            </w:pPr>
            <w:r>
              <w:rPr>
                <w:sz w:val="20"/>
                <w:szCs w:val="20"/>
              </w:rPr>
              <w:t>83.8</w:t>
            </w:r>
          </w:p>
        </w:tc>
        <w:tc>
          <w:tcPr>
            <w:tcW w:w="1336" w:type="dxa"/>
            <w:tcBorders/>
          </w:tcPr>
          <w:p>
            <w:pPr>
              <w:pStyle w:val="Normal"/>
              <w:keepNext w:val="true"/>
              <w:tabs>
                <w:tab w:val="clear" w:pos="720"/>
                <w:tab w:val="decimal" w:pos="625" w:leader="none"/>
              </w:tabs>
              <w:rPr>
                <w:sz w:val="20"/>
                <w:szCs w:val="20"/>
              </w:rPr>
            </w:pPr>
            <w:r>
              <w:rPr>
                <w:sz w:val="20"/>
                <w:szCs w:val="20"/>
              </w:rPr>
              <w:t>86.7</w:t>
            </w:r>
          </w:p>
        </w:tc>
        <w:tc>
          <w:tcPr>
            <w:tcW w:w="1336" w:type="dxa"/>
            <w:tcBorders/>
          </w:tcPr>
          <w:p>
            <w:pPr>
              <w:pStyle w:val="Normal"/>
              <w:keepNext w:val="true"/>
              <w:tabs>
                <w:tab w:val="clear" w:pos="720"/>
                <w:tab w:val="decimal" w:pos="625" w:leader="none"/>
              </w:tabs>
              <w:rPr>
                <w:sz w:val="20"/>
                <w:szCs w:val="20"/>
              </w:rPr>
            </w:pPr>
            <w:r>
              <w:rPr>
                <w:sz w:val="20"/>
                <w:szCs w:val="20"/>
              </w:rPr>
              <w:t>85.3</w:t>
            </w:r>
          </w:p>
        </w:tc>
      </w:tr>
      <w:tr>
        <w:trPr/>
        <w:tc>
          <w:tcPr>
            <w:tcW w:w="1414" w:type="dxa"/>
            <w:tcBorders/>
          </w:tcPr>
          <w:p>
            <w:pPr>
              <w:pStyle w:val="Normal"/>
              <w:keepNext w:val="true"/>
              <w:rPr>
                <w:sz w:val="20"/>
                <w:szCs w:val="20"/>
              </w:rPr>
            </w:pPr>
            <w:r>
              <w:rPr>
                <w:sz w:val="20"/>
                <w:szCs w:val="20"/>
              </w:rPr>
              <w:t>Sing.</w:t>
            </w:r>
          </w:p>
        </w:tc>
        <w:tc>
          <w:tcPr>
            <w:tcW w:w="1649" w:type="dxa"/>
            <w:tcBorders/>
          </w:tcPr>
          <w:p>
            <w:pPr>
              <w:pStyle w:val="Normal"/>
              <w:keepNext w:val="true"/>
              <w:rPr>
                <w:sz w:val="20"/>
                <w:szCs w:val="20"/>
              </w:rPr>
            </w:pPr>
            <w:r>
              <w:rPr>
                <w:sz w:val="20"/>
                <w:szCs w:val="20"/>
              </w:rPr>
              <w:t xml:space="preserve">HSFO  </w:t>
            </w:r>
          </w:p>
        </w:tc>
        <w:tc>
          <w:tcPr>
            <w:tcW w:w="1336" w:type="dxa"/>
            <w:tcBorders/>
          </w:tcPr>
          <w:p>
            <w:pPr>
              <w:pStyle w:val="Normal"/>
              <w:keepNext w:val="true"/>
              <w:tabs>
                <w:tab w:val="clear" w:pos="720"/>
                <w:tab w:val="decimal" w:pos="611" w:leader="none"/>
              </w:tabs>
              <w:rPr>
                <w:sz w:val="20"/>
                <w:szCs w:val="20"/>
              </w:rPr>
            </w:pPr>
            <w:r>
              <w:rPr>
                <w:sz w:val="20"/>
                <w:szCs w:val="20"/>
              </w:rPr>
              <w:t>80.9</w:t>
            </w:r>
          </w:p>
        </w:tc>
        <w:tc>
          <w:tcPr>
            <w:tcW w:w="1336" w:type="dxa"/>
            <w:tcBorders/>
          </w:tcPr>
          <w:p>
            <w:pPr>
              <w:pStyle w:val="Normal"/>
              <w:keepNext w:val="true"/>
              <w:tabs>
                <w:tab w:val="clear" w:pos="720"/>
                <w:tab w:val="decimal" w:pos="625" w:leader="none"/>
              </w:tabs>
              <w:rPr>
                <w:sz w:val="20"/>
                <w:szCs w:val="20"/>
              </w:rPr>
            </w:pPr>
            <w:r>
              <w:rPr>
                <w:sz w:val="20"/>
                <w:szCs w:val="20"/>
              </w:rPr>
              <w:t>82.4</w:t>
            </w:r>
          </w:p>
        </w:tc>
        <w:tc>
          <w:tcPr>
            <w:tcW w:w="1336" w:type="dxa"/>
            <w:tcBorders/>
          </w:tcPr>
          <w:p>
            <w:pPr>
              <w:pStyle w:val="Normal"/>
              <w:keepNext w:val="true"/>
              <w:tabs>
                <w:tab w:val="clear" w:pos="720"/>
                <w:tab w:val="decimal" w:pos="625" w:leader="none"/>
              </w:tabs>
              <w:rPr>
                <w:sz w:val="20"/>
                <w:szCs w:val="20"/>
              </w:rPr>
            </w:pPr>
            <w:r>
              <w:rPr>
                <w:sz w:val="20"/>
                <w:szCs w:val="20"/>
              </w:rPr>
              <w:t>90.1</w:t>
            </w:r>
          </w:p>
        </w:tc>
        <w:tc>
          <w:tcPr>
            <w:tcW w:w="1336" w:type="dxa"/>
            <w:tcBorders/>
          </w:tcPr>
          <w:p>
            <w:pPr>
              <w:pStyle w:val="Normal"/>
              <w:keepNext w:val="true"/>
              <w:tabs>
                <w:tab w:val="clear" w:pos="720"/>
                <w:tab w:val="decimal" w:pos="625" w:leader="none"/>
              </w:tabs>
              <w:rPr>
                <w:sz w:val="20"/>
                <w:szCs w:val="20"/>
              </w:rPr>
            </w:pPr>
            <w:r>
              <w:rPr>
                <w:sz w:val="20"/>
                <w:szCs w:val="20"/>
              </w:rPr>
              <w:t>86.8</w:t>
            </w:r>
          </w:p>
        </w:tc>
      </w:tr>
    </w:tbl>
    <w:p>
      <w:pPr>
        <w:pStyle w:val="Normal"/>
        <w:ind w:firstLine="630" w:end="0"/>
        <w:rPr/>
      </w:pPr>
      <w:r>
        <w:rPr>
          <w:b/>
          <w:bCs/>
          <w:sz w:val="20"/>
          <w:szCs w:val="20"/>
        </w:rPr>
        <w:t xml:space="preserve">*  </w:t>
      </w:r>
      <w:r>
        <w:rPr>
          <w:sz w:val="20"/>
          <w:szCs w:val="20"/>
        </w:rPr>
        <w:t>Determined on a Caribbean netback basis</w:t>
      </w:r>
    </w:p>
    <w:p>
      <w:pPr>
        <w:pStyle w:val="Normal"/>
        <w:rPr>
          <w:sz w:val="20"/>
          <w:szCs w:val="20"/>
        </w:rPr>
      </w:pPr>
      <w:r>
        <w:rPr>
          <w:sz w:val="20"/>
          <w:szCs w:val="20"/>
        </w:rPr>
      </w:r>
    </w:p>
    <w:p>
      <w:pPr>
        <w:pStyle w:val="Normal"/>
        <w:rPr/>
      </w:pPr>
      <w:r>
        <w:rPr/>
        <w:t>Our outlook for the coming months is for fuel oil prices to start to stabilize in absolute terms.  Summer peaks were achieved in August and September.  The markets were very strong on the back of a firm crude oil market.  We believe that most of the fuel oil market strength is behind us although continued crude oil strength would continue to pull up resid prices.  The market may need to consolidate somewhat  in October after the sharp runup in prices seen over the last six months.</w:t>
      </w:r>
    </w:p>
    <w:p>
      <w:pPr>
        <w:pStyle w:val="Normal"/>
        <w:rPr/>
      </w:pPr>
      <w:r>
        <w:rPr/>
      </w:r>
    </w:p>
    <w:p>
      <w:pPr>
        <w:pStyle w:val="Normal"/>
        <w:rPr/>
      </w:pPr>
      <w:r>
        <w:rPr/>
        <w:t>In the Western Hemisphere, we are now past the Summer peak utility demand season.  Speculation now focuses on what the winter may bring.  There is some concern about natural gas deliverability limits in the US should a severe winter be seen there.  This should lend support to resid prices.  However, it is the crude oil market that remains the focal point of attention in the near term with fuel oil more or less expected to follow suit at least until we get further into the cold season.  We still expect that most of the crude oil price move upwards is behind us.  There could be continued strength in the fourth quarter due to Y2K-related purchases of inventory.  However, there is also likely to be some correction in prices, albeit a temporary one, given the long strong move upward that has been seen.</w:t>
      </w:r>
    </w:p>
    <w:p>
      <w:pPr>
        <w:pStyle w:val="Normal"/>
        <w:rPr/>
      </w:pPr>
      <w:r>
        <w:rPr/>
      </w:r>
    </w:p>
    <w:p>
      <w:pPr>
        <w:pStyle w:val="Normal"/>
        <w:rPr/>
      </w:pPr>
      <w:r>
        <w:rPr/>
        <w:t>In Chile, the drought conditions which prevailed this year have pretty much ended as August brought heavy rains.  The large purchases of residual fuel oil and distillate fuel oil for power generating have ended.  There is even some speculation that some of the imported volumes of distillate fuel oil could be re-exported.  In any event, don’t look to Chile for large resid imports for power generation in the near term.</w:t>
      </w:r>
    </w:p>
    <w:p>
      <w:pPr>
        <w:pStyle w:val="Normal"/>
        <w:rPr/>
      </w:pPr>
      <w:r>
        <w:rPr/>
      </w:r>
    </w:p>
    <w:p>
      <w:pPr>
        <w:pStyle w:val="Normal"/>
        <w:rPr/>
      </w:pPr>
      <w:r>
        <w:rPr/>
        <w:t>Meanwhile, Mexico’s need for imported resid cargoes continued thru September which lent support to high sulfur resid prices in the US Gulf Coast.</w:t>
      </w:r>
    </w:p>
    <w:p>
      <w:pPr>
        <w:pStyle w:val="Normal"/>
        <w:rPr/>
      </w:pPr>
      <w:r>
        <w:rPr/>
      </w:r>
    </w:p>
    <w:p>
      <w:pPr>
        <w:pStyle w:val="Normal"/>
        <w:rPr/>
      </w:pPr>
      <w:r>
        <w:rPr/>
        <w:t>In African developments, Nigerian fuel oil contracts were awarded for 1999 liftings (see Current Scene story on Nigerian fuel oil).</w:t>
      </w:r>
    </w:p>
    <w:p>
      <w:pPr>
        <w:pStyle w:val="Normal"/>
        <w:rPr/>
      </w:pPr>
      <w:r>
        <w:rPr/>
      </w:r>
    </w:p>
    <w:p>
      <w:pPr>
        <w:pStyle w:val="Normal"/>
        <w:rPr/>
      </w:pPr>
      <w:r>
        <w:rPr/>
        <w:t>Russia’s fuel oil export ban was extended to the end of September.  Thereafter, in early October, a lot of exports out of Russia are expected, especially out of the Baltic although an export tax of about $12-13 per ton is planned.  September straight run exports were limited.</w:t>
      </w:r>
    </w:p>
    <w:p>
      <w:pPr>
        <w:pStyle w:val="Normal"/>
        <w:rPr/>
      </w:pPr>
      <w:r>
        <w:rPr/>
      </w:r>
    </w:p>
    <w:p>
      <w:pPr>
        <w:pStyle w:val="Normal"/>
        <w:rPr/>
      </w:pPr>
      <w:r>
        <w:rPr/>
        <w:t>Korean heavy resid exports continued.  However, September saw resid demand relatively firm in Asia.  China resumed buying combined with demand requirements from Thailand, Singapore and the Philippines. China has imported fuel oil at an estimated rate of over 270,000 b/d thru August.  However, China’s residual fuel oil imports have declined sharply this summer.</w:t>
      </w:r>
    </w:p>
    <w:p>
      <w:pPr>
        <w:pStyle w:val="Normal"/>
        <w:rPr/>
      </w:pPr>
      <w:r>
        <w:rPr/>
      </w:r>
    </w:p>
    <w:p>
      <w:pPr>
        <w:pStyle w:val="Normal"/>
        <w:rPr/>
      </w:pPr>
      <w:r>
        <w:rPr/>
        <w:t>Middle East exports of high sulfur bunker-type material was limited as Fujairah demand was strong.  Also, some problems with Iran’s refineries was noted.</w:t>
      </w:r>
      <w:r>
        <w:br w:type="page"/>
      </w:r>
    </w:p>
    <w:p>
      <w:pPr>
        <w:pStyle w:val="Heading4"/>
        <w:ind w:hanging="0" w:start="0"/>
        <w:rPr/>
      </w:pPr>
      <w:r>
        <w:rPr/>
        <w:t>Figure II-A:  Spot Crude Oil Prices</w:t>
      </w:r>
    </w:p>
    <w:p>
      <w:pPr>
        <w:pStyle w:val="Normal"/>
        <w:jc w:val="center"/>
        <w:rPr/>
      </w:pPr>
      <w:r>
        <w:rPr/>
        <w:drawing>
          <wp:inline distT="0" distB="0" distL="0" distR="0">
            <wp:extent cx="5931535" cy="42805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1"/>
                    <a:stretch>
                      <a:fillRect/>
                    </a:stretch>
                  </pic:blipFill>
                  <pic:spPr bwMode="auto">
                    <a:xfrm>
                      <a:off x="0" y="0"/>
                      <a:ext cx="5931535" cy="4280535"/>
                    </a:xfrm>
                    <a:prstGeom prst="rect">
                      <a:avLst/>
                    </a:prstGeom>
                    <a:noFill/>
                  </pic:spPr>
                </pic:pic>
              </a:graphicData>
            </a:graphic>
          </wp:inline>
        </w:drawing>
      </w:r>
    </w:p>
    <w:p>
      <w:pPr>
        <w:pStyle w:val="Normal"/>
        <w:jc w:val="center"/>
        <w:rPr/>
      </w:pPr>
      <w:r>
        <w:rPr/>
      </w:r>
    </w:p>
    <w:p>
      <w:pPr>
        <w:pStyle w:val="Normal"/>
        <w:jc w:val="center"/>
        <w:rPr>
          <w:sz w:val="20"/>
          <w:szCs w:val="20"/>
        </w:rPr>
      </w:pPr>
      <w:r>
        <w:rPr>
          <w:sz w:val="20"/>
          <w:szCs w:val="20"/>
        </w:rPr>
        <w:t xml:space="preserve"> </w:t>
      </w:r>
      <w:r>
        <w:rPr>
          <w:sz w:val="20"/>
          <w:szCs w:val="20"/>
        </w:rPr>
        <w:t>(US$/Barrel)</w:t>
      </w:r>
    </w:p>
    <w:p>
      <w:pPr>
        <w:pStyle w:val="Normal"/>
        <w:jc w:val="center"/>
        <w:rPr>
          <w:sz w:val="20"/>
          <w:szCs w:val="20"/>
        </w:rPr>
      </w:pPr>
      <w:r>
        <w:rPr>
          <w:sz w:val="20"/>
          <w:szCs w:val="20"/>
        </w:rPr>
      </w:r>
    </w:p>
    <w:p>
      <w:pPr>
        <w:pStyle w:val="toptableII-A"/>
        <w:rPr/>
      </w:pPr>
      <w:r>
        <w:rPr/>
        <w:tab/>
        <w:t>Dubai</w:t>
        <w:tab/>
        <w:t>Dated</w:t>
        <w:tab/>
        <w:t>Bonny</w:t>
        <w:tab/>
        <w:br/>
      </w:r>
      <w:r>
        <w:rPr>
          <w:u w:val="single"/>
        </w:rPr>
        <w:t>Period</w:t>
      </w:r>
      <w:r>
        <w:rPr/>
        <w:tab/>
      </w:r>
      <w:r>
        <w:rPr>
          <w:u w:val="single"/>
        </w:rPr>
        <w:t>1st Month</w:t>
      </w:r>
      <w:r>
        <w:rPr/>
        <w:tab/>
      </w:r>
      <w:r>
        <w:rPr>
          <w:u w:val="single"/>
        </w:rPr>
        <w:t>Brent</w:t>
      </w:r>
      <w:r>
        <w:rPr/>
        <w:tab/>
      </w:r>
      <w:r>
        <w:rPr>
          <w:u w:val="single"/>
        </w:rPr>
        <w:t>Light</w:t>
      </w:r>
      <w:r>
        <w:rPr/>
        <w:tab/>
      </w:r>
      <w:r>
        <w:rPr>
          <w:u w:val="single"/>
        </w:rPr>
        <w:t>Minas</w:t>
      </w:r>
    </w:p>
    <w:p>
      <w:pPr>
        <w:pStyle w:val="bottableIIa"/>
        <w:rPr/>
      </w:pPr>
      <w:r>
        <w:rPr/>
        <w:t xml:space="preserve">Sep-99 </w:t>
        <w:tab/>
        <w:t xml:space="preserve">21.97 </w:t>
        <w:tab/>
        <w:t xml:space="preserve">22.54 </w:t>
        <w:tab/>
        <w:t xml:space="preserve">22.78 </w:t>
        <w:tab/>
        <w:t xml:space="preserve">21.87 </w:t>
      </w:r>
    </w:p>
    <w:p>
      <w:pPr>
        <w:pStyle w:val="bottableIIa"/>
        <w:rPr/>
      </w:pPr>
      <w:r>
        <w:rPr/>
        <w:t xml:space="preserve">Oct-99 </w:t>
        <w:tab/>
        <w:t xml:space="preserve">23.00 </w:t>
        <w:tab/>
        <w:t xml:space="preserve">24.00 </w:t>
        <w:tab/>
        <w:t xml:space="preserve">24.15 </w:t>
        <w:tab/>
        <w:t xml:space="preserve">23.10 </w:t>
      </w:r>
    </w:p>
    <w:p>
      <w:pPr>
        <w:pStyle w:val="bottableIIa"/>
        <w:rPr/>
      </w:pPr>
      <w:r>
        <w:rPr/>
        <w:t xml:space="preserve">Nov-99 </w:t>
        <w:tab/>
        <w:t xml:space="preserve">24.00 </w:t>
        <w:tab/>
        <w:t xml:space="preserve">25.00 </w:t>
        <w:tab/>
        <w:t xml:space="preserve">25.10 </w:t>
        <w:tab/>
        <w:t xml:space="preserve">24.10 </w:t>
      </w:r>
    </w:p>
    <w:p>
      <w:pPr>
        <w:pStyle w:val="bottableIIa"/>
        <w:rPr/>
      </w:pPr>
      <w:r>
        <w:rPr/>
        <w:t xml:space="preserve">Dec-99 </w:t>
        <w:tab/>
        <w:t xml:space="preserve">24.50 </w:t>
        <w:tab/>
        <w:t xml:space="preserve">25.50 </w:t>
        <w:tab/>
        <w:t xml:space="preserve">25.60 </w:t>
        <w:tab/>
        <w:t xml:space="preserve">24.60 </w:t>
      </w:r>
    </w:p>
    <w:p>
      <w:pPr>
        <w:pStyle w:val="bottableIIa"/>
        <w:rPr/>
      </w:pPr>
      <w:r>
        <w:rPr/>
        <w:t xml:space="preserve">Jan-00 </w:t>
        <w:tab/>
        <w:t xml:space="preserve">23.40 </w:t>
        <w:tab/>
        <w:t xml:space="preserve">24.40 </w:t>
        <w:tab/>
        <w:t xml:space="preserve">24.50 </w:t>
        <w:tab/>
        <w:t xml:space="preserve">23.70 </w:t>
      </w:r>
    </w:p>
    <w:p>
      <w:pPr>
        <w:pStyle w:val="bottableIIa"/>
        <w:rPr/>
      </w:pPr>
      <w:r>
        <w:rPr/>
        <w:t xml:space="preserve">Feb-00 </w:t>
        <w:tab/>
        <w:t xml:space="preserve">22.50 </w:t>
        <w:tab/>
        <w:t xml:space="preserve">23.50 </w:t>
        <w:tab/>
        <w:t xml:space="preserve">23.60 </w:t>
        <w:tab/>
        <w:t xml:space="preserve">23.00 </w:t>
      </w:r>
    </w:p>
    <w:p>
      <w:pPr>
        <w:pStyle w:val="bottableIIa"/>
        <w:rPr/>
      </w:pPr>
      <w:r>
        <w:rPr/>
        <w:t xml:space="preserve">Mar-00 </w:t>
        <w:tab/>
        <w:t xml:space="preserve">22.00 </w:t>
        <w:tab/>
        <w:t xml:space="preserve">23.00 </w:t>
        <w:tab/>
        <w:t xml:space="preserve">23.10 </w:t>
        <w:tab/>
        <w:t xml:space="preserve">22.50 </w:t>
      </w:r>
    </w:p>
    <w:p>
      <w:pPr>
        <w:pStyle w:val="bottableIIa"/>
        <w:rPr/>
      </w:pPr>
      <w:r>
        <w:rPr/>
        <w:t xml:space="preserve">Apr-00 </w:t>
        <w:tab/>
        <w:t xml:space="preserve">21.50 </w:t>
        <w:tab/>
        <w:t xml:space="preserve">22.50 </w:t>
        <w:tab/>
        <w:t xml:space="preserve">22.60 </w:t>
        <w:tab/>
        <w:t xml:space="preserve">21.80 </w:t>
      </w:r>
    </w:p>
    <w:p>
      <w:pPr>
        <w:pStyle w:val="bottableIIa"/>
        <w:rPr/>
      </w:pPr>
      <w:r>
        <w:rPr/>
        <w:t xml:space="preserve">May-00 </w:t>
        <w:tab/>
        <w:t xml:space="preserve">21.00 </w:t>
        <w:tab/>
        <w:t xml:space="preserve">22.00 </w:t>
        <w:tab/>
        <w:t xml:space="preserve">22.10 </w:t>
        <w:tab/>
        <w:t xml:space="preserve">21.10 </w:t>
      </w:r>
    </w:p>
    <w:p>
      <w:pPr>
        <w:pStyle w:val="bottableIIa"/>
        <w:rPr/>
      </w:pPr>
      <w:r>
        <w:rPr/>
        <w:t xml:space="preserve">Jun-00 </w:t>
        <w:tab/>
        <w:t xml:space="preserve">21.00 </w:t>
        <w:tab/>
        <w:t xml:space="preserve">22.00 </w:t>
        <w:tab/>
        <w:t xml:space="preserve">22.10 </w:t>
        <w:tab/>
        <w:t xml:space="preserve">21.10 </w:t>
      </w:r>
    </w:p>
    <w:p>
      <w:pPr>
        <w:pStyle w:val="bottableIIa"/>
        <w:rPr/>
      </w:pPr>
      <w:r>
        <w:rPr/>
        <w:t xml:space="preserve">Jul-00 </w:t>
        <w:tab/>
        <w:t xml:space="preserve">21.50 </w:t>
        <w:tab/>
        <w:t xml:space="preserve">22.50 </w:t>
        <w:tab/>
        <w:t xml:space="preserve">22.60 </w:t>
        <w:tab/>
        <w:t xml:space="preserve">21.80 </w:t>
      </w:r>
    </w:p>
    <w:p>
      <w:pPr>
        <w:pStyle w:val="bottableIIa"/>
        <w:rPr/>
      </w:pPr>
      <w:r>
        <w:rPr/>
        <w:t xml:space="preserve">Aug-00 </w:t>
        <w:tab/>
        <w:t xml:space="preserve">22.00 </w:t>
        <w:tab/>
        <w:t xml:space="preserve">23.00 </w:t>
        <w:tab/>
        <w:t xml:space="preserve">23.10 </w:t>
        <w:tab/>
        <w:t>22.50</w:t>
      </w:r>
      <w:r>
        <w:br w:type="page"/>
      </w:r>
    </w:p>
    <w:p>
      <w:pPr>
        <w:pStyle w:val="Heading4"/>
        <w:ind w:hanging="0" w:start="0"/>
        <w:rPr/>
      </w:pPr>
      <w:r>
        <w:rPr/>
        <w:t>Figure II-B:  Spot New York Harbor Resid Prices</w:t>
      </w:r>
    </w:p>
    <w:p>
      <w:pPr>
        <w:pStyle w:val="Normal"/>
        <w:jc w:val="center"/>
        <w:rPr/>
      </w:pPr>
      <w:r>
        <w:rPr/>
        <w:drawing>
          <wp:inline distT="0" distB="0" distL="0" distR="0">
            <wp:extent cx="5931535" cy="428053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2"/>
                    <a:stretch>
                      <a:fillRect/>
                    </a:stretch>
                  </pic:blipFill>
                  <pic:spPr bwMode="auto">
                    <a:xfrm>
                      <a:off x="0" y="0"/>
                      <a:ext cx="5931535" cy="4280535"/>
                    </a:xfrm>
                    <a:prstGeom prst="rect">
                      <a:avLst/>
                    </a:prstGeom>
                    <a:noFill/>
                  </pic:spPr>
                </pic:pic>
              </a:graphicData>
            </a:graphic>
          </wp:inline>
        </w:drawing>
      </w:r>
    </w:p>
    <w:p>
      <w:pPr>
        <w:pStyle w:val="Normal"/>
        <w:jc w:val="center"/>
        <w:rPr>
          <w:sz w:val="20"/>
          <w:szCs w:val="20"/>
        </w:rPr>
      </w:pPr>
      <w:r>
        <w:rPr>
          <w:sz w:val="20"/>
          <w:szCs w:val="20"/>
        </w:rPr>
      </w:r>
    </w:p>
    <w:p>
      <w:pPr>
        <w:pStyle w:val="Normal"/>
        <w:jc w:val="center"/>
        <w:rPr>
          <w:sz w:val="20"/>
          <w:szCs w:val="20"/>
        </w:rPr>
      </w:pPr>
      <w:r>
        <w:rPr>
          <w:sz w:val="20"/>
          <w:szCs w:val="20"/>
        </w:rPr>
        <w:t xml:space="preserve"> </w:t>
      </w:r>
      <w:r>
        <w:rPr>
          <w:sz w:val="20"/>
          <w:szCs w:val="20"/>
        </w:rPr>
        <w:t>(US$/Barrel)</w:t>
      </w:r>
    </w:p>
    <w:p>
      <w:pPr>
        <w:pStyle w:val="Normal"/>
        <w:tabs>
          <w:tab w:val="clear" w:pos="720"/>
          <w:tab w:val="center" w:pos="2496" w:leader="none"/>
          <w:tab w:val="center" w:pos="4416" w:leader="none"/>
          <w:tab w:val="center" w:pos="6336" w:leader="none"/>
          <w:tab w:val="center" w:pos="8256" w:leader="none"/>
        </w:tabs>
        <w:spacing w:lineRule="exact" w:line="240"/>
        <w:jc w:val="center"/>
        <w:rPr/>
      </w:pPr>
      <w:r>
        <w:rPr/>
      </w:r>
    </w:p>
    <w:p>
      <w:pPr>
        <w:pStyle w:val="toptableII-B"/>
        <w:rPr/>
      </w:pPr>
      <w:r>
        <w:rPr>
          <w:u w:val="single"/>
        </w:rPr>
        <w:t>Period</w:t>
      </w:r>
      <w:r>
        <w:rPr/>
        <w:tab/>
      </w:r>
      <w:r>
        <w:rPr>
          <w:u w:val="single"/>
        </w:rPr>
        <w:t>0.3%S (HP)</w:t>
      </w:r>
      <w:r>
        <w:rPr/>
        <w:tab/>
      </w:r>
      <w:r>
        <w:rPr>
          <w:u w:val="single"/>
        </w:rPr>
        <w:t xml:space="preserve">No. 6 1%S </w:t>
      </w:r>
      <w:r>
        <w:rPr/>
        <w:tab/>
      </w:r>
      <w:r>
        <w:rPr>
          <w:u w:val="single"/>
        </w:rPr>
        <w:t>No. 6 3.0%S</w:t>
      </w:r>
    </w:p>
    <w:p>
      <w:pPr>
        <w:pStyle w:val="bottomtable2B"/>
        <w:rPr/>
      </w:pPr>
      <w:r>
        <w:rPr/>
        <w:t xml:space="preserve">Sep-99 </w:t>
        <w:tab/>
        <w:t xml:space="preserve">21.53 </w:t>
        <w:tab/>
        <w:t xml:space="preserve">19.46 </w:t>
        <w:tab/>
        <w:t xml:space="preserve">18.71 </w:t>
      </w:r>
    </w:p>
    <w:p>
      <w:pPr>
        <w:pStyle w:val="bottomtable2B"/>
        <w:rPr/>
      </w:pPr>
      <w:r>
        <w:rPr/>
        <w:t xml:space="preserve">Oct-99 </w:t>
        <w:tab/>
        <w:t xml:space="preserve">22.05 </w:t>
        <w:tab/>
        <w:t xml:space="preserve">20.35 </w:t>
        <w:tab/>
        <w:t xml:space="preserve">18.50 </w:t>
      </w:r>
    </w:p>
    <w:p>
      <w:pPr>
        <w:pStyle w:val="bottomtable2B"/>
        <w:rPr/>
      </w:pPr>
      <w:r>
        <w:rPr/>
        <w:t xml:space="preserve">Nov-99 </w:t>
        <w:tab/>
        <w:t xml:space="preserve">22.68 </w:t>
        <w:tab/>
        <w:t xml:space="preserve">21.23 </w:t>
        <w:tab/>
        <w:t xml:space="preserve">18.98 </w:t>
      </w:r>
    </w:p>
    <w:p>
      <w:pPr>
        <w:pStyle w:val="bottomtable2B"/>
        <w:rPr/>
      </w:pPr>
      <w:r>
        <w:rPr/>
        <w:t xml:space="preserve">Dec-99 </w:t>
        <w:tab/>
        <w:t xml:space="preserve">22.60 </w:t>
        <w:tab/>
        <w:t xml:space="preserve">21.25 </w:t>
        <w:tab/>
        <w:t xml:space="preserve">18.94 </w:t>
      </w:r>
    </w:p>
    <w:p>
      <w:pPr>
        <w:pStyle w:val="bottomtable2B"/>
        <w:rPr/>
      </w:pPr>
      <w:r>
        <w:rPr/>
        <w:t xml:space="preserve">Jan-00 </w:t>
        <w:tab/>
        <w:t xml:space="preserve">22.11 </w:t>
        <w:tab/>
        <w:t xml:space="preserve">20.86 </w:t>
        <w:tab/>
        <w:t xml:space="preserve">18.12 </w:t>
      </w:r>
    </w:p>
    <w:p>
      <w:pPr>
        <w:pStyle w:val="bottomtable2B"/>
        <w:rPr/>
      </w:pPr>
      <w:r>
        <w:rPr/>
        <w:t xml:space="preserve">Feb-00 </w:t>
        <w:tab/>
        <w:t xml:space="preserve">21.56 </w:t>
        <w:tab/>
        <w:t xml:space="preserve">20.36 </w:t>
        <w:tab/>
        <w:t xml:space="preserve">17.42 </w:t>
      </w:r>
    </w:p>
    <w:p>
      <w:pPr>
        <w:pStyle w:val="bottomtable2B"/>
        <w:rPr/>
      </w:pPr>
      <w:r>
        <w:rPr/>
        <w:t xml:space="preserve">Mar-00 </w:t>
        <w:tab/>
        <w:t xml:space="preserve">21.37 </w:t>
        <w:tab/>
        <w:t xml:space="preserve">20.12 </w:t>
        <w:tab/>
        <w:t xml:space="preserve">17.20 </w:t>
      </w:r>
    </w:p>
    <w:p>
      <w:pPr>
        <w:pStyle w:val="bottomtable2B"/>
        <w:rPr/>
      </w:pPr>
      <w:r>
        <w:rPr/>
        <w:t xml:space="preserve">Apr-00 </w:t>
        <w:tab/>
        <w:t xml:space="preserve">21.14 </w:t>
        <w:tab/>
        <w:t xml:space="preserve">19.84 </w:t>
        <w:tab/>
        <w:t xml:space="preserve">16.90 </w:t>
      </w:r>
    </w:p>
    <w:p>
      <w:pPr>
        <w:pStyle w:val="bottomtable2B"/>
        <w:rPr/>
      </w:pPr>
      <w:r>
        <w:rPr/>
        <w:t xml:space="preserve">May-00 </w:t>
        <w:tab/>
        <w:t xml:space="preserve">20.69 </w:t>
        <w:tab/>
        <w:t xml:space="preserve">19.34 </w:t>
        <w:tab/>
        <w:t xml:space="preserve">16.32 </w:t>
      </w:r>
    </w:p>
    <w:p>
      <w:pPr>
        <w:pStyle w:val="bottomtable2B"/>
        <w:rPr/>
      </w:pPr>
      <w:r>
        <w:rPr/>
        <w:t xml:space="preserve">Jun-00 </w:t>
        <w:tab/>
        <w:t xml:space="preserve">20.34 </w:t>
        <w:tab/>
        <w:t xml:space="preserve">18.94 </w:t>
        <w:tab/>
        <w:t xml:space="preserve">16.30 </w:t>
      </w:r>
    </w:p>
    <w:p>
      <w:pPr>
        <w:pStyle w:val="bottomtable2B"/>
        <w:rPr/>
      </w:pPr>
      <w:r>
        <w:rPr/>
        <w:t xml:space="preserve">Jul-00 </w:t>
        <w:tab/>
        <w:t xml:space="preserve">20.87 </w:t>
        <w:tab/>
        <w:t xml:space="preserve">19.42 </w:t>
        <w:tab/>
        <w:t xml:space="preserve">16.61 </w:t>
      </w:r>
    </w:p>
    <w:p>
      <w:pPr>
        <w:pStyle w:val="bottomtable2B"/>
        <w:rPr/>
      </w:pPr>
      <w:r>
        <w:rPr/>
        <w:t xml:space="preserve">Aug-00 </w:t>
        <w:tab/>
        <w:t xml:space="preserve">20.50 </w:t>
        <w:tab/>
        <w:t xml:space="preserve">19.00 </w:t>
        <w:tab/>
        <w:t>16.03</w:t>
      </w:r>
    </w:p>
    <w:p>
      <w:pPr>
        <w:pStyle w:val="bottomtable2B"/>
        <w:rPr/>
      </w:pPr>
      <w:r>
        <w:rPr/>
      </w:r>
    </w:p>
    <w:p>
      <w:pPr>
        <w:pStyle w:val="Normal"/>
        <w:spacing w:lineRule="exact" w:line="200"/>
        <w:ind w:firstLine="900" w:end="0"/>
        <w:rPr>
          <w:sz w:val="20"/>
          <w:szCs w:val="20"/>
        </w:rPr>
      </w:pPr>
      <w:r>
        <w:rPr>
          <w:sz w:val="20"/>
          <w:szCs w:val="20"/>
        </w:rPr>
        <w:t>Note:  The above cargo prices include import duty and oil spill tax.</w:t>
      </w:r>
    </w:p>
    <w:p>
      <w:pPr>
        <w:pStyle w:val="Normal"/>
        <w:tabs>
          <w:tab w:val="clear" w:pos="720"/>
          <w:tab w:val="center" w:pos="2496" w:leader="none"/>
          <w:tab w:val="center" w:pos="4416" w:leader="none"/>
          <w:tab w:val="center" w:pos="6336" w:leader="none"/>
          <w:tab w:val="center" w:pos="8256" w:leader="none"/>
        </w:tabs>
        <w:spacing w:lineRule="exact" w:line="240"/>
        <w:ind w:start="1440" w:end="0"/>
        <w:jc w:val="center"/>
        <w:rPr>
          <w:sz w:val="20"/>
          <w:szCs w:val="20"/>
        </w:rPr>
      </w:pPr>
      <w:r>
        <w:rPr>
          <w:sz w:val="20"/>
          <w:szCs w:val="20"/>
        </w:rPr>
      </w:r>
      <w:r>
        <w:br w:type="page"/>
      </w:r>
    </w:p>
    <w:p>
      <w:pPr>
        <w:pStyle w:val="Heading4"/>
        <w:ind w:hanging="0" w:start="0"/>
        <w:rPr/>
      </w:pPr>
      <w:r>
        <w:rPr/>
        <w:t>Figure II-C:  Spot Caribbean Resid Values and Crude Oil Prices</w:t>
      </w:r>
    </w:p>
    <w:p>
      <w:pPr>
        <w:pStyle w:val="Normal"/>
        <w:jc w:val="center"/>
        <w:rPr/>
      </w:pPr>
      <w:r>
        <w:rPr/>
        <w:drawing>
          <wp:inline distT="0" distB="0" distL="0" distR="0">
            <wp:extent cx="5931535" cy="428053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13"/>
                    <a:stretch>
                      <a:fillRect/>
                    </a:stretch>
                  </pic:blipFill>
                  <pic:spPr bwMode="auto">
                    <a:xfrm>
                      <a:off x="0" y="0"/>
                      <a:ext cx="5931535" cy="4280535"/>
                    </a:xfrm>
                    <a:prstGeom prst="rect">
                      <a:avLst/>
                    </a:prstGeom>
                    <a:noFill/>
                  </pic:spPr>
                </pic:pic>
              </a:graphicData>
            </a:graphic>
          </wp:inline>
        </w:drawing>
      </w:r>
    </w:p>
    <w:p>
      <w:pPr>
        <w:pStyle w:val="Normal"/>
        <w:jc w:val="center"/>
        <w:rPr/>
      </w:pPr>
      <w:r>
        <w:rPr/>
      </w:r>
    </w:p>
    <w:p>
      <w:pPr>
        <w:pStyle w:val="bottomlinetoptableII-C"/>
        <w:tabs>
          <w:tab w:val="clear" w:pos="2520"/>
          <w:tab w:val="clear" w:pos="3744"/>
          <w:tab w:val="clear" w:pos="4464"/>
          <w:tab w:val="clear" w:pos="5184"/>
          <w:tab w:val="clear" w:pos="5904"/>
          <w:tab w:val="clear" w:pos="6552"/>
          <w:tab w:val="clear" w:pos="7872"/>
          <w:tab w:val="left" w:pos="1080" w:leader="none"/>
          <w:tab w:val="center" w:pos="3600" w:leader="none"/>
          <w:tab w:val="right" w:pos="5940" w:leader="none"/>
          <w:tab w:val="left" w:pos="6570" w:leader="none"/>
          <w:tab w:val="center" w:pos="7920" w:leader="none"/>
          <w:tab w:val="right" w:pos="9216" w:leader="none"/>
        </w:tabs>
        <w:rPr/>
      </w:pPr>
      <w:r>
        <w:rPr/>
        <w:tab/>
      </w:r>
      <w:r>
        <w:rPr>
          <w:u w:val="single"/>
        </w:rPr>
        <w:tab/>
        <w:t>Prices in US$/Barrel</w:t>
        <w:tab/>
      </w:r>
      <w:r>
        <w:rPr/>
        <w:tab/>
      </w:r>
      <w:r>
        <w:rPr>
          <w:u w:val="single"/>
        </w:rPr>
        <w:tab/>
        <w:t>Price Ratios  in Percentages</w:t>
        <w:tab/>
      </w:r>
    </w:p>
    <w:p>
      <w:pPr>
        <w:pStyle w:val="middlelinetoptabII-C"/>
        <w:spacing w:lineRule="exact" w:line="200"/>
        <w:rPr/>
      </w:pPr>
      <w:r>
        <w:rPr/>
        <w:tab/>
        <w:t>New York Harbor</w:t>
        <w:tab/>
        <w:t>Spot Crude Oil</w:t>
        <w:tab/>
        <w:br/>
        <w:tab/>
        <w:t>Fuel Oil Netback</w:t>
        <w:tab/>
        <w:t>Delivered to</w:t>
        <w:tab/>
        <w:t>Fuel Oil Netbacks</w:t>
      </w:r>
    </w:p>
    <w:p>
      <w:pPr>
        <w:pStyle w:val="bottomlinetoptableII-C"/>
        <w:tabs>
          <w:tab w:val="clear" w:pos="3744"/>
          <w:tab w:val="left" w:pos="1080" w:leader="none"/>
          <w:tab w:val="center" w:pos="2520" w:leader="none"/>
          <w:tab w:val="right" w:pos="3870" w:leader="none"/>
          <w:tab w:val="left" w:pos="4464" w:leader="none"/>
          <w:tab w:val="center" w:pos="5184" w:leader="none"/>
          <w:tab w:val="right" w:pos="5904" w:leader="none"/>
          <w:tab w:val="left" w:pos="6552" w:leader="none"/>
          <w:tab w:val="center" w:pos="7872" w:leader="none"/>
          <w:tab w:val="right" w:pos="9216" w:leader="none"/>
        </w:tabs>
        <w:rPr/>
      </w:pPr>
      <w:r>
        <w:rPr/>
        <w:tab/>
      </w:r>
      <w:r>
        <w:rPr>
          <w:u w:val="single"/>
        </w:rPr>
        <w:tab/>
        <w:t>to Curacao</w:t>
        <w:tab/>
      </w:r>
      <w:r>
        <w:rPr/>
        <w:tab/>
      </w:r>
      <w:r>
        <w:rPr>
          <w:u w:val="single"/>
        </w:rPr>
        <w:tab/>
        <w:t>Curacao</w:t>
        <w:tab/>
      </w:r>
      <w:r>
        <w:rPr/>
        <w:tab/>
      </w:r>
      <w:r>
        <w:rPr>
          <w:u w:val="single"/>
        </w:rPr>
        <w:tab/>
        <w:t>to Delivered Crude</w:t>
        <w:tab/>
      </w:r>
    </w:p>
    <w:p>
      <w:pPr>
        <w:pStyle w:val="Normal"/>
        <w:tabs>
          <w:tab w:val="clear" w:pos="720"/>
          <w:tab w:val="center" w:pos="1920" w:leader="none"/>
        </w:tabs>
        <w:rPr/>
      </w:pPr>
      <w:r>
        <w:rPr/>
      </w:r>
    </w:p>
    <w:p>
      <w:pPr>
        <w:pStyle w:val="colheadingtableII-C"/>
        <w:tabs>
          <w:tab w:val="clear" w:pos="1440"/>
          <w:tab w:val="center" w:pos="1530" w:leader="none"/>
          <w:tab w:val="center" w:pos="2592" w:leader="none"/>
          <w:tab w:val="center" w:pos="3648" w:leader="none"/>
          <w:tab w:val="center" w:pos="4704" w:leader="none"/>
          <w:tab w:val="center" w:pos="5760" w:leader="none"/>
          <w:tab w:val="center" w:pos="6816" w:leader="none"/>
          <w:tab w:val="center" w:pos="7968" w:leader="none"/>
          <w:tab w:val="center" w:pos="9024" w:leader="none"/>
        </w:tabs>
        <w:rPr/>
      </w:pPr>
      <w:r>
        <w:rPr/>
        <w:tab/>
        <w:tab/>
        <w:tab/>
        <w:tab/>
        <w:tab/>
        <w:tab/>
        <w:t>0.3%S</w:t>
        <w:tab/>
        <w:t>1%S</w:t>
        <w:tab/>
        <w:t>3%S</w:t>
        <w:br/>
        <w:tab/>
        <w:t>No. 6</w:t>
        <w:tab/>
        <w:t>No. 6</w:t>
        <w:tab/>
        <w:t>No. 6</w:t>
        <w:tab/>
        <w:t>Bonny</w:t>
        <w:tab/>
        <w:tab/>
        <w:t>to</w:t>
        <w:tab/>
        <w:t>to</w:t>
        <w:tab/>
        <w:t>to</w:t>
        <w:br/>
      </w:r>
      <w:r>
        <w:rPr>
          <w:u w:val="single"/>
        </w:rPr>
        <w:t>Period</w:t>
      </w:r>
      <w:r>
        <w:rPr/>
        <w:tab/>
      </w:r>
      <w:r>
        <w:rPr>
          <w:u w:val="single"/>
        </w:rPr>
        <w:t>0.3%S HP</w:t>
        <w:tab/>
        <w:t>1%S</w:t>
        <w:tab/>
        <w:t>3%S</w:t>
      </w:r>
      <w:r>
        <w:rPr/>
        <w:tab/>
      </w:r>
      <w:r>
        <w:rPr>
          <w:u w:val="single"/>
        </w:rPr>
        <w:t>Light</w:t>
        <w:tab/>
        <w:t>Dubai</w:t>
      </w:r>
      <w:r>
        <w:rPr/>
        <w:tab/>
      </w:r>
      <w:r>
        <w:rPr>
          <w:u w:val="single"/>
        </w:rPr>
        <w:t>Bonny</w:t>
        <w:tab/>
        <w:t>Bonny</w:t>
        <w:tab/>
        <w:t>Dubai</w:t>
      </w:r>
    </w:p>
    <w:p>
      <w:pPr>
        <w:pStyle w:val="bodytableII-C"/>
        <w:rPr/>
      </w:pPr>
      <w:r>
        <w:rPr/>
        <w:t xml:space="preserve">Sep-99 </w:t>
        <w:tab/>
        <w:t xml:space="preserve">20.77 </w:t>
        <w:tab/>
        <w:t xml:space="preserve">18.66 </w:t>
        <w:tab/>
        <w:t xml:space="preserve">17.92 </w:t>
        <w:tab/>
        <w:t xml:space="preserve">23.51 </w:t>
        <w:tab/>
        <w:t xml:space="preserve">22.89 </w:t>
        <w:tab/>
        <w:t>88.3%</w:t>
        <w:tab/>
        <w:t>79.4%</w:t>
        <w:tab/>
        <w:t>78.3%</w:t>
      </w:r>
    </w:p>
    <w:p>
      <w:pPr>
        <w:pStyle w:val="bodytableII-C"/>
        <w:rPr/>
      </w:pPr>
      <w:r>
        <w:rPr/>
        <w:t xml:space="preserve">Oct-99 </w:t>
        <w:tab/>
        <w:t xml:space="preserve">21.03 </w:t>
        <w:tab/>
        <w:t xml:space="preserve">19.28 </w:t>
        <w:tab/>
        <w:t xml:space="preserve">17.43 </w:t>
        <w:tab/>
        <w:t xml:space="preserve">24.87 </w:t>
        <w:tab/>
        <w:t xml:space="preserve">23.92 </w:t>
        <w:tab/>
        <w:t>84.6%</w:t>
        <w:tab/>
        <w:t>77.5%</w:t>
        <w:tab/>
        <w:t>72.9%</w:t>
      </w:r>
    </w:p>
    <w:p>
      <w:pPr>
        <w:pStyle w:val="bodytableII-C"/>
        <w:rPr/>
      </w:pPr>
      <w:r>
        <w:rPr/>
        <w:t xml:space="preserve">Nov-99 </w:t>
        <w:tab/>
        <w:t xml:space="preserve">21.68 </w:t>
        <w:tab/>
        <w:t xml:space="preserve">20.18 </w:t>
        <w:tab/>
        <w:t xml:space="preserve">17.93 </w:t>
        <w:tab/>
        <w:t xml:space="preserve">25.84 </w:t>
        <w:tab/>
        <w:t xml:space="preserve">24.94 </w:t>
        <w:tab/>
        <w:t>83.9%</w:t>
        <w:tab/>
        <w:t>78.1%</w:t>
        <w:tab/>
        <w:t>71.9%</w:t>
      </w:r>
    </w:p>
    <w:p>
      <w:pPr>
        <w:pStyle w:val="bodytableII-C"/>
        <w:rPr/>
      </w:pPr>
      <w:r>
        <w:rPr/>
        <w:t xml:space="preserve">Dec-99 </w:t>
        <w:tab/>
        <w:t xml:space="preserve">21.62 </w:t>
        <w:tab/>
        <w:t xml:space="preserve">20.22 </w:t>
        <w:tab/>
        <w:t xml:space="preserve">17.91 </w:t>
        <w:tab/>
        <w:t xml:space="preserve">26.36 </w:t>
        <w:tab/>
        <w:t xml:space="preserve">25.44 </w:t>
        <w:tab/>
        <w:t>82.0%</w:t>
        <w:tab/>
        <w:t>76.7%</w:t>
        <w:tab/>
        <w:t>70.4%</w:t>
      </w:r>
    </w:p>
    <w:p>
      <w:pPr>
        <w:pStyle w:val="bodytableII-C"/>
        <w:rPr/>
      </w:pPr>
      <w:r>
        <w:rPr/>
        <w:t xml:space="preserve">Jan-00 </w:t>
        <w:tab/>
        <w:t xml:space="preserve">21.13 </w:t>
        <w:tab/>
        <w:t xml:space="preserve">19.83 </w:t>
        <w:tab/>
        <w:t xml:space="preserve">17.09 </w:t>
        <w:tab/>
        <w:t xml:space="preserve">25.28 </w:t>
        <w:tab/>
        <w:t xml:space="preserve">24.34 </w:t>
        <w:tab/>
        <w:t>83.6%</w:t>
        <w:tab/>
        <w:t>78.4%</w:t>
        <w:tab/>
        <w:t>70.2%</w:t>
      </w:r>
    </w:p>
    <w:p>
      <w:pPr>
        <w:pStyle w:val="bodytableII-C"/>
        <w:rPr/>
      </w:pPr>
      <w:r>
        <w:rPr/>
        <w:t xml:space="preserve">Feb-00 </w:t>
        <w:tab/>
        <w:t xml:space="preserve">20.56 </w:t>
        <w:tab/>
        <w:t xml:space="preserve">19.31 </w:t>
        <w:tab/>
        <w:t xml:space="preserve">16.37 </w:t>
        <w:tab/>
        <w:t xml:space="preserve">24.40 </w:t>
        <w:tab/>
        <w:t xml:space="preserve">23.44 </w:t>
        <w:tab/>
        <w:t>84.3%</w:t>
        <w:tab/>
        <w:t>79.1%</w:t>
        <w:tab/>
        <w:t>69.8%</w:t>
      </w:r>
    </w:p>
    <w:p>
      <w:pPr>
        <w:pStyle w:val="bodytableII-C"/>
        <w:rPr/>
      </w:pPr>
      <w:r>
        <w:rPr/>
        <w:t xml:space="preserve">Mar-00 </w:t>
        <w:tab/>
        <w:t xml:space="preserve">20.37 </w:t>
        <w:tab/>
        <w:t xml:space="preserve">19.07 </w:t>
        <w:tab/>
        <w:t xml:space="preserve">16.15 </w:t>
        <w:tab/>
        <w:t xml:space="preserve">23.90 </w:t>
        <w:tab/>
        <w:t xml:space="preserve">22.94 </w:t>
        <w:tab/>
        <w:t>85.2%</w:t>
        <w:tab/>
        <w:t>79.8%</w:t>
        <w:tab/>
        <w:t>70.4%</w:t>
      </w:r>
    </w:p>
    <w:p>
      <w:pPr>
        <w:pStyle w:val="bodytableII-C"/>
        <w:rPr/>
      </w:pPr>
      <w:r>
        <w:rPr/>
        <w:t xml:space="preserve">Apr-00 </w:t>
        <w:tab/>
        <w:t xml:space="preserve">20.14 </w:t>
        <w:tab/>
        <w:t xml:space="preserve">18.79 </w:t>
        <w:tab/>
        <w:t xml:space="preserve">15.85 </w:t>
        <w:tab/>
        <w:t xml:space="preserve">23.40 </w:t>
        <w:tab/>
        <w:t xml:space="preserve">22.42 </w:t>
        <w:tab/>
        <w:t>86.1%</w:t>
        <w:tab/>
        <w:t>80.3%</w:t>
        <w:tab/>
        <w:t>70.7%</w:t>
      </w:r>
    </w:p>
    <w:p>
      <w:pPr>
        <w:pStyle w:val="bodytableII-C"/>
        <w:rPr/>
      </w:pPr>
      <w:r>
        <w:rPr/>
        <w:t xml:space="preserve">May-00 </w:t>
        <w:tab/>
        <w:t xml:space="preserve">19.69 </w:t>
        <w:tab/>
        <w:t xml:space="preserve">18.29 </w:t>
        <w:tab/>
        <w:t xml:space="preserve">15.27 </w:t>
        <w:tab/>
        <w:t xml:space="preserve">22.90 </w:t>
        <w:tab/>
        <w:t xml:space="preserve">21.90 </w:t>
        <w:tab/>
        <w:t>86.0%</w:t>
        <w:tab/>
        <w:t>79.9%</w:t>
        <w:tab/>
        <w:t>69.7%</w:t>
      </w:r>
    </w:p>
    <w:p>
      <w:pPr>
        <w:pStyle w:val="bodytableII-C"/>
        <w:rPr/>
      </w:pPr>
      <w:r>
        <w:rPr/>
        <w:t xml:space="preserve">Jun-00 </w:t>
        <w:tab/>
        <w:t xml:space="preserve">19.36 </w:t>
        <w:tab/>
        <w:t xml:space="preserve">17.91 </w:t>
        <w:tab/>
        <w:t xml:space="preserve">15.27 </w:t>
        <w:tab/>
        <w:t xml:space="preserve">22.90 </w:t>
        <w:tab/>
        <w:t xml:space="preserve">21.90 </w:t>
        <w:tab/>
        <w:t>84.5%</w:t>
        <w:tab/>
        <w:t>78.2%</w:t>
        <w:tab/>
        <w:t>69.7%</w:t>
      </w:r>
    </w:p>
    <w:p>
      <w:pPr>
        <w:pStyle w:val="bodytableII-C"/>
        <w:rPr/>
      </w:pPr>
      <w:r>
        <w:rPr/>
        <w:t xml:space="preserve">Jul-00 </w:t>
        <w:tab/>
        <w:t xml:space="preserve">19.91 </w:t>
        <w:tab/>
        <w:t xml:space="preserve">18.41 </w:t>
        <w:tab/>
        <w:t xml:space="preserve">15.60 </w:t>
        <w:tab/>
        <w:t xml:space="preserve">23.40 </w:t>
        <w:tab/>
        <w:t xml:space="preserve">22.40 </w:t>
        <w:tab/>
        <w:t>85.1%</w:t>
        <w:tab/>
        <w:t>78.7%</w:t>
        <w:tab/>
        <w:t>69.6%</w:t>
      </w:r>
    </w:p>
    <w:p>
      <w:pPr>
        <w:pStyle w:val="bodytableII-C"/>
        <w:rPr/>
      </w:pPr>
      <w:r>
        <w:rPr/>
        <w:t xml:space="preserve">Aug-00 </w:t>
        <w:tab/>
        <w:t xml:space="preserve">20.40 </w:t>
        <w:tab/>
        <w:t xml:space="preserve">18.85 </w:t>
        <w:tab/>
        <w:t xml:space="preserve">15.88 </w:t>
        <w:tab/>
        <w:t xml:space="preserve">23.90 </w:t>
        <w:tab/>
        <w:t xml:space="preserve">22.90 </w:t>
        <w:tab/>
        <w:t>85.4%</w:t>
        <w:tab/>
        <w:t>78.9%</w:t>
        <w:tab/>
        <w:t>69.3%</w:t>
      </w:r>
    </w:p>
    <w:p>
      <w:pPr>
        <w:pStyle w:val="bodytableII-C"/>
        <w:rPr/>
      </w:pPr>
      <w:r>
        <w:rPr/>
      </w:r>
    </w:p>
    <w:p>
      <w:pPr>
        <w:pStyle w:val="Normal"/>
        <w:tabs>
          <w:tab w:val="clear" w:pos="720"/>
          <w:tab w:val="left" w:pos="216" w:leader="none"/>
          <w:tab w:val="left" w:pos="576" w:leader="none"/>
          <w:tab w:val="left" w:pos="2592" w:leader="none"/>
          <w:tab w:val="left" w:pos="3744" w:leader="none"/>
          <w:tab w:val="center" w:pos="5112" w:leader="none"/>
          <w:tab w:val="center" w:pos="6264" w:leader="none"/>
          <w:tab w:val="left" w:pos="7272" w:leader="none"/>
          <w:tab w:val="center" w:pos="7416" w:leader="none"/>
          <w:tab w:val="center" w:pos="8496" w:leader="none"/>
          <w:tab w:val="right" w:pos="9648" w:leader="none"/>
        </w:tabs>
        <w:spacing w:lineRule="exact" w:line="240"/>
        <w:ind w:hanging="576" w:start="576" w:end="0"/>
        <w:rPr>
          <w:sz w:val="20"/>
          <w:szCs w:val="20"/>
        </w:rPr>
      </w:pPr>
      <w:r>
        <w:rPr>
          <w:sz w:val="20"/>
          <w:szCs w:val="20"/>
        </w:rPr>
        <w:t>Note:</w:t>
        <w:tab/>
        <w:t>Fuel oil netbacks reflect spot cargo prices less freight, import duty, and oil spill tax.</w:t>
      </w:r>
      <w:r>
        <w:br w:type="page"/>
      </w:r>
    </w:p>
    <w:p>
      <w:pPr>
        <w:pStyle w:val="Heading4"/>
        <w:ind w:hanging="0" w:start="0"/>
        <w:rPr/>
      </w:pPr>
      <w:r>
        <w:rPr/>
        <w:t>Figure II-D:  Spot Northwest Europe Resid and Crude Oil Prices</w:t>
      </w:r>
    </w:p>
    <w:p>
      <w:pPr>
        <w:pStyle w:val="Normal"/>
        <w:jc w:val="center"/>
        <w:rPr/>
      </w:pPr>
      <w:r>
        <w:rPr/>
        <w:drawing>
          <wp:inline distT="0" distB="0" distL="0" distR="0">
            <wp:extent cx="5931535" cy="4280535"/>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14"/>
                    <a:stretch>
                      <a:fillRect/>
                    </a:stretch>
                  </pic:blipFill>
                  <pic:spPr bwMode="auto">
                    <a:xfrm>
                      <a:off x="0" y="0"/>
                      <a:ext cx="5931535" cy="4280535"/>
                    </a:xfrm>
                    <a:prstGeom prst="rect">
                      <a:avLst/>
                    </a:prstGeom>
                    <a:noFill/>
                  </pic:spPr>
                </pic:pic>
              </a:graphicData>
            </a:graphic>
          </wp:inline>
        </w:drawing>
      </w:r>
    </w:p>
    <w:p>
      <w:pPr>
        <w:pStyle w:val="Normal"/>
        <w:rPr/>
      </w:pPr>
      <w:r>
        <w:rPr/>
      </w:r>
    </w:p>
    <w:p>
      <w:pPr>
        <w:pStyle w:val="L1tabs2d"/>
        <w:spacing w:lineRule="exact" w:line="200"/>
        <w:rPr/>
      </w:pPr>
      <w:r>
        <w:rPr/>
        <w:tab/>
        <w:tab/>
        <w:tab/>
        <w:tab/>
        <w:tab/>
        <w:t>Price Ratios</w:t>
        <w:br/>
        <w:tab/>
      </w:r>
      <w:r>
        <w:rPr>
          <w:u w:val="single"/>
        </w:rPr>
        <w:tab/>
        <w:t>Prices in US$/Barrel</w:t>
        <w:tab/>
      </w:r>
      <w:r>
        <w:rPr/>
        <w:tab/>
      </w:r>
      <w:r>
        <w:rPr>
          <w:u w:val="single"/>
        </w:rPr>
        <w:tab/>
        <w:t>in Percentages</w:t>
        <w:tab/>
      </w:r>
    </w:p>
    <w:p>
      <w:pPr>
        <w:pStyle w:val="L2tablesIId"/>
        <w:jc w:val="start"/>
        <w:rPr/>
      </w:pPr>
      <w:r>
        <w:rPr/>
        <w:tab/>
        <w:t>Fuel Oil</w:t>
        <w:tab/>
        <w:t>Crude Oil</w:t>
        <w:tab/>
        <w:tab/>
      </w:r>
    </w:p>
    <w:p>
      <w:pPr>
        <w:pStyle w:val="L2tablesIId"/>
        <w:spacing w:lineRule="exact" w:line="200"/>
        <w:jc w:val="start"/>
        <w:rPr/>
      </w:pPr>
      <w:r>
        <w:rPr/>
        <w:tab/>
        <w:t>Northwest Europe</w:t>
        <w:tab/>
        <w:t>Delivered to</w:t>
        <w:tab/>
        <w:tab/>
        <w:t>FOB Fuel Oil to</w:t>
      </w:r>
    </w:p>
    <w:p>
      <w:pPr>
        <w:pStyle w:val="L3tablesIId"/>
        <w:spacing w:lineRule="exact" w:line="200"/>
        <w:jc w:val="start"/>
        <w:rPr/>
      </w:pPr>
      <w:r>
        <w:rPr/>
        <w:tab/>
      </w:r>
      <w:r>
        <w:rPr>
          <w:u w:val="single"/>
        </w:rPr>
        <w:tab/>
        <w:t>FOB Cargos</w:t>
        <w:tab/>
      </w:r>
      <w:r>
        <w:rPr/>
        <w:tab/>
      </w:r>
      <w:r>
        <w:rPr>
          <w:u w:val="single"/>
        </w:rPr>
        <w:tab/>
        <w:t>Rotterdam</w:t>
        <w:tab/>
      </w:r>
      <w:r>
        <w:rPr/>
        <w:tab/>
      </w:r>
      <w:r>
        <w:rPr>
          <w:u w:val="single"/>
        </w:rPr>
        <w:tab/>
        <w:t>Delivered Crude</w:t>
        <w:tab/>
      </w:r>
      <w:r>
        <w:rPr/>
        <w:br/>
      </w:r>
    </w:p>
    <w:p>
      <w:pPr>
        <w:pStyle w:val="L4tablesIId"/>
        <w:spacing w:lineRule="exact" w:line="200"/>
        <w:rPr/>
      </w:pPr>
      <w:r>
        <w:rPr/>
        <w:tab/>
        <w:tab/>
        <w:tab/>
        <w:tab/>
        <w:tab/>
        <w:t>1.0%S</w:t>
        <w:tab/>
        <w:t>3.5%S</w:t>
        <w:br/>
        <w:tab/>
        <w:tab/>
        <w:tab/>
        <w:tab/>
        <w:tab/>
        <w:t>to</w:t>
        <w:tab/>
        <w:t>to</w:t>
        <w:br/>
      </w:r>
      <w:r>
        <w:rPr>
          <w:u w:val="single"/>
        </w:rPr>
        <w:t>Period</w:t>
      </w:r>
      <w:r>
        <w:rPr/>
        <w:tab/>
      </w:r>
      <w:r>
        <w:rPr>
          <w:u w:val="single"/>
        </w:rPr>
        <w:t>1.0%S</w:t>
        <w:tab/>
        <w:t>3.5%S</w:t>
      </w:r>
      <w:r>
        <w:rPr/>
        <w:tab/>
      </w:r>
      <w:r>
        <w:rPr>
          <w:u w:val="single"/>
        </w:rPr>
        <w:t>Brent</w:t>
        <w:tab/>
        <w:t>Dubai</w:t>
      </w:r>
      <w:r>
        <w:rPr/>
        <w:tab/>
      </w:r>
      <w:r>
        <w:rPr>
          <w:u w:val="single"/>
        </w:rPr>
        <w:t>Brent</w:t>
        <w:tab/>
        <w:t>Dubai</w:t>
      </w:r>
    </w:p>
    <w:p>
      <w:pPr>
        <w:pStyle w:val="L4tablesIId"/>
        <w:rPr/>
      </w:pPr>
      <w:r>
        <w:rPr/>
        <w:t xml:space="preserve">Sep-99 </w:t>
        <w:tab/>
        <w:t xml:space="preserve">17.76 </w:t>
        <w:tab/>
        <w:t xml:space="preserve">16.58 </w:t>
        <w:tab/>
        <w:t xml:space="preserve">23.04 </w:t>
        <w:tab/>
        <w:t xml:space="preserve">22.97 </w:t>
        <w:tab/>
        <w:t>77.1%</w:t>
        <w:tab/>
        <w:t>72.2%</w:t>
      </w:r>
    </w:p>
    <w:p>
      <w:pPr>
        <w:pStyle w:val="L4tablesIId"/>
        <w:rPr/>
      </w:pPr>
      <w:r>
        <w:rPr/>
        <w:t xml:space="preserve">Oct-99 </w:t>
        <w:tab/>
        <w:t xml:space="preserve">18.38 </w:t>
        <w:tab/>
        <w:t xml:space="preserve">16.33 </w:t>
        <w:tab/>
        <w:t xml:space="preserve">24.50 </w:t>
        <w:tab/>
        <w:t xml:space="preserve">24.02 </w:t>
        <w:tab/>
        <w:t>75.0%</w:t>
        <w:tab/>
        <w:t>68.0%</w:t>
      </w:r>
    </w:p>
    <w:p>
      <w:pPr>
        <w:pStyle w:val="L4tablesIId"/>
        <w:rPr/>
      </w:pPr>
      <w:r>
        <w:rPr/>
        <w:t xml:space="preserve">Nov-99 </w:t>
        <w:tab/>
        <w:t xml:space="preserve">19.38 </w:t>
        <w:tab/>
        <w:t xml:space="preserve">17.03 </w:t>
        <w:tab/>
        <w:t xml:space="preserve">25.50 </w:t>
        <w:tab/>
        <w:t xml:space="preserve">25.04 </w:t>
        <w:tab/>
        <w:t>76.0%</w:t>
        <w:tab/>
        <w:t>68.0%</w:t>
      </w:r>
    </w:p>
    <w:p>
      <w:pPr>
        <w:pStyle w:val="L4tablesIId"/>
        <w:rPr/>
      </w:pPr>
      <w:r>
        <w:rPr/>
        <w:t xml:space="preserve">Dec-99 </w:t>
        <w:tab/>
        <w:t xml:space="preserve">19.50 </w:t>
        <w:tab/>
        <w:t xml:space="preserve">17.11 </w:t>
        <w:tab/>
        <w:t xml:space="preserve">26.00 </w:t>
        <w:tab/>
        <w:t xml:space="preserve">25.54 </w:t>
        <w:tab/>
        <w:t>75.0%</w:t>
        <w:tab/>
        <w:t>67.0%</w:t>
      </w:r>
    </w:p>
    <w:p>
      <w:pPr>
        <w:pStyle w:val="L4tablesIId"/>
        <w:rPr/>
      </w:pPr>
      <w:r>
        <w:rPr/>
        <w:t xml:space="preserve">Jan-00 </w:t>
        <w:tab/>
        <w:t xml:space="preserve">19.21 </w:t>
        <w:tab/>
        <w:t xml:space="preserve">16.37 </w:t>
        <w:tab/>
        <w:t xml:space="preserve">24.95 </w:t>
        <w:tab/>
        <w:t xml:space="preserve">24.44 </w:t>
        <w:tab/>
        <w:t>77.0%</w:t>
        <w:tab/>
        <w:t>67.0%</w:t>
      </w:r>
    </w:p>
    <w:p>
      <w:pPr>
        <w:pStyle w:val="L4tablesIId"/>
        <w:rPr/>
      </w:pPr>
      <w:r>
        <w:rPr/>
        <w:t xml:space="preserve">Feb-00 </w:t>
        <w:tab/>
        <w:t xml:space="preserve">18.76 </w:t>
        <w:tab/>
        <w:t xml:space="preserve">15.77 </w:t>
        <w:tab/>
        <w:t xml:space="preserve">24.05 </w:t>
        <w:tab/>
        <w:t xml:space="preserve">23.54 </w:t>
        <w:tab/>
        <w:t>78.0%</w:t>
        <w:tab/>
        <w:t>67.0%</w:t>
      </w:r>
    </w:p>
    <w:p>
      <w:pPr>
        <w:pStyle w:val="L4tablesIId"/>
        <w:rPr/>
      </w:pPr>
      <w:r>
        <w:rPr/>
        <w:t xml:space="preserve">Mar-00 </w:t>
        <w:tab/>
        <w:t xml:space="preserve">18.37 </w:t>
        <w:tab/>
        <w:t xml:space="preserve">15.55 </w:t>
        <w:tab/>
        <w:t xml:space="preserve">23.55 </w:t>
        <w:tab/>
        <w:t xml:space="preserve">23.04 </w:t>
        <w:tab/>
        <w:t>78.0%</w:t>
        <w:tab/>
        <w:t>67.5%</w:t>
      </w:r>
    </w:p>
    <w:p>
      <w:pPr>
        <w:pStyle w:val="L4tablesIId"/>
        <w:rPr/>
      </w:pPr>
      <w:r>
        <w:rPr/>
        <w:t xml:space="preserve">Apr-00 </w:t>
        <w:tab/>
        <w:t xml:space="preserve">17.94 </w:t>
        <w:tab/>
        <w:t xml:space="preserve">15.20 </w:t>
        <w:tab/>
        <w:t xml:space="preserve">23.00 </w:t>
        <w:tab/>
        <w:t xml:space="preserve">22.52 </w:t>
        <w:tab/>
        <w:t>78.0%</w:t>
        <w:tab/>
        <w:t>67.5%</w:t>
      </w:r>
    </w:p>
    <w:p>
      <w:pPr>
        <w:pStyle w:val="L4tablesIId"/>
        <w:rPr/>
      </w:pPr>
      <w:r>
        <w:rPr/>
        <w:t xml:space="preserve">May-00 </w:t>
        <w:tab/>
        <w:t xml:space="preserve">17.44 </w:t>
        <w:tab/>
        <w:t xml:space="preserve">14.52 </w:t>
        <w:tab/>
        <w:t xml:space="preserve">22.50 </w:t>
        <w:tab/>
        <w:t xml:space="preserve">22.00 </w:t>
        <w:tab/>
        <w:t>77.5%</w:t>
        <w:tab/>
        <w:t>66.0%</w:t>
      </w:r>
    </w:p>
    <w:p>
      <w:pPr>
        <w:pStyle w:val="L4tablesIId"/>
        <w:rPr/>
      </w:pPr>
      <w:r>
        <w:rPr/>
        <w:t xml:space="preserve">Jun-00 </w:t>
        <w:tab/>
        <w:t xml:space="preserve">17.21 </w:t>
        <w:tab/>
        <w:t xml:space="preserve">14.52 </w:t>
        <w:tab/>
        <w:t xml:space="preserve">22.50 </w:t>
        <w:tab/>
        <w:t xml:space="preserve">22.00 </w:t>
        <w:tab/>
        <w:t>76.5%</w:t>
        <w:tab/>
        <w:t>66.0%</w:t>
      </w:r>
    </w:p>
    <w:p>
      <w:pPr>
        <w:pStyle w:val="L4tablesIId"/>
        <w:rPr/>
      </w:pPr>
      <w:r>
        <w:rPr/>
        <w:t xml:space="preserve">Jul-00 </w:t>
        <w:tab/>
        <w:t xml:space="preserve">17.71 </w:t>
        <w:tab/>
        <w:t xml:space="preserve">14.85 </w:t>
        <w:tab/>
        <w:t xml:space="preserve">23.00 </w:t>
        <w:tab/>
        <w:t xml:space="preserve">22.50 </w:t>
        <w:tab/>
        <w:t>77.0%</w:t>
        <w:tab/>
        <w:t>66.0%</w:t>
      </w:r>
    </w:p>
    <w:p>
      <w:pPr>
        <w:pStyle w:val="L4tablesIId"/>
        <w:rPr/>
      </w:pPr>
      <w:r>
        <w:rPr/>
        <w:t xml:space="preserve">Aug-00 </w:t>
        <w:tab/>
        <w:t xml:space="preserve">18.10 </w:t>
        <w:tab/>
        <w:t xml:space="preserve">15.18 </w:t>
        <w:tab/>
        <w:t xml:space="preserve">23.50 </w:t>
        <w:tab/>
        <w:t xml:space="preserve">23.00 </w:t>
        <w:tab/>
        <w:t>77.0%</w:t>
        <w:tab/>
        <w:t>66.0%</w:t>
      </w:r>
    </w:p>
    <w:p>
      <w:pPr>
        <w:pStyle w:val="L4tablesIId"/>
        <w:rPr/>
      </w:pPr>
      <w:r>
        <w:rPr/>
      </w:r>
    </w:p>
    <w:p>
      <w:pPr>
        <w:pStyle w:val="Normal"/>
        <w:tabs>
          <w:tab w:val="clear" w:pos="720"/>
          <w:tab w:val="left" w:pos="792" w:leader="none"/>
          <w:tab w:val="center" w:pos="3888" w:leader="none"/>
          <w:tab w:val="center" w:pos="7776" w:leader="none"/>
          <w:tab w:val="center" w:pos="8208" w:leader="none"/>
        </w:tabs>
        <w:spacing w:lineRule="exact" w:line="240"/>
        <w:ind w:hanging="792" w:start="792" w:end="0"/>
        <w:rPr>
          <w:sz w:val="20"/>
          <w:szCs w:val="20"/>
        </w:rPr>
      </w:pPr>
      <w:r>
        <w:rPr>
          <w:sz w:val="20"/>
          <w:szCs w:val="20"/>
        </w:rPr>
        <w:t>Note:</w:t>
        <w:tab/>
        <w:t>Conversions in barrels per metric tons are 6.4367 for 1.0%S and 6.3250 for 3.5%S.</w:t>
      </w:r>
      <w:r>
        <w:br w:type="page"/>
      </w:r>
    </w:p>
    <w:p>
      <w:pPr>
        <w:pStyle w:val="Heading4"/>
        <w:ind w:hanging="0" w:start="0"/>
        <w:rPr/>
      </w:pPr>
      <w:r>
        <w:rPr/>
        <w:t>Figure II-E:  Mediterranean Resid and Crude Oil Prices</w:t>
      </w:r>
    </w:p>
    <w:p>
      <w:pPr>
        <w:pStyle w:val="Normal"/>
        <w:jc w:val="center"/>
        <w:rPr/>
      </w:pPr>
      <w:r>
        <w:rPr/>
        <w:drawing>
          <wp:inline distT="0" distB="0" distL="0" distR="0">
            <wp:extent cx="5931535" cy="4280535"/>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15"/>
                    <a:stretch>
                      <a:fillRect/>
                    </a:stretch>
                  </pic:blipFill>
                  <pic:spPr bwMode="auto">
                    <a:xfrm>
                      <a:off x="0" y="0"/>
                      <a:ext cx="5931535" cy="4280535"/>
                    </a:xfrm>
                    <a:prstGeom prst="rect">
                      <a:avLst/>
                    </a:prstGeom>
                    <a:noFill/>
                  </pic:spPr>
                </pic:pic>
              </a:graphicData>
            </a:graphic>
          </wp:inline>
        </w:drawing>
      </w:r>
    </w:p>
    <w:p>
      <w:pPr>
        <w:pStyle w:val="Normal"/>
        <w:jc w:val="center"/>
        <w:rPr/>
      </w:pPr>
      <w:r>
        <w:rPr/>
      </w:r>
    </w:p>
    <w:p>
      <w:pPr>
        <w:pStyle w:val="L1tabs2d"/>
        <w:rPr/>
      </w:pPr>
      <w:r>
        <w:rPr/>
        <w:tab/>
        <w:tab/>
        <w:tab/>
        <w:tab/>
        <w:tab/>
        <w:t>Price Ratios</w:t>
        <w:br/>
        <w:tab/>
      </w:r>
      <w:r>
        <w:rPr>
          <w:u w:val="single"/>
        </w:rPr>
        <w:tab/>
        <w:t>Prices in US$/Barrel</w:t>
        <w:tab/>
      </w:r>
      <w:r>
        <w:rPr/>
        <w:tab/>
      </w:r>
      <w:r>
        <w:rPr>
          <w:u w:val="single"/>
        </w:rPr>
        <w:tab/>
        <w:t>in Percentages</w:t>
        <w:tab/>
      </w:r>
    </w:p>
    <w:p>
      <w:pPr>
        <w:pStyle w:val="L2tablesIId"/>
        <w:spacing w:lineRule="exact" w:line="200"/>
        <w:jc w:val="start"/>
        <w:rPr/>
      </w:pPr>
      <w:r>
        <w:rPr/>
        <w:tab/>
        <w:t>Fuel Oil</w:t>
        <w:tab/>
        <w:t>Crude Oil</w:t>
        <w:tab/>
        <w:tab/>
        <w:br/>
        <w:tab/>
        <w:t>Mediterranean</w:t>
        <w:tab/>
        <w:t>Delivered to</w:t>
        <w:tab/>
        <w:tab/>
        <w:t>FOB Fuel Oil To</w:t>
      </w:r>
    </w:p>
    <w:p>
      <w:pPr>
        <w:pStyle w:val="L3tablesIId"/>
        <w:tabs>
          <w:tab w:val="clear" w:pos="8064"/>
          <w:tab w:val="left" w:pos="1368" w:leader="none"/>
          <w:tab w:val="center" w:pos="2232" w:leader="none"/>
          <w:tab w:val="right" w:pos="3096" w:leader="none"/>
          <w:tab w:val="left" w:pos="4320" w:leader="none"/>
          <w:tab w:val="center" w:pos="5184" w:leader="none"/>
          <w:tab w:val="right" w:pos="5976" w:leader="none"/>
          <w:tab w:val="left" w:pos="7128" w:leader="none"/>
          <w:tab w:val="center" w:pos="8100" w:leader="none"/>
          <w:tab w:val="right" w:pos="9072" w:leader="none"/>
        </w:tabs>
        <w:spacing w:lineRule="exact" w:line="200"/>
        <w:jc w:val="start"/>
        <w:rPr/>
      </w:pPr>
      <w:r>
        <w:rPr/>
        <w:tab/>
      </w:r>
      <w:r>
        <w:rPr>
          <w:u w:val="single"/>
        </w:rPr>
        <w:tab/>
        <w:t>FOB Cargos</w:t>
        <w:tab/>
      </w:r>
      <w:r>
        <w:rPr/>
        <w:tab/>
      </w:r>
      <w:r>
        <w:rPr>
          <w:u w:val="single"/>
        </w:rPr>
        <w:tab/>
        <w:t>Genoa</w:t>
        <w:tab/>
      </w:r>
      <w:r>
        <w:rPr/>
        <w:tab/>
      </w:r>
      <w:r>
        <w:rPr>
          <w:u w:val="single"/>
        </w:rPr>
        <w:tab/>
        <w:t>Delivered Crude</w:t>
        <w:tab/>
      </w:r>
      <w:r>
        <w:rPr/>
        <w:br/>
      </w:r>
    </w:p>
    <w:p>
      <w:pPr>
        <w:pStyle w:val="L4tablesIId"/>
        <w:spacing w:lineRule="exact" w:line="200"/>
        <w:rPr/>
      </w:pPr>
      <w:r>
        <w:rPr/>
        <w:tab/>
        <w:tab/>
        <w:tab/>
        <w:tab/>
        <w:tab/>
        <w:t>1.0%S</w:t>
        <w:tab/>
        <w:t>3.5%S</w:t>
        <w:br/>
        <w:tab/>
        <w:tab/>
        <w:tab/>
        <w:t>Bonny</w:t>
        <w:tab/>
        <w:tab/>
        <w:t>to</w:t>
        <w:tab/>
        <w:t>to</w:t>
        <w:br/>
      </w:r>
      <w:r>
        <w:rPr>
          <w:u w:val="single"/>
        </w:rPr>
        <w:t>Period</w:t>
      </w:r>
      <w:r>
        <w:rPr/>
        <w:tab/>
      </w:r>
      <w:r>
        <w:rPr>
          <w:u w:val="single"/>
        </w:rPr>
        <w:t>1.0%S</w:t>
        <w:tab/>
        <w:t>3.5%S</w:t>
      </w:r>
      <w:r>
        <w:rPr/>
        <w:tab/>
      </w:r>
      <w:r>
        <w:rPr>
          <w:u w:val="single"/>
        </w:rPr>
        <w:t>Light</w:t>
        <w:tab/>
        <w:t>Dubai</w:t>
      </w:r>
      <w:r>
        <w:rPr/>
        <w:tab/>
      </w:r>
      <w:r>
        <w:rPr>
          <w:u w:val="single"/>
        </w:rPr>
        <w:t>Bonny</w:t>
        <w:tab/>
        <w:t>Dubai</w:t>
      </w:r>
    </w:p>
    <w:p>
      <w:pPr>
        <w:pStyle w:val="bott2D"/>
        <w:rPr/>
      </w:pPr>
      <w:r>
        <w:rPr/>
        <w:t xml:space="preserve">Sep-99 </w:t>
        <w:tab/>
        <w:t xml:space="preserve">17.79 </w:t>
        <w:tab/>
        <w:t xml:space="preserve">17.30 </w:t>
        <w:tab/>
        <w:t xml:space="preserve">23.49 </w:t>
        <w:tab/>
        <w:t xml:space="preserve">22.94 </w:t>
        <w:tab/>
        <w:t>75.7%</w:t>
        <w:tab/>
        <w:t>75.4%</w:t>
      </w:r>
    </w:p>
    <w:p>
      <w:pPr>
        <w:pStyle w:val="bott2D"/>
        <w:rPr/>
      </w:pPr>
      <w:r>
        <w:rPr/>
        <w:t xml:space="preserve">Oct-99 </w:t>
        <w:tab/>
        <w:t xml:space="preserve">18.48 </w:t>
        <w:tab/>
        <w:t xml:space="preserve">16.83 </w:t>
        <w:tab/>
        <w:t xml:space="preserve">24.85 </w:t>
        <w:tab/>
        <w:t xml:space="preserve">24.00 </w:t>
        <w:tab/>
        <w:t>74.4%</w:t>
        <w:tab/>
        <w:t>70.1%</w:t>
      </w:r>
    </w:p>
    <w:p>
      <w:pPr>
        <w:pStyle w:val="bott2D"/>
        <w:rPr/>
      </w:pPr>
      <w:r>
        <w:rPr/>
        <w:t xml:space="preserve">Nov-99 </w:t>
        <w:tab/>
        <w:t xml:space="preserve">19.58 </w:t>
        <w:tab/>
        <w:t xml:space="preserve">17.33 </w:t>
        <w:tab/>
        <w:t xml:space="preserve">25.80 </w:t>
        <w:tab/>
        <w:t xml:space="preserve">25.00 </w:t>
        <w:tab/>
        <w:t>75.9%</w:t>
        <w:tab/>
        <w:t>69.3%</w:t>
      </w:r>
    </w:p>
    <w:p>
      <w:pPr>
        <w:pStyle w:val="bott2D"/>
        <w:rPr/>
      </w:pPr>
      <w:r>
        <w:rPr/>
        <w:t xml:space="preserve">Dec-99 </w:t>
        <w:tab/>
        <w:t xml:space="preserve">19.65 </w:t>
        <w:tab/>
        <w:t xml:space="preserve">17.41 </w:t>
        <w:tab/>
        <w:t xml:space="preserve">26.35 </w:t>
        <w:tab/>
        <w:t xml:space="preserve">25.53 </w:t>
        <w:tab/>
        <w:t>74.6%</w:t>
        <w:tab/>
        <w:t>68.2%</w:t>
      </w:r>
    </w:p>
    <w:p>
      <w:pPr>
        <w:pStyle w:val="bott2D"/>
        <w:rPr/>
      </w:pPr>
      <w:r>
        <w:rPr/>
        <w:t xml:space="preserve">Jan-00 </w:t>
        <w:tab/>
        <w:t xml:space="preserve">19.36 </w:t>
        <w:tab/>
        <w:t xml:space="preserve">16.62 </w:t>
        <w:tab/>
        <w:t xml:space="preserve">25.25 </w:t>
        <w:tab/>
        <w:t xml:space="preserve">24.45 </w:t>
        <w:tab/>
        <w:t>76.7%</w:t>
        <w:tab/>
        <w:t>68.0%</w:t>
      </w:r>
    </w:p>
    <w:p>
      <w:pPr>
        <w:pStyle w:val="bott2D"/>
        <w:rPr/>
      </w:pPr>
      <w:r>
        <w:rPr/>
        <w:t xml:space="preserve">Feb-00 </w:t>
        <w:tab/>
        <w:t xml:space="preserve">18.91 </w:t>
        <w:tab/>
        <w:t xml:space="preserve">16.07 </w:t>
        <w:tab/>
        <w:t xml:space="preserve">24.35 </w:t>
        <w:tab/>
        <w:t xml:space="preserve">23.55 </w:t>
        <w:tab/>
        <w:t>77.7%</w:t>
        <w:tab/>
        <w:t>68.2%</w:t>
      </w:r>
    </w:p>
    <w:p>
      <w:pPr>
        <w:pStyle w:val="bott2D"/>
        <w:rPr/>
      </w:pPr>
      <w:r>
        <w:rPr/>
        <w:t xml:space="preserve">Mar-00 </w:t>
        <w:tab/>
        <w:t xml:space="preserve">18.52 </w:t>
        <w:tab/>
        <w:t xml:space="preserve">15.90 </w:t>
        <w:tab/>
        <w:t xml:space="preserve">23.90 </w:t>
        <w:tab/>
        <w:t xml:space="preserve">23.08 </w:t>
        <w:tab/>
        <w:t>77.5%</w:t>
        <w:tab/>
        <w:t>68.9%</w:t>
      </w:r>
    </w:p>
    <w:p>
      <w:pPr>
        <w:pStyle w:val="bott2D"/>
        <w:rPr/>
      </w:pPr>
      <w:r>
        <w:rPr/>
        <w:t xml:space="preserve">Apr-00 </w:t>
        <w:tab/>
        <w:t xml:space="preserve">18.09 </w:t>
        <w:tab/>
        <w:t xml:space="preserve">15.55 </w:t>
        <w:tab/>
        <w:t xml:space="preserve">23.40 </w:t>
        <w:tab/>
        <w:t xml:space="preserve">22.58 </w:t>
        <w:tab/>
        <w:t>77.3%</w:t>
        <w:tab/>
        <w:t>68.9%</w:t>
      </w:r>
    </w:p>
    <w:p>
      <w:pPr>
        <w:pStyle w:val="bott2D"/>
        <w:rPr/>
      </w:pPr>
      <w:r>
        <w:rPr/>
        <w:t xml:space="preserve">May-00 </w:t>
        <w:tab/>
        <w:t xml:space="preserve">17.54 </w:t>
        <w:tab/>
        <w:t xml:space="preserve">14.87 </w:t>
        <w:tab/>
        <w:t xml:space="preserve">22.90 </w:t>
        <w:tab/>
        <w:t xml:space="preserve">22.10 </w:t>
        <w:tab/>
        <w:t>76.6%</w:t>
        <w:tab/>
        <w:t>67.3%</w:t>
      </w:r>
    </w:p>
    <w:p>
      <w:pPr>
        <w:pStyle w:val="bott2D"/>
        <w:rPr/>
      </w:pPr>
      <w:r>
        <w:rPr/>
        <w:t xml:space="preserve">Jun-00 </w:t>
        <w:tab/>
        <w:t xml:space="preserve">17.31 </w:t>
        <w:tab/>
        <w:t xml:space="preserve">14.77 </w:t>
        <w:tab/>
        <w:t xml:space="preserve">22.90 </w:t>
        <w:tab/>
        <w:t xml:space="preserve">22.10 </w:t>
        <w:tab/>
        <w:t>75.6%</w:t>
        <w:tab/>
        <w:t>66.8%</w:t>
      </w:r>
    </w:p>
    <w:p>
      <w:pPr>
        <w:pStyle w:val="bott2D"/>
        <w:rPr/>
      </w:pPr>
      <w:r>
        <w:rPr/>
        <w:t xml:space="preserve">Jul-00 </w:t>
        <w:tab/>
        <w:t xml:space="preserve">17.81 </w:t>
        <w:tab/>
        <w:t xml:space="preserve">15.10 </w:t>
        <w:tab/>
        <w:t xml:space="preserve">23.40 </w:t>
        <w:tab/>
        <w:t xml:space="preserve">22.60 </w:t>
        <w:tab/>
        <w:t>76.1%</w:t>
        <w:tab/>
        <w:t>66.8%</w:t>
      </w:r>
    </w:p>
    <w:p>
      <w:pPr>
        <w:pStyle w:val="bott2D"/>
        <w:rPr/>
      </w:pPr>
      <w:r>
        <w:rPr/>
        <w:t xml:space="preserve">Aug-00 </w:t>
        <w:tab/>
        <w:t xml:space="preserve">18.20 </w:t>
        <w:tab/>
        <w:t xml:space="preserve">15.43 </w:t>
        <w:tab/>
        <w:t xml:space="preserve">23.85 </w:t>
        <w:tab/>
        <w:t xml:space="preserve">23.10 </w:t>
        <w:tab/>
        <w:t>76.3%</w:t>
        <w:tab/>
        <w:t>66.8%</w:t>
      </w:r>
    </w:p>
    <w:p>
      <w:pPr>
        <w:pStyle w:val="bott2D"/>
        <w:rPr/>
      </w:pPr>
      <w:r>
        <w:rPr/>
      </w:r>
    </w:p>
    <w:p>
      <w:pPr>
        <w:pStyle w:val="Normal"/>
        <w:tabs>
          <w:tab w:val="clear" w:pos="720"/>
          <w:tab w:val="left" w:pos="792" w:leader="none"/>
          <w:tab w:val="center" w:pos="3888" w:leader="none"/>
          <w:tab w:val="center" w:pos="7776" w:leader="none"/>
          <w:tab w:val="center" w:pos="8208" w:leader="none"/>
        </w:tabs>
        <w:spacing w:lineRule="exact" w:line="240"/>
        <w:ind w:hanging="792" w:start="792" w:end="0"/>
        <w:rPr>
          <w:sz w:val="20"/>
          <w:szCs w:val="20"/>
        </w:rPr>
      </w:pPr>
      <w:r>
        <w:rPr>
          <w:sz w:val="20"/>
          <w:szCs w:val="20"/>
        </w:rPr>
        <w:t>Note:</w:t>
        <w:tab/>
        <w:t>Conversions in barrels per metric tons are 6.4367 for 1.0%S and 6.3250 for 3.5%S.</w:t>
      </w:r>
      <w:r>
        <w:br w:type="page"/>
      </w:r>
    </w:p>
    <w:p>
      <w:pPr>
        <w:pStyle w:val="Heading4"/>
        <w:ind w:hanging="0" w:start="0"/>
        <w:rPr/>
      </w:pPr>
      <w:r>
        <w:rPr/>
        <w:t>Figure II-F:  Spot Singapore Resid and Crude Oil Prices</w:t>
      </w:r>
    </w:p>
    <w:p>
      <w:pPr>
        <w:pStyle w:val="Normal"/>
        <w:rPr/>
      </w:pPr>
      <w:r>
        <w:rPr/>
        <w:drawing>
          <wp:inline distT="0" distB="0" distL="0" distR="0">
            <wp:extent cx="5931535" cy="4280535"/>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16"/>
                    <a:stretch>
                      <a:fillRect/>
                    </a:stretch>
                  </pic:blipFill>
                  <pic:spPr bwMode="auto">
                    <a:xfrm>
                      <a:off x="0" y="0"/>
                      <a:ext cx="5931535" cy="4280535"/>
                    </a:xfrm>
                    <a:prstGeom prst="rect">
                      <a:avLst/>
                    </a:prstGeom>
                    <a:noFill/>
                  </pic:spPr>
                </pic:pic>
              </a:graphicData>
            </a:graphic>
          </wp:inline>
        </w:drawing>
      </w:r>
    </w:p>
    <w:p>
      <w:pPr>
        <w:pStyle w:val="L1tabs2d"/>
        <w:rPr/>
      </w:pPr>
      <w:r>
        <w:rPr/>
        <w:tab/>
        <w:tab/>
        <w:tab/>
        <w:tab/>
        <w:tab/>
        <w:t>Price Ratios</w:t>
        <w:br/>
        <w:tab/>
      </w:r>
      <w:r>
        <w:rPr>
          <w:u w:val="single"/>
        </w:rPr>
        <w:tab/>
        <w:t>Prices in US$/Barrel</w:t>
        <w:tab/>
      </w:r>
      <w:r>
        <w:rPr/>
        <w:tab/>
      </w:r>
      <w:r>
        <w:rPr>
          <w:u w:val="single"/>
        </w:rPr>
        <w:tab/>
        <w:t>in Percentages</w:t>
        <w:tab/>
      </w:r>
    </w:p>
    <w:p>
      <w:pPr>
        <w:pStyle w:val="L2tablesIId"/>
        <w:spacing w:lineRule="exact" w:line="200"/>
        <w:jc w:val="start"/>
        <w:rPr/>
      </w:pPr>
      <w:r>
        <w:rPr/>
        <w:tab/>
        <w:t>Fuel Oil</w:t>
        <w:tab/>
        <w:t>Crude Oil</w:t>
        <w:tab/>
        <w:tab/>
        <w:br/>
        <w:tab/>
        <w:t>Singapore</w:t>
        <w:tab/>
        <w:t>Delivered to</w:t>
        <w:tab/>
        <w:tab/>
        <w:t xml:space="preserve">FOB Fuel Oil to </w:t>
      </w:r>
    </w:p>
    <w:p>
      <w:pPr>
        <w:pStyle w:val="L3tablesIId"/>
        <w:tabs>
          <w:tab w:val="clear" w:pos="1368"/>
          <w:tab w:val="clear" w:pos="3096"/>
          <w:tab w:val="clear" w:pos="5976"/>
          <w:tab w:val="clear" w:pos="7128"/>
          <w:tab w:val="left" w:pos="1260" w:leader="none"/>
          <w:tab w:val="center" w:pos="2232" w:leader="none"/>
          <w:tab w:val="right" w:pos="3330" w:leader="none"/>
          <w:tab w:val="left" w:pos="4320" w:leader="none"/>
          <w:tab w:val="center" w:pos="5184" w:leader="none"/>
          <w:tab w:val="right" w:pos="6120" w:leader="none"/>
          <w:tab w:val="left" w:pos="7020" w:leader="none"/>
          <w:tab w:val="center" w:pos="8064" w:leader="none"/>
          <w:tab w:val="right" w:pos="9072" w:leader="none"/>
        </w:tabs>
        <w:jc w:val="start"/>
        <w:rPr/>
      </w:pPr>
      <w:r>
        <w:rPr/>
        <w:tab/>
      </w:r>
      <w:r>
        <w:rPr>
          <w:u w:val="single"/>
        </w:rPr>
        <w:tab/>
        <w:t>FOB Cargos</w:t>
        <w:tab/>
      </w:r>
      <w:r>
        <w:rPr/>
        <w:tab/>
      </w:r>
      <w:r>
        <w:rPr>
          <w:u w:val="single"/>
        </w:rPr>
        <w:tab/>
        <w:t>Singapore</w:t>
        <w:tab/>
      </w:r>
      <w:r>
        <w:rPr/>
        <w:tab/>
      </w:r>
      <w:r>
        <w:rPr>
          <w:u w:val="single"/>
        </w:rPr>
        <w:tab/>
        <w:t>Delivered Crude</w:t>
        <w:tab/>
      </w:r>
      <w:r>
        <w:rPr/>
        <w:br/>
      </w:r>
    </w:p>
    <w:p>
      <w:pPr>
        <w:pStyle w:val="L4tablesIId"/>
        <w:spacing w:lineRule="exact" w:line="200"/>
        <w:rPr/>
      </w:pPr>
      <w:r>
        <w:rPr/>
        <w:tab/>
        <w:tab/>
        <w:tab/>
        <w:tab/>
        <w:tab/>
        <w:t>LSWR</w:t>
        <w:tab/>
        <w:t>HSFO/380</w:t>
        <w:br/>
        <w:tab/>
        <w:tab/>
        <w:tab/>
        <w:tab/>
        <w:tab/>
        <w:t>to</w:t>
        <w:tab/>
        <w:t>to</w:t>
        <w:br/>
      </w:r>
      <w:r>
        <w:rPr>
          <w:u w:val="single"/>
        </w:rPr>
        <w:t>Period</w:t>
      </w:r>
      <w:r>
        <w:rPr/>
        <w:tab/>
      </w:r>
      <w:r>
        <w:rPr>
          <w:u w:val="single"/>
        </w:rPr>
        <w:t>LSWR</w:t>
        <w:tab/>
        <w:t>HSFO/380</w:t>
      </w:r>
      <w:r>
        <w:rPr/>
        <w:tab/>
      </w:r>
      <w:r>
        <w:rPr>
          <w:u w:val="single"/>
        </w:rPr>
        <w:t>Minas</w:t>
        <w:tab/>
        <w:t>Dubai</w:t>
      </w:r>
      <w:r>
        <w:rPr/>
        <w:tab/>
      </w:r>
      <w:r>
        <w:rPr>
          <w:u w:val="single"/>
        </w:rPr>
        <w:t>Minas</w:t>
        <w:tab/>
        <w:t>Dubai</w:t>
      </w:r>
    </w:p>
    <w:p>
      <w:pPr>
        <w:pStyle w:val="bott2D"/>
        <w:rPr/>
      </w:pPr>
      <w:r>
        <w:rPr/>
        <w:t xml:space="preserve">Sep-99 </w:t>
        <w:tab/>
        <w:t xml:space="preserve">18.82 </w:t>
        <w:tab/>
        <w:t xml:space="preserve">19.35 </w:t>
        <w:tab/>
        <w:t xml:space="preserve">22.07 </w:t>
        <w:tab/>
        <w:t xml:space="preserve">22.29 </w:t>
        <w:tab/>
        <w:t>85.3%</w:t>
        <w:tab/>
        <w:t>86.8%</w:t>
      </w:r>
    </w:p>
    <w:p>
      <w:pPr>
        <w:pStyle w:val="bott2D"/>
        <w:rPr/>
      </w:pPr>
      <w:r>
        <w:rPr/>
        <w:t xml:space="preserve">Oct-99 </w:t>
        <w:tab/>
        <w:t xml:space="preserve">19.57 </w:t>
        <w:tab/>
        <w:t xml:space="preserve">18.63 </w:t>
        <w:tab/>
        <w:t xml:space="preserve">23.30 </w:t>
        <w:tab/>
        <w:t xml:space="preserve">23.36 </w:t>
        <w:tab/>
        <w:t>84.0%</w:t>
        <w:tab/>
        <w:t>79.8%</w:t>
      </w:r>
    </w:p>
    <w:p>
      <w:pPr>
        <w:pStyle w:val="bott2D"/>
        <w:rPr/>
      </w:pPr>
      <w:r>
        <w:rPr/>
        <w:t xml:space="preserve">Nov-99 </w:t>
        <w:tab/>
        <w:t xml:space="preserve">20.41 </w:t>
        <w:tab/>
        <w:t xml:space="preserve">19.08 </w:t>
        <w:tab/>
        <w:t xml:space="preserve">24.30 </w:t>
        <w:tab/>
        <w:t xml:space="preserve">24.37 </w:t>
        <w:tab/>
        <w:t>84.0%</w:t>
        <w:tab/>
        <w:t>78.3%</w:t>
      </w:r>
    </w:p>
    <w:p>
      <w:pPr>
        <w:pStyle w:val="bott2D"/>
        <w:rPr/>
      </w:pPr>
      <w:r>
        <w:rPr/>
        <w:t xml:space="preserve">Dec-99 </w:t>
        <w:tab/>
        <w:t xml:space="preserve">20.83 </w:t>
        <w:tab/>
        <w:t xml:space="preserve">19.11 </w:t>
        <w:tab/>
        <w:t xml:space="preserve">24.80 </w:t>
        <w:tab/>
        <w:t xml:space="preserve">24.88 </w:t>
        <w:tab/>
        <w:t>84.0%</w:t>
        <w:tab/>
        <w:t>76.8%</w:t>
      </w:r>
    </w:p>
    <w:p>
      <w:pPr>
        <w:pStyle w:val="bott2D"/>
        <w:rPr/>
      </w:pPr>
      <w:r>
        <w:rPr/>
        <w:t xml:space="preserve">Jan-00 </w:t>
        <w:tab/>
        <w:t xml:space="preserve">20.04 </w:t>
        <w:tab/>
        <w:t xml:space="preserve">18.22 </w:t>
        <w:tab/>
        <w:t xml:space="preserve">23.90 </w:t>
        <w:tab/>
        <w:t xml:space="preserve">23.79 </w:t>
        <w:tab/>
        <w:t>83.9%</w:t>
        <w:tab/>
        <w:t>76.6%</w:t>
      </w:r>
    </w:p>
    <w:p>
      <w:pPr>
        <w:pStyle w:val="bott2D"/>
        <w:rPr/>
      </w:pPr>
      <w:r>
        <w:rPr/>
        <w:t xml:space="preserve">Feb-00 </w:t>
        <w:tab/>
        <w:t xml:space="preserve">19.69 </w:t>
        <w:tab/>
        <w:t xml:space="preserve">17.77 </w:t>
        <w:tab/>
        <w:t xml:space="preserve">23.20 </w:t>
        <w:tab/>
        <w:t xml:space="preserve">22.90 </w:t>
        <w:tab/>
        <w:t>84.9%</w:t>
        <w:tab/>
        <w:t>77.6%</w:t>
      </w:r>
    </w:p>
    <w:p>
      <w:pPr>
        <w:pStyle w:val="bott2D"/>
        <w:rPr/>
      </w:pPr>
      <w:r>
        <w:rPr/>
        <w:t xml:space="preserve">Mar-00 </w:t>
        <w:tab/>
        <w:t xml:space="preserve">19.51 </w:t>
        <w:tab/>
        <w:t xml:space="preserve">17.65 </w:t>
        <w:tab/>
        <w:t xml:space="preserve">22.70 </w:t>
        <w:tab/>
        <w:t xml:space="preserve">22.40 </w:t>
        <w:tab/>
        <w:t>86.0%</w:t>
        <w:tab/>
        <w:t>78.8%</w:t>
      </w:r>
    </w:p>
    <w:p>
      <w:pPr>
        <w:pStyle w:val="bott2D"/>
        <w:rPr/>
      </w:pPr>
      <w:r>
        <w:rPr/>
        <w:t xml:space="preserve">Apr-00 </w:t>
        <w:tab/>
        <w:t xml:space="preserve">19.08 </w:t>
        <w:tab/>
        <w:t xml:space="preserve">17.30 </w:t>
        <w:tab/>
        <w:t xml:space="preserve">22.00 </w:t>
        <w:tab/>
        <w:t xml:space="preserve">21.90 </w:t>
        <w:tab/>
        <w:t>86.7%</w:t>
        <w:tab/>
        <w:t>79.0%</w:t>
      </w:r>
    </w:p>
    <w:p>
      <w:pPr>
        <w:pStyle w:val="bott2D"/>
        <w:rPr/>
      </w:pPr>
      <w:r>
        <w:rPr/>
        <w:t xml:space="preserve">May-00 </w:t>
        <w:tab/>
        <w:t xml:space="preserve">18.49 </w:t>
        <w:tab/>
        <w:t xml:space="preserve">16.62 </w:t>
        <w:tab/>
        <w:t xml:space="preserve">21.30 </w:t>
        <w:tab/>
        <w:t xml:space="preserve">21.40 </w:t>
        <w:tab/>
        <w:t>86.8%</w:t>
        <w:tab/>
        <w:t>77.7%</w:t>
      </w:r>
    </w:p>
    <w:p>
      <w:pPr>
        <w:pStyle w:val="bott2D"/>
        <w:rPr/>
      </w:pPr>
      <w:r>
        <w:rPr/>
        <w:t xml:space="preserve">Jun-00 </w:t>
        <w:tab/>
        <w:t xml:space="preserve">18.14 </w:t>
        <w:tab/>
        <w:t xml:space="preserve">16.52 </w:t>
        <w:tab/>
        <w:t xml:space="preserve">21.30 </w:t>
        <w:tab/>
        <w:t xml:space="preserve">21.40 </w:t>
        <w:tab/>
        <w:t>85.2%</w:t>
        <w:tab/>
        <w:t>77.2%</w:t>
      </w:r>
    </w:p>
    <w:p>
      <w:pPr>
        <w:pStyle w:val="bott2D"/>
        <w:rPr/>
      </w:pPr>
      <w:r>
        <w:rPr/>
        <w:t xml:space="preserve">Jul-00 </w:t>
        <w:tab/>
        <w:t xml:space="preserve">18.92 </w:t>
        <w:tab/>
        <w:t xml:space="preserve">16.85 </w:t>
        <w:tab/>
        <w:t xml:space="preserve">22.00 </w:t>
        <w:tab/>
        <w:t xml:space="preserve">21.90 </w:t>
        <w:tab/>
        <w:t>86.0%</w:t>
        <w:tab/>
        <w:t>76.9%</w:t>
      </w:r>
    </w:p>
    <w:p>
      <w:pPr>
        <w:pStyle w:val="bott2D"/>
        <w:rPr/>
      </w:pPr>
      <w:r>
        <w:rPr/>
        <w:t xml:space="preserve">Aug-00 </w:t>
        <w:tab/>
        <w:t xml:space="preserve">19.52 </w:t>
        <w:tab/>
        <w:t xml:space="preserve">17.18 </w:t>
        <w:tab/>
        <w:t xml:space="preserve">22.70 </w:t>
        <w:tab/>
        <w:t xml:space="preserve">22.40 </w:t>
        <w:tab/>
        <w:t>86.0%</w:t>
        <w:tab/>
        <w:t>76.7%</w:t>
      </w:r>
    </w:p>
    <w:p>
      <w:pPr>
        <w:pStyle w:val="bott2D"/>
        <w:rPr/>
      </w:pPr>
      <w:r>
        <w:rPr/>
      </w:r>
    </w:p>
    <w:p>
      <w:pPr>
        <w:pStyle w:val="Normal"/>
        <w:tabs>
          <w:tab w:val="clear" w:pos="720"/>
          <w:tab w:val="left" w:pos="792" w:leader="none"/>
          <w:tab w:val="center" w:pos="3888" w:leader="none"/>
          <w:tab w:val="center" w:pos="7776" w:leader="none"/>
          <w:tab w:val="center" w:pos="8208" w:leader="none"/>
        </w:tabs>
        <w:spacing w:lineRule="exact" w:line="240"/>
        <w:ind w:hanging="792" w:start="792" w:end="0"/>
        <w:rPr>
          <w:sz w:val="20"/>
          <w:szCs w:val="20"/>
        </w:rPr>
      </w:pPr>
      <w:r>
        <w:rPr>
          <w:sz w:val="20"/>
          <w:szCs w:val="20"/>
        </w:rPr>
        <w:t>Note:</w:t>
        <w:tab/>
        <w:t>HSFO converted at 6.4146 barrels per metric ton.</w:t>
      </w:r>
      <w:r>
        <w:br w:type="page"/>
      </w:r>
    </w:p>
    <w:p>
      <w:pPr>
        <w:pStyle w:val="Normal"/>
        <w:rPr>
          <w:sz w:val="20"/>
          <w:szCs w:val="20"/>
        </w:rPr>
      </w:pPr>
      <w:r>
        <w:rPr>
          <w:sz w:val="20"/>
          <w:szCs w:val="20"/>
        </w:rPr>
      </w:r>
    </w:p>
    <w:p>
      <w:pPr>
        <w:pStyle w:val="Heading1"/>
        <w:ind w:hanging="0" w:start="0"/>
        <w:rPr/>
      </w:pPr>
      <w:r>
        <w:rPr/>
        <w:t>Part III:  SPECIAL FEATURE</w:t>
      </w:r>
    </w:p>
    <w:p>
      <w:pPr>
        <w:pStyle w:val="Normal"/>
        <w:jc w:val="center"/>
        <w:rPr/>
      </w:pPr>
      <w:r>
        <w:rPr/>
      </w:r>
    </w:p>
    <w:p>
      <w:pPr>
        <w:pStyle w:val="Heading4"/>
        <w:ind w:hanging="0" w:start="0"/>
        <w:rPr/>
      </w:pPr>
      <w:r>
        <w:rPr/>
        <w:t>Patterns of Fuel Oil Trade in the Western Hemisphere</w:t>
      </w:r>
    </w:p>
    <w:p>
      <w:pPr>
        <w:pStyle w:val="Normal"/>
        <w:rPr/>
      </w:pPr>
      <w:r>
        <w:rPr/>
      </w:r>
    </w:p>
    <w:p>
      <w:pPr>
        <w:pStyle w:val="Normal"/>
        <w:rPr>
          <w:i/>
          <w:i/>
          <w:iCs/>
        </w:rPr>
      </w:pPr>
      <w:r>
        <w:rPr>
          <w:i/>
          <w:iCs/>
        </w:rPr>
        <w:t>(This issue’s Special Feature is the text of a speech by Lawrence Axelrod, a senior consultant at Poten &amp; Partners, in Miami Beach, Florida, on October 4, 1999.  The speech was delivered at the 20th annual international Fuel Oil/Energy Buyers’ Conference.)</w:t>
      </w:r>
    </w:p>
    <w:p>
      <w:pPr>
        <w:pStyle w:val="Normal"/>
        <w:rPr>
          <w:i/>
          <w:i/>
          <w:iCs/>
        </w:rPr>
      </w:pPr>
      <w:r>
        <w:rPr>
          <w:i/>
          <w:iCs/>
        </w:rPr>
      </w:r>
    </w:p>
    <w:p>
      <w:pPr>
        <w:pStyle w:val="Normal"/>
        <w:rPr/>
      </w:pPr>
      <w:r>
        <w:rPr/>
        <w:t>In today’s remarks, I will attempt to identify key trading patterns of fuel oil in the Western Hemisphere.  For purposes of analysis, I will divide the Western Hemisphere into four component parts — North America (including Mexico), Central America, the Caribbean Islands, and South America.  I will focus on fuel oil used for burning, not refinery feedstock.</w:t>
      </w:r>
    </w:p>
    <w:p>
      <w:pPr>
        <w:pStyle w:val="Normal"/>
        <w:rPr/>
      </w:pPr>
      <w:r>
        <w:rPr/>
      </w:r>
    </w:p>
    <w:p>
      <w:pPr>
        <w:pStyle w:val="Normal"/>
        <w:rPr/>
      </w:pPr>
      <w:r>
        <w:rPr/>
        <w:t>Through an examination of exports and imports, I hope to adduce sufficient evidence to support the following five propositions regarding fuel oil trade in the Western Hemisphere:</w:t>
      </w:r>
    </w:p>
    <w:p>
      <w:pPr>
        <w:pStyle w:val="Normal"/>
        <w:rPr/>
      </w:pPr>
      <w:r>
        <w:rPr/>
      </w:r>
    </w:p>
    <w:p>
      <w:pPr>
        <w:pStyle w:val="bullet"/>
        <w:numPr>
          <w:ilvl w:val="0"/>
          <w:numId w:val="2"/>
        </w:numPr>
        <w:tabs>
          <w:tab w:val="clear" w:pos="720"/>
          <w:tab w:val="left" w:pos="0" w:leader="none"/>
        </w:tabs>
        <w:ind w:hanging="720" w:start="720"/>
        <w:rPr/>
      </w:pPr>
      <w:r>
        <w:rPr/>
        <w:t>Most fuel oil trade in the Western Hemisphere is intra-hemispheric;</w:t>
      </w:r>
    </w:p>
    <w:p>
      <w:pPr>
        <w:pStyle w:val="bullet"/>
        <w:numPr>
          <w:ilvl w:val="0"/>
          <w:numId w:val="2"/>
        </w:numPr>
        <w:tabs>
          <w:tab w:val="clear" w:pos="720"/>
          <w:tab w:val="left" w:pos="0" w:leader="none"/>
        </w:tabs>
        <w:ind w:hanging="720" w:start="720"/>
        <w:rPr/>
      </w:pPr>
      <w:r>
        <w:rPr/>
        <w:t>While North America is by far the largest import area in the Western Hemisphere, there is also a substantial amount of resid imported by Caribbean Islands and a modest amount of resid flowing into Central America;</w:t>
      </w:r>
    </w:p>
    <w:p>
      <w:pPr>
        <w:pStyle w:val="bullet"/>
        <w:numPr>
          <w:ilvl w:val="0"/>
          <w:numId w:val="2"/>
        </w:numPr>
        <w:tabs>
          <w:tab w:val="clear" w:pos="720"/>
          <w:tab w:val="left" w:pos="0" w:leader="none"/>
        </w:tabs>
        <w:ind w:hanging="720" w:start="720"/>
        <w:rPr/>
      </w:pPr>
      <w:r>
        <w:rPr/>
        <w:t>While South America is by far the largest exporting region in the Western Hemisphere, there are significant export flows from both North America and the Caribbean Islands;</w:t>
      </w:r>
    </w:p>
    <w:p>
      <w:pPr>
        <w:pStyle w:val="bullet"/>
        <w:numPr>
          <w:ilvl w:val="0"/>
          <w:numId w:val="2"/>
        </w:numPr>
        <w:tabs>
          <w:tab w:val="clear" w:pos="720"/>
          <w:tab w:val="left" w:pos="0" w:leader="none"/>
        </w:tabs>
        <w:ind w:hanging="720" w:start="720"/>
        <w:rPr/>
      </w:pPr>
      <w:r>
        <w:rPr/>
        <w:t>While Western Hemisphere resid imports are subject to wide fluctuations owing to the swing role of fuel oil in the power industry, exports are subject to wide swings owing to outages of sophisticated refinery upgrading units; and</w:t>
      </w:r>
    </w:p>
    <w:p>
      <w:pPr>
        <w:pStyle w:val="bullet"/>
        <w:numPr>
          <w:ilvl w:val="0"/>
          <w:numId w:val="2"/>
        </w:numPr>
        <w:tabs>
          <w:tab w:val="clear" w:pos="720"/>
          <w:tab w:val="left" w:pos="0" w:leader="none"/>
        </w:tabs>
        <w:ind w:hanging="720" w:start="720"/>
        <w:rPr/>
      </w:pPr>
      <w:r>
        <w:rPr/>
        <w:t>While independent power projects are adding to import requirements in the Caribbean and Central American regions, forthcoming inroads by natural gas in the North American power industry should lead to reduced import requirements.</w:t>
      </w:r>
    </w:p>
    <w:p>
      <w:pPr>
        <w:pStyle w:val="bullet"/>
        <w:numPr>
          <w:ilvl w:val="0"/>
          <w:numId w:val="2"/>
        </w:numPr>
        <w:tabs>
          <w:tab w:val="clear" w:pos="720"/>
          <w:tab w:val="left" w:pos="0" w:leader="none"/>
        </w:tabs>
        <w:ind w:hanging="720" w:start="720"/>
        <w:rPr/>
      </w:pPr>
      <w:r>
        <w:rPr/>
        <w:t>In the search for meaningful patterns, I will assess exports and then imports.</w:t>
      </w:r>
    </w:p>
    <w:p>
      <w:pPr>
        <w:pStyle w:val="Normal"/>
        <w:rPr/>
      </w:pPr>
      <w:r>
        <w:rPr/>
      </w:r>
    </w:p>
    <w:p>
      <w:pPr>
        <w:pStyle w:val="Normal"/>
        <w:jc w:val="center"/>
        <w:rPr>
          <w:b/>
          <w:bCs/>
        </w:rPr>
      </w:pPr>
      <w:r>
        <w:rPr>
          <w:b/>
          <w:bCs/>
        </w:rPr>
        <w:t>Exports</w:t>
      </w:r>
    </w:p>
    <w:p>
      <w:pPr>
        <w:pStyle w:val="Subtitle"/>
        <w:rPr/>
      </w:pPr>
      <w:r>
        <w:rPr/>
        <w:t>North America</w:t>
      </w:r>
    </w:p>
    <w:p>
      <w:pPr>
        <w:pStyle w:val="Normal"/>
        <w:rPr/>
      </w:pPr>
      <w:r>
        <w:rPr/>
        <w:t>Within North America, the main export areas are Eastern Canada, the US Gulf Coast, and the US West Coast.  On an aggregate basis, these three regions exported about 157,000 b/d of fuel oil in 1998.</w:t>
      </w:r>
    </w:p>
    <w:p>
      <w:pPr>
        <w:pStyle w:val="Normal"/>
        <w:rPr/>
      </w:pPr>
      <w:r>
        <w:rPr/>
      </w:r>
    </w:p>
    <w:p>
      <w:pPr>
        <w:pStyle w:val="sfsub-1"/>
        <w:rPr/>
      </w:pPr>
      <w:r>
        <w:rPr/>
        <w:tab/>
        <w:t>Eastern Canada</w:t>
      </w:r>
    </w:p>
    <w:p>
      <w:pPr>
        <w:pStyle w:val="Normal"/>
        <w:rPr/>
      </w:pPr>
      <w:r>
        <w:rPr/>
        <w:t>Of the 32,000 b/d exported by Eastern Canada in 1998, the Atlantic Provinces accounted for half.  High-sulfur fuel oil exports from Newfoundland tend to move to bunker markets in the US Northeast (particularly New York and Philadelphia).  New Brunswick exports some fuel oil to New England.</w:t>
      </w:r>
    </w:p>
    <w:p>
      <w:pPr>
        <w:pStyle w:val="Normal"/>
        <w:rPr/>
      </w:pPr>
      <w:r>
        <w:rPr/>
      </w:r>
    </w:p>
    <w:p>
      <w:pPr>
        <w:pStyle w:val="Normal"/>
        <w:rPr/>
      </w:pPr>
      <w:r>
        <w:rPr/>
        <w:t>Quebec exported 11,000 b/d in 1998.  Quebec exports would have been higher were it not for purchases by Hydro-Quebec from Ultramar’s Saint Romuald plant in late 1998.  The utility purchases, which were related to reduced hydropower output, meant that Ultramar had less 1.5%S resid available for export.</w:t>
      </w:r>
    </w:p>
    <w:p>
      <w:pPr>
        <w:pStyle w:val="sfsub-1"/>
        <w:rPr/>
      </w:pPr>
      <w:r>
        <w:rPr/>
        <w:tab/>
        <w:t>US Gulf Coast</w:t>
      </w:r>
    </w:p>
    <w:p>
      <w:pPr>
        <w:pStyle w:val="Normal"/>
        <w:rPr/>
      </w:pPr>
      <w:r>
        <w:rPr/>
        <w:t>The US Gulf Coast exported 86,000 b/d of fuel oil in 1998.  Gulf Coast exports consist mainly of medium- and high-sulfur material.  Surplus low-sulfur fuel oil tends to move to Florida.  Common export outlets for Gulf Coast fuel oil are Mexico, the Caribbean, Central America, and Eastern Canada.  At times, particularly when a coker or H-oil unit is shut down and exports surge, surplus Gulf Coast fuel oil may move all the way to Singapore.</w:t>
      </w:r>
    </w:p>
    <w:p>
      <w:pPr>
        <w:pStyle w:val="sfsub-1"/>
        <w:rPr/>
      </w:pPr>
      <w:r>
        <w:rPr/>
        <w:tab/>
        <w:t>US West Coast</w:t>
      </w:r>
    </w:p>
    <w:p>
      <w:pPr>
        <w:pStyle w:val="Normal"/>
        <w:rPr/>
      </w:pPr>
      <w:r>
        <w:rPr/>
        <w:t>The US West Coast exported about 40,000 b/d in 1998.  While Mexico is the primary destination for surplus West Coast fuel oil, the Far East is another outlet.  China, for example, took over 4,000 b/d in 1998.</w:t>
      </w:r>
    </w:p>
    <w:p>
      <w:pPr>
        <w:pStyle w:val="Subtitle"/>
        <w:rPr/>
      </w:pPr>
      <w:r>
        <w:rPr/>
        <w:t>South America</w:t>
      </w:r>
    </w:p>
    <w:p>
      <w:pPr>
        <w:pStyle w:val="Normal"/>
        <w:rPr/>
      </w:pPr>
      <w:r>
        <w:rPr/>
        <w:t xml:space="preserve">On an aggregate basis, the five key resid-exporting countries in South America —Venezuela, Colombia, Brazil, Ecuador, and Peru — exported about 321,000 b/d in 1998 </w:t>
      </w:r>
    </w:p>
    <w:p>
      <w:pPr>
        <w:pStyle w:val="sfsub-1"/>
        <w:rPr/>
      </w:pPr>
      <w:r>
        <w:rPr/>
        <w:tab/>
        <w:t>Venezuela</w:t>
      </w:r>
    </w:p>
    <w:p>
      <w:pPr>
        <w:pStyle w:val="Normal"/>
        <w:rPr/>
      </w:pPr>
      <w:r>
        <w:rPr/>
        <w:t>Venezuela exports about 185,000 b/d of fuel oil.  PDVSA primarily exports medium and high-sulfur fuel oil.  The main outlets are the US (East Coast and West Coast), Eastern Canada, and the Caribbean.  Venezuelan fuel oil serves inland and bunker uses on the US East Coast and the bunker market on the US West Coast.  It is used by the power industry in Eastern Canada.  Venezuelan fuel oil serves inland and bunker uses in the Caribbean.</w:t>
      </w:r>
    </w:p>
    <w:p>
      <w:pPr>
        <w:pStyle w:val="sfsub-1"/>
        <w:rPr/>
      </w:pPr>
      <w:r>
        <w:rPr/>
        <w:tab/>
        <w:t>Brazil</w:t>
      </w:r>
    </w:p>
    <w:p>
      <w:pPr>
        <w:pStyle w:val="Normal"/>
        <w:rPr/>
      </w:pPr>
      <w:r>
        <w:rPr/>
        <w:t>Reflecting a heavier crude slate and increased distillation capacity, Brazilian fuel oil exports jumped from 19,000 b/d in 1997 to 37,000 b/d in 1998.  Reflecting outages and reduced utilization of the new Paulinia 30,000 b/d coker, Brazil’s fuel oil exports are expected to average 45,000 b/d in 1999.</w:t>
      </w:r>
    </w:p>
    <w:p>
      <w:pPr>
        <w:pStyle w:val="Normal"/>
        <w:rPr>
          <w:b/>
          <w:bCs/>
        </w:rPr>
      </w:pPr>
      <w:r>
        <w:rPr>
          <w:b/>
          <w:bCs/>
        </w:rPr>
      </w:r>
    </w:p>
    <w:p>
      <w:pPr>
        <w:pStyle w:val="Normal"/>
        <w:rPr/>
      </w:pPr>
      <w:r>
        <w:rPr/>
        <w:t>Brazil exports both low-sulfur fuel oil and very low-sulfur fuel oil.  The fuel oil generally moves to the US East Coast directly and indirectly (after storage and blending in the Caribbean).  At times, Brazilian fuel oil also moves to Argentina.  State-owned Petrobras generally sells resid on a delivered basis.</w:t>
      </w:r>
    </w:p>
    <w:p>
      <w:pPr>
        <w:pStyle w:val="Normal"/>
        <w:rPr/>
      </w:pPr>
      <w:r>
        <w:rPr/>
      </w:r>
    </w:p>
    <w:p>
      <w:pPr>
        <w:pStyle w:val="sfsub-1"/>
        <w:rPr/>
      </w:pPr>
      <w:r>
        <w:rPr/>
        <w:tab/>
        <w:t>Colombia</w:t>
      </w:r>
    </w:p>
    <w:p>
      <w:pPr>
        <w:pStyle w:val="Normal"/>
        <w:rPr/>
      </w:pPr>
      <w:r>
        <w:rPr/>
        <w:t>Colombia’s Ecopetrol exports about 50,000 b/d of 1.5%S fuel oil.  Colombian fuel oil is sold on a spot, FOB basis with prices linked to 1%S New York Harbor quotations.</w:t>
      </w:r>
      <w:r>
        <w:rPr>
          <w:b/>
          <w:bCs/>
        </w:rPr>
        <w:t xml:space="preserve">  </w:t>
      </w:r>
      <w:r>
        <w:rPr/>
        <w:t>The main outlet for Colombia resid is the US East Coast (including Florida).</w:t>
      </w:r>
    </w:p>
    <w:p>
      <w:pPr>
        <w:pStyle w:val="Normal"/>
        <w:rPr>
          <w:b/>
          <w:bCs/>
        </w:rPr>
      </w:pPr>
      <w:r>
        <w:rPr>
          <w:b/>
          <w:bCs/>
        </w:rPr>
      </w:r>
    </w:p>
    <w:p>
      <w:pPr>
        <w:pStyle w:val="Normal"/>
        <w:rPr/>
      </w:pPr>
      <w:r>
        <w:rPr/>
        <w:t>In the near future, Ecopetrol plans to begin a blending operation designed to produce 1%S resid.  Initially, the company hopes to export 1-3 cargoes of 1%S material.  As part of the blending operation,  Ecopetrol will aim to raise the API gravity and lower the asphaltenes content of its fuel oil.</w:t>
      </w:r>
    </w:p>
    <w:p>
      <w:pPr>
        <w:pStyle w:val="sfsub-1"/>
        <w:rPr/>
      </w:pPr>
      <w:r>
        <w:rPr/>
        <w:tab/>
        <w:t>Ecuador</w:t>
      </w:r>
    </w:p>
    <w:p>
      <w:pPr>
        <w:pStyle w:val="Normal"/>
        <w:rPr/>
      </w:pPr>
      <w:r>
        <w:rPr/>
        <w:t xml:space="preserve">Petroecuador exported 30,000 b/d of 2.5%S fuel oil in 1998.  The state-owned company generally sells on a term, delivered basis.  The FOB component of the delivered price is based on 2.2%S New York Harbor quotations.  Ecuadorian fuel oil mainly stays on the western side of the Western Hemisphere.  Primary outlets are Central America, Mexico, and Chile. </w:t>
      </w:r>
    </w:p>
    <w:p>
      <w:pPr>
        <w:pStyle w:val="sfsub-1"/>
        <w:rPr/>
      </w:pPr>
      <w:r>
        <w:rPr/>
        <w:tab/>
        <w:t>Peru</w:t>
      </w:r>
    </w:p>
    <w:p>
      <w:pPr>
        <w:pStyle w:val="Normal"/>
        <w:rPr/>
      </w:pPr>
      <w:r>
        <w:rPr/>
        <w:t>Peru exported 24,000 b/d of 1.5%S fuel oil in 1998.  Exports derive almost entirely from La Pampilla refinery, owned by the Relapasa consortium.  Relapasa exports on a spot, FOB basis with prices tied to New York Harbor 1% S quotations.  Peruvian fuel oil tends to move to Mexico and the US East Coast.  Owing to lower crude runs, this year’s Peruvian resid exports have been running well below 1998 levels.</w:t>
      </w:r>
    </w:p>
    <w:p>
      <w:pPr>
        <w:pStyle w:val="Subtitle"/>
        <w:rPr/>
      </w:pPr>
      <w:r>
        <w:rPr/>
        <w:t>Caribbean</w:t>
      </w:r>
    </w:p>
    <w:p>
      <w:pPr>
        <w:pStyle w:val="Normal"/>
        <w:rPr/>
      </w:pPr>
      <w:r>
        <w:rPr/>
        <w:t>The four main resid-exporting islands in the Caribbean — the Virgin Islands, Curacao, Trinidad, and Aruba — export an estimated 177,000 b/d.</w:t>
      </w:r>
    </w:p>
    <w:p>
      <w:pPr>
        <w:pStyle w:val="sfsub-1"/>
        <w:rPr/>
      </w:pPr>
      <w:r>
        <w:rPr/>
        <w:tab/>
        <w:t>Virgin Islands</w:t>
      </w:r>
    </w:p>
    <w:p>
      <w:pPr>
        <w:pStyle w:val="Normal"/>
        <w:rPr/>
      </w:pPr>
      <w:r>
        <w:rPr/>
        <w:t>The 545,000 b/d St. Croix refinery exports about 60,000 b/d of fuel oil.  Exports are evenly split between medium-sulfur and low-sulfur (0.3%S-1.0%S) resid.  The US East Coast is the main outlet for Virgin Islands resid.  The refinery is jointly owned by Amerada Hess and PDVSA, which sells the bulk of its exportable surplus to Tosco for resale.</w:t>
      </w:r>
    </w:p>
    <w:p>
      <w:pPr>
        <w:pStyle w:val="sfsub-1"/>
        <w:rPr/>
      </w:pPr>
      <w:r>
        <w:rPr/>
        <w:tab/>
        <w:t>Curacao</w:t>
      </w:r>
    </w:p>
    <w:p>
      <w:pPr>
        <w:pStyle w:val="Normal"/>
        <w:rPr/>
      </w:pPr>
      <w:r>
        <w:rPr/>
        <w:t>Under a long-term lease, PDVSA processes crude oil at the 320,000 b/d Curacao refinery.  Of late, PDVSA has been exporting an estimated 50,000 b/d of high-sulfur fuel oil.  Curacao resid moves to the US East Coast, Eastern Canada, and the Caribbean.</w:t>
      </w:r>
    </w:p>
    <w:p>
      <w:pPr>
        <w:pStyle w:val="sfsub-1"/>
        <w:rPr/>
      </w:pPr>
      <w:r>
        <w:rPr/>
        <w:tab/>
        <w:t>Trinidad</w:t>
      </w:r>
    </w:p>
    <w:p>
      <w:pPr>
        <w:pStyle w:val="Normal"/>
        <w:rPr/>
      </w:pPr>
      <w:r>
        <w:rPr/>
        <w:t>State-owned Petrotrin exports about 37,000 b/d of 1.5-1.6%S fuel oil.  Fuel oil is exported on a term and spot basis.  The main destinations of Petrotrin’s resid are Puerto Rico and the US East Coast.  When PDVSA exercises processing rights at Petrotrin’s Pointe-a-Pierre refinery, Trinidad’s resid exports can rise by 5-10,000 b/d.</w:t>
      </w:r>
    </w:p>
    <w:p>
      <w:pPr>
        <w:pStyle w:val="Normal"/>
        <w:rPr/>
      </w:pPr>
      <w:r>
        <w:rPr/>
      </w:r>
    </w:p>
    <w:p>
      <w:pPr>
        <w:pStyle w:val="sfsub-1"/>
        <w:rPr/>
      </w:pPr>
      <w:r>
        <w:rPr/>
        <w:tab/>
        <w:t>Aruba</w:t>
      </w:r>
    </w:p>
    <w:p>
      <w:pPr>
        <w:pStyle w:val="Normal"/>
        <w:rPr/>
      </w:pPr>
      <w:r>
        <w:rPr/>
        <w:t>Coastal exports roughly 30,000 b/d of high-sulfur fuel oil from its 225,000 b/d Aruba refinery.  Aruba resid mainly moves to Florida and Panama for use in bunker markets.  Next year, Coastal plans to add a second delayed coker to its Aruba refinery.  Coastal also plans to increase capacity by 55,000 b/d to 280,000 b/d.  Following the refinery work, resid exports are expected to fall to about 15,000 b/d.</w:t>
      </w:r>
    </w:p>
    <w:p>
      <w:pPr>
        <w:pStyle w:val="Normal"/>
        <w:rPr>
          <w:b/>
          <w:bCs/>
        </w:rPr>
      </w:pPr>
      <w:r>
        <w:rPr>
          <w:b/>
          <w:bCs/>
        </w:rPr>
      </w:r>
    </w:p>
    <w:p>
      <w:pPr>
        <w:pStyle w:val="Normal"/>
        <w:jc w:val="center"/>
        <w:rPr>
          <w:b/>
          <w:bCs/>
        </w:rPr>
      </w:pPr>
      <w:r>
        <w:rPr>
          <w:b/>
          <w:bCs/>
        </w:rPr>
        <w:t>Imports</w:t>
      </w:r>
    </w:p>
    <w:p>
      <w:pPr>
        <w:pStyle w:val="Subtitle"/>
        <w:rPr/>
      </w:pPr>
      <w:r>
        <w:rPr/>
        <w:t>North America</w:t>
      </w:r>
    </w:p>
    <w:p>
      <w:pPr>
        <w:pStyle w:val="Normal"/>
        <w:rPr>
          <w:b/>
          <w:bCs/>
        </w:rPr>
      </w:pPr>
      <w:r>
        <w:rPr/>
        <w:t>The three main import areas of North America — Eastern Canada, the US East Coast, and Mexico — imported an aggregate 398,000 b/d of resid in 1998.</w:t>
      </w:r>
    </w:p>
    <w:p>
      <w:pPr>
        <w:pStyle w:val="sfsub-1"/>
        <w:rPr/>
      </w:pPr>
      <w:r>
        <w:rPr/>
        <w:tab/>
        <w:t>Eastern Canada</w:t>
      </w:r>
    </w:p>
    <w:p>
      <w:pPr>
        <w:pStyle w:val="Normal"/>
        <w:rPr/>
      </w:pPr>
      <w:r>
        <w:rPr/>
        <w:t>In recent years, Eastern Canada’s imports of fuel oil have nearly tripled.  Imports jumped from about 21,000 b/d in 1996 to 42,000 b/d in 1997 and then climbed to 61,000 b/d in 1998.</w:t>
      </w:r>
    </w:p>
    <w:p>
      <w:pPr>
        <w:pStyle w:val="Normal"/>
        <w:rPr/>
      </w:pPr>
      <w:r>
        <w:rPr/>
      </w:r>
    </w:p>
    <w:p>
      <w:pPr>
        <w:pStyle w:val="Normal"/>
        <w:rPr/>
      </w:pPr>
      <w:r>
        <w:rPr/>
        <w:t>To a large degree, the jump in imports reflected the swing role of fuel oil.  Ontario and New Brunswick experienced prolonged nuclear outages.  Hydropower faltered in Nova Scotia and Quebec.  Mine problems caused a reduction in Nova Scotia’s coal production.  Furthermore, relatively low fuel oil prices in 1998 enhanced resid’s ability to compete with other forms of energy.</w:t>
      </w:r>
    </w:p>
    <w:p>
      <w:pPr>
        <w:pStyle w:val="Normal"/>
        <w:rPr/>
      </w:pPr>
      <w:r>
        <w:rPr/>
      </w:r>
    </w:p>
    <w:p>
      <w:pPr>
        <w:pStyle w:val="Normal"/>
        <w:rPr/>
      </w:pPr>
      <w:r>
        <w:rPr/>
        <w:t>Within Eastern Canada, the Atlantic Provinces are the most dependent on fuel oil for power generation.  Future resid requirements in Nova Scotia and New Brunswick are likely to be reduced by incoming natural gas supply.  Nova Scotia Power, which imports 3.0%S fuel, plans to convert its 350 MW Tufts Cove plant to dual burning (natural gas/resid) by year-end 2000.  NB Power plans to convert its 250 MW Courtenay Bay plant, which mainly burns 2.8%S resid, to natural gas in 2001.</w:t>
      </w:r>
    </w:p>
    <w:p>
      <w:pPr>
        <w:pStyle w:val="sfsub-1"/>
        <w:rPr/>
      </w:pPr>
      <w:r>
        <w:rPr/>
        <w:tab/>
        <w:t>US East Coast</w:t>
      </w:r>
    </w:p>
    <w:p>
      <w:pPr>
        <w:pStyle w:val="Normal"/>
        <w:rPr/>
      </w:pPr>
      <w:r>
        <w:rPr/>
        <w:t>Fuel oil imports by the US East Coast surged by 73,000 b/d to 249,000 b/d in 1998.</w:t>
      </w:r>
    </w:p>
    <w:p>
      <w:pPr>
        <w:pStyle w:val="Normal"/>
        <w:rPr/>
      </w:pPr>
      <w:r>
        <w:rPr/>
      </w:r>
    </w:p>
    <w:p>
      <w:pPr>
        <w:pStyle w:val="Normal"/>
        <w:rPr/>
      </w:pPr>
      <w:r>
        <w:rPr/>
        <w:t>Given the limited resid production on the East Coast, fuel oil imports rose in response to markedly increased resid requirements by the power industry.  East Coast utilities needed fuel oil to meet strong electricity demand during an extraordinarily hot summer, particularly in Florida.  Furthermore, fuel oil prices were competitive with natural gas prices and, at times, even coal prices during 1998.  While generally avoiding high-sulfur fuel oil, US East Coast inland customers require a wide array of fuel oil grades, including 0.3%S maximum in the New York metropolitan area.  Sources of fuel oil for inland use include South America, the Caribbean, Eastern Canada, and Africa.</w:t>
      </w:r>
    </w:p>
    <w:p>
      <w:pPr>
        <w:pStyle w:val="Normal"/>
        <w:rPr/>
      </w:pPr>
      <w:r>
        <w:rPr/>
      </w:r>
    </w:p>
    <w:p>
      <w:pPr>
        <w:pStyle w:val="Normal"/>
        <w:rPr/>
      </w:pPr>
      <w:r>
        <w:rPr/>
        <w:t xml:space="preserve">In addition to imports for inland utility and industrial applications, imports are required on an ongoing basis to meet demand for marine bunkers.  The East Coast ports with the largest bunker sales are New York, Philadelphia, and Miami.  The main sources of imported resid supply for East Coast bunker operations are Eastern Canada, South America, and the Caribbean. </w:t>
      </w:r>
    </w:p>
    <w:p>
      <w:pPr>
        <w:pStyle w:val="Normal"/>
        <w:rPr/>
      </w:pPr>
      <w:r>
        <w:rPr/>
      </w:r>
    </w:p>
    <w:p>
      <w:pPr>
        <w:pStyle w:val="Normal"/>
        <w:rPr/>
      </w:pPr>
      <w:r>
        <w:rPr/>
        <w:t>The biggest utility consumer of fuel oil on the US East Coast, Florida Power &amp; Light, plans to dramatically increase its use of natural gas in the future. In the coming  years, resid-capable units at Fort Myers and Sanford will gradually be converted to natural gas-burning combined cycle units.  These repowerings are expected to lead to a substantial decline in FPL’s fuel oil consumption.  Florida Power &amp; Light consumed 112,000 b/d of oil in 1998.</w:t>
      </w:r>
    </w:p>
    <w:p>
      <w:pPr>
        <w:pStyle w:val="sfsub-1"/>
        <w:rPr/>
      </w:pPr>
      <w:r>
        <w:rPr/>
        <w:tab/>
        <w:t>Mexico</w:t>
      </w:r>
    </w:p>
    <w:p>
      <w:pPr>
        <w:pStyle w:val="Normal"/>
        <w:rPr/>
      </w:pPr>
      <w:r>
        <w:rPr/>
        <w:t>Mexican resid imports have risen dramatically in recent years.  Mexican resid imports doubled from 40,000 b/d in 1996 to 80,000 b/d in 1997 and then climbed to 91,000 b/d in 1998.  For the first seven months of this year, imports ran about 107,000 b/d, on a par with the like period of 1998.</w:t>
      </w:r>
    </w:p>
    <w:p>
      <w:pPr>
        <w:pStyle w:val="Normal"/>
        <w:rPr/>
      </w:pPr>
      <w:r>
        <w:rPr/>
      </w:r>
    </w:p>
    <w:p>
      <w:pPr>
        <w:pStyle w:val="Normal"/>
        <w:rPr/>
      </w:pPr>
      <w:r>
        <w:rPr/>
        <w:t>In large measure, the expanded level of imports reflects several years of reduced hydropower output.  This year, there has been the added factor of reduced fuel oil production.  Part and parcel of Mexico’s refinery upgrading program, one of the crude distillation units at the Cadereyta refinery was shut down in early 1999.</w:t>
      </w:r>
    </w:p>
    <w:p>
      <w:pPr>
        <w:pStyle w:val="Normal"/>
        <w:rPr/>
      </w:pPr>
      <w:r>
        <w:rPr/>
      </w:r>
    </w:p>
    <w:p>
      <w:pPr>
        <w:pStyle w:val="Normal"/>
        <w:rPr/>
      </w:pPr>
      <w:r>
        <w:rPr/>
        <w:t>Mexico tends to import high-sulfur fuel oil for its east coast requirements and medium- and high-sulfur fuel for west coast usage.  A key source of fuel oil for Mexico’s east coast is the US Gulf Coast.  Sources of fuel oil for the Mexican west coast include South America and the US West Coast.</w:t>
      </w:r>
    </w:p>
    <w:p>
      <w:pPr>
        <w:pStyle w:val="Subtitle"/>
        <w:rPr/>
      </w:pPr>
      <w:r>
        <w:rPr/>
        <w:t>Caribbean</w:t>
      </w:r>
    </w:p>
    <w:p>
      <w:pPr>
        <w:pStyle w:val="Normal"/>
        <w:rPr/>
      </w:pPr>
      <w:r>
        <w:rPr/>
        <w:t>Within the Caribbean, I will restrict my comments to five islands — Puerto Rico, Cuba, Jamaica, Bahamas, and the Dominican Republic.  On an aggregate basis, the five islands imported about 145,000 b/d of fuel oil in 1998.</w:t>
      </w:r>
    </w:p>
    <w:p>
      <w:pPr>
        <w:pStyle w:val="sfsub-1"/>
        <w:rPr/>
      </w:pPr>
      <w:r>
        <w:rPr/>
        <w:tab/>
        <w:t>Puerto Rico</w:t>
      </w:r>
    </w:p>
    <w:p>
      <w:pPr>
        <w:pStyle w:val="Normal"/>
        <w:rPr/>
      </w:pPr>
      <w:r>
        <w:rPr/>
        <w:t>Until the recent startup of Caribbean Petroleum Corp.’s 50,000 b/d refinery at Bayamon, Puerto Rico had been importing about 76,000 b/d.  With the Bayamon refinery supplying about 6,000 b/d of fuel oil to Puerto Rican customers, imports have declined to about 70,000 b/d.  By far, the main user of imported resid in Puerto Rico is the Puerto Rico Electric Power Authority (Prepa).  The utility burns about 73,000 b/d of 1.5%S fuel oil.  Imports are also required for a Phillips’ petrochemical plant at Guayama.  Philips burns about 5,000 b/d of 1.5%S resid.  Sources of Puerto Rico’s fuel oil imports include Trinidad, Venezuela, and Colombia.</w:t>
      </w:r>
    </w:p>
    <w:p>
      <w:pPr>
        <w:pStyle w:val="sfsub-1"/>
        <w:rPr/>
      </w:pPr>
      <w:r>
        <w:rPr/>
        <w:tab/>
        <w:t>Cuba</w:t>
      </w:r>
    </w:p>
    <w:p>
      <w:pPr>
        <w:pStyle w:val="Normal"/>
        <w:rPr/>
      </w:pPr>
      <w:r>
        <w:rPr/>
        <w:t>Cuba imports about 30,000 b/d of high-sulfur fuel oil.  In addition to power generation, resid imports are required for nickel production and sugar manufacture.  Under term contracts, Cuba receives fuel oil on a delivered basis in exchange for nickel or sugar.  The value of the fuel oil is based on US Gulf Coast quotations for 3%S fuel oil.  Delivery is generally in 50,000-ton lots from Caribbean sources and 80,000-ton lots from Mediterranean sources.</w:t>
      </w:r>
    </w:p>
    <w:p>
      <w:pPr>
        <w:pStyle w:val="sfsub-1"/>
        <w:rPr/>
      </w:pPr>
      <w:r>
        <w:rPr/>
        <w:tab/>
        <w:t>Jamaica</w:t>
      </w:r>
    </w:p>
    <w:p>
      <w:pPr>
        <w:pStyle w:val="Normal"/>
        <w:rPr/>
      </w:pPr>
      <w:r>
        <w:rPr/>
        <w:t xml:space="preserve">Of the roughly 25,000 b/d of fuel oil imported by Jamaica, the alumina industry accounts for about 20,000 b/d.  Alumina plants in Jamaica are owned by Alcoa, Alcan, and Alpart (a 65-35 joint venture of Kaiser and Hydro Aluminum of Norway).  They burn high-sulfur fuel oil.  The material tends to come from the US Gulf Coast. </w:t>
      </w:r>
    </w:p>
    <w:p>
      <w:pPr>
        <w:pStyle w:val="Normal"/>
        <w:rPr/>
      </w:pPr>
      <w:r>
        <w:rPr/>
      </w:r>
    </w:p>
    <w:p>
      <w:pPr>
        <w:pStyle w:val="Normal"/>
        <w:rPr/>
      </w:pPr>
      <w:r>
        <w:rPr/>
        <w:t>Petrojam accounts for the remaining 5,000 b/d of imports.  Among Petrojam’s clients are two independent power projects which burn 2.2%S resid.  Jamaica Energy Partners has a 76 MW barge-mounted plant which burns about 60,000 barrels of resid a month.  Jamaica Private Power has a 60 MW plant at Kingston which requires 50-60,000 barrels a month of fuel oil.</w:t>
      </w:r>
    </w:p>
    <w:p>
      <w:pPr>
        <w:pStyle w:val="sfsub-1"/>
        <w:rPr/>
      </w:pPr>
      <w:r>
        <w:rPr/>
        <w:tab/>
        <w:t>Bahamas</w:t>
      </w:r>
    </w:p>
    <w:p>
      <w:pPr>
        <w:pStyle w:val="Normal"/>
        <w:rPr/>
      </w:pPr>
      <w:r>
        <w:rPr/>
        <w:t xml:space="preserve">The Bahamas imported an estimated 12,000 b/d of fuel oil in 1998.  About three-fifths of resid imports are used in the Freeport bunker business.  The bunker operation, which is geared to oil tankers on transatlantic voyages, offers barge and ex-pipe delivery.  Fuel oil is mainly sourced from Venezuela, with cutter stock coming from Venezuela, the US Gulf Coast, and Borco clients. </w:t>
      </w:r>
    </w:p>
    <w:p>
      <w:pPr>
        <w:pStyle w:val="Normal"/>
        <w:rPr/>
      </w:pPr>
      <w:r>
        <w:rPr/>
      </w:r>
    </w:p>
    <w:p>
      <w:pPr>
        <w:pStyle w:val="Normal"/>
        <w:rPr/>
      </w:pPr>
      <w:r>
        <w:rPr/>
        <w:t>In addition to the bunker business, two electric utilities require imported fuel oil.  The Bahamas Electricity Corp. requires about 900,000 barrels a year of 1.5%S fuel oil and Freeport Power Co. about 700,000 barrels a year of medium- or high-sulfur fuel oil.  In both cases, prices are tied to Gulf Coast quotations.</w:t>
      </w:r>
    </w:p>
    <w:p>
      <w:pPr>
        <w:pStyle w:val="sfsub-1"/>
        <w:rPr/>
      </w:pPr>
      <w:r>
        <w:rPr/>
        <w:tab/>
        <w:t>Dominican Republic</w:t>
      </w:r>
    </w:p>
    <w:p>
      <w:pPr>
        <w:pStyle w:val="Normal"/>
        <w:rPr/>
      </w:pPr>
      <w:r>
        <w:rPr/>
        <w:t>In 1998, the Dominican Republic imported 11,000 b/d of medium- and high-sulfur fuel oil.  Importers include a local refiner, independent power projects, and a sugar producer.  Fuel oil is delivered by barge and small ocean-going vessel.  Sources of resid are Venezuela, Trinidad, and Aruba.  Depending on the buyer, prices are based on either US Gulf Coast or US East Coast prices.</w:t>
      </w:r>
    </w:p>
    <w:p>
      <w:pPr>
        <w:pStyle w:val="Normal"/>
        <w:rPr/>
      </w:pPr>
      <w:r>
        <w:rPr/>
      </w:r>
    </w:p>
    <w:p>
      <w:pPr>
        <w:pStyle w:val="Normal"/>
        <w:rPr/>
      </w:pPr>
      <w:r>
        <w:rPr/>
        <w:t>Both Coastal and Enron have independent power projects at Puerto Plata.  Coastal’s barge-mounted and land-based 67 MW plant burns about 45,000 barrels a month of imported 2.2%S resid.  In addition to diesel oil, Enron’s 185 MW barge-mounted plant requires about 100,000 barrels a month of imported 2.2%S resid.</w:t>
      </w:r>
    </w:p>
    <w:p>
      <w:pPr>
        <w:pStyle w:val="Subtitle"/>
        <w:rPr/>
      </w:pPr>
      <w:r>
        <w:rPr/>
        <w:t>Central America</w:t>
      </w:r>
    </w:p>
    <w:p>
      <w:pPr>
        <w:pStyle w:val="Normal"/>
        <w:rPr/>
      </w:pPr>
      <w:r>
        <w:rPr/>
        <w:t>Central America imported roughly 44,000 b/d of fuel oil in 1998.</w:t>
      </w:r>
    </w:p>
    <w:p>
      <w:pPr>
        <w:pStyle w:val="sfsub-1"/>
        <w:rPr/>
      </w:pPr>
      <w:r>
        <w:rPr/>
        <w:tab/>
        <w:t>Panama</w:t>
      </w:r>
    </w:p>
    <w:p>
      <w:pPr>
        <w:pStyle w:val="Normal"/>
        <w:rPr/>
      </w:pPr>
      <w:r>
        <w:rPr/>
        <w:t>Reflecting its sizable bunker business, Panama is the largest importer of fuel oil in Central America.  In addition to the supply of 14,000 b/d from the local refinery, the Panama bunker market required an estimated 19,000 b/d of fuel oil from the world market in 1998.  While imports for bunker operations on the Pacific coast come largely from Ecuador, imports for the Caribbean coast tend to come from Venezuela, the Caribbean, and the US Gulf Coast.</w:t>
      </w:r>
    </w:p>
    <w:p>
      <w:pPr>
        <w:pStyle w:val="Normal"/>
        <w:rPr/>
      </w:pPr>
      <w:r>
        <w:rPr/>
      </w:r>
    </w:p>
    <w:p>
      <w:pPr>
        <w:pStyle w:val="Normal"/>
        <w:rPr/>
      </w:pPr>
      <w:r>
        <w:rPr/>
        <w:t>Meanwhile, a new independent power project is adding to Panama’s import requirements.  Pam Am Generating plans to bring into operation a 96 MW power plant in two stages by year-end 1999.  The plant, located at Chorrea on the Pacific side, burns 2%S resid.</w:t>
      </w:r>
    </w:p>
    <w:p>
      <w:pPr>
        <w:pStyle w:val="sfsub-1"/>
        <w:rPr/>
      </w:pPr>
      <w:r>
        <w:rPr/>
        <w:tab/>
        <w:t>Costa Rica</w:t>
      </w:r>
    </w:p>
    <w:p>
      <w:pPr>
        <w:pStyle w:val="Normal"/>
        <w:rPr/>
      </w:pPr>
      <w:r>
        <w:rPr/>
        <w:t>In an aberration from past practice, Costa Rica imported almost 6,000 b/d of fuel oil in 1998.  While generally self-sufficient in fuel oil, the closure of its sole refinery in early 1998 forced Costa Rica to turn to imports.  The refinery is being expanded and upgraded.  Since the closure of the plant, PDVSA has been supplying two grades of fuel oil — high-viscosity 3.0%S fuel oil to meet inland requirements and IFO 380 for marine requirements.</w:t>
      </w:r>
    </w:p>
    <w:p>
      <w:pPr>
        <w:pStyle w:val="sfsub-1"/>
        <w:rPr/>
      </w:pPr>
      <w:r>
        <w:rPr/>
        <w:tab/>
        <w:t>Others</w:t>
      </w:r>
    </w:p>
    <w:p>
      <w:pPr>
        <w:pStyle w:val="Normal"/>
        <w:rPr/>
      </w:pPr>
      <w:r>
        <w:rPr/>
        <w:t>Other Central American countries imported an aggregate 19,000 b/d of fuel oil in 1998.</w:t>
      </w:r>
    </w:p>
    <w:p>
      <w:pPr>
        <w:pStyle w:val="Normal"/>
        <w:rPr/>
      </w:pPr>
      <w:r>
        <w:rPr/>
      </w:r>
    </w:p>
    <w:p>
      <w:pPr>
        <w:pStyle w:val="Normal"/>
        <w:rPr/>
      </w:pPr>
      <w:r>
        <w:rPr/>
        <w:t xml:space="preserve">Guatemala accounted for 10,000 b/d.  An independent power project at Puerto Quetzal, on Guatemala’s Pacific coast requires nearly 3,000 b/d of imported resid.  The 110 MW plant, owned in part by Enron, consists of 20 diesel-engine generator sets mounted on two barges.  The plant burns 2%S imported fuel oil.  </w:t>
      </w:r>
    </w:p>
    <w:p>
      <w:pPr>
        <w:pStyle w:val="Normal"/>
        <w:rPr/>
      </w:pPr>
      <w:r>
        <w:rPr/>
      </w:r>
    </w:p>
    <w:p>
      <w:pPr>
        <w:pStyle w:val="Normal"/>
        <w:rPr/>
      </w:pPr>
      <w:r>
        <w:rPr/>
        <w:t xml:space="preserve">El Salvador imported 4,000 b/d of resid in 1998.  Coastal’s independent power project at Nejapa burns about 110,000 barrels a month of imported 3%S fuel oil. Fuel oil for the 144 MW plant is delivered to Acajutla. </w:t>
      </w:r>
    </w:p>
    <w:p>
      <w:pPr>
        <w:pStyle w:val="Normal"/>
        <w:rPr/>
      </w:pPr>
      <w:r>
        <w:rPr/>
      </w:r>
    </w:p>
    <w:p>
      <w:pPr>
        <w:pStyle w:val="Normal"/>
        <w:rPr/>
      </w:pPr>
      <w:r>
        <w:rPr/>
        <w:t>Honduras imported 5,000 b/d of fuel oil in 1998.  A key Honduran importer is an independent power project developed and operated by Wärtsilä.  The 80 MW plant at Puerto Cortes on the Caribbean coast burns 2.5%S imported fuel oil.</w:t>
      </w:r>
    </w:p>
    <w:p>
      <w:pPr>
        <w:pStyle w:val="Subtitle"/>
        <w:rPr/>
      </w:pPr>
      <w:r>
        <w:rPr/>
        <w:t>South America</w:t>
      </w:r>
    </w:p>
    <w:p>
      <w:pPr>
        <w:pStyle w:val="Normal"/>
        <w:rPr/>
      </w:pPr>
      <w:r>
        <w:rPr/>
        <w:t>While South America exports vastly more fuel oil than it imports, I would like to briefly comment on fuel oil imports by two countries — Argentina and Chile.</w:t>
      </w:r>
    </w:p>
    <w:p>
      <w:pPr>
        <w:pStyle w:val="sfsub-1"/>
        <w:rPr/>
      </w:pPr>
      <w:r>
        <w:rPr/>
        <w:tab/>
        <w:t>Argentina</w:t>
      </w:r>
    </w:p>
    <w:p>
      <w:pPr>
        <w:pStyle w:val="Normal"/>
        <w:rPr/>
      </w:pPr>
      <w:r>
        <w:rPr/>
        <w:t xml:space="preserve">In recent years, Argentina has generally required minimal fuel oil imports.  However, in mid-1999 electric utilities turned to fuel oil to meet energy requirements when faced with reduced hydropower output and interruptions in natural gas supply.  With local fuel oil supply insufficient to meet utility requirements, low-sulfur fuel oil was imported. </w:t>
      </w:r>
    </w:p>
    <w:p>
      <w:pPr>
        <w:pStyle w:val="Normal"/>
        <w:rPr/>
      </w:pPr>
      <w:r>
        <w:rPr/>
      </w:r>
    </w:p>
    <w:p>
      <w:pPr>
        <w:pStyle w:val="Normal"/>
        <w:rPr/>
      </w:pPr>
      <w:r>
        <w:rPr/>
        <w:t>We estimate that Argentina imported an aggregate 350,000 tons of fuel oil in June and July 1999.  Much of the material came from Brazil.  Argentine utilities buy imported fuel oil on a delivered basis.  Prices are linked to New York Harbor 1%S quotations.</w:t>
      </w:r>
    </w:p>
    <w:p>
      <w:pPr>
        <w:pStyle w:val="sfsub-1"/>
        <w:rPr/>
      </w:pPr>
      <w:r>
        <w:rPr/>
        <w:tab/>
        <w:t>Chile</w:t>
      </w:r>
    </w:p>
    <w:p>
      <w:pPr>
        <w:pStyle w:val="Normal"/>
        <w:rPr/>
      </w:pPr>
      <w:r>
        <w:rPr/>
        <w:t>In recent years, Chile has imported about 7,000 b/d of fuel oil.  The average import level for 1999, however, should exceed that level.  Earlier this year, drought conditions caused a sharp fall in hydropower output.  Imports of both diesel and fuel oil rose to meet electricity requirements in the face of lost hydropower.  Imported fuel oil was restricted to 2.5%S maximum and 300 ppm vanadium maximum.</w:t>
      </w:r>
    </w:p>
    <w:p>
      <w:pPr>
        <w:pStyle w:val="Normal"/>
        <w:rPr/>
      </w:pPr>
      <w:r>
        <w:rPr/>
      </w:r>
    </w:p>
    <w:p>
      <w:pPr>
        <w:pStyle w:val="Normal"/>
        <w:rPr/>
      </w:pPr>
      <w:r>
        <w:rPr/>
        <w:t>While the drought has apparently ended, a new Chilean bunkering operation recently began importing fuel oil.  The bunkering venture, located at Puerto Ventanas, is owned mainly by Santiago-based Gener.  The operation will produce merchant IFO from imported blendstocks (including high-viscosity fuel oil).  The first shipment of blendstocks arrived in mid-August.</w:t>
      </w:r>
    </w:p>
    <w:p>
      <w:pPr>
        <w:pStyle w:val="Subtitle"/>
        <w:rPr/>
      </w:pPr>
      <w:r>
        <w:rPr/>
        <w:t>Conclusion</w:t>
      </w:r>
    </w:p>
    <w:p>
      <w:pPr>
        <w:pStyle w:val="Normal"/>
        <w:rPr/>
      </w:pPr>
      <w:r>
        <w:rPr/>
        <w:t>In today’s address, I have undertaken a search for key trading patterns of fuel oil in the Western Hemisphere.  Through an examination of exports and imports, I have tried to support five propositions:</w:t>
      </w:r>
    </w:p>
    <w:p>
      <w:pPr>
        <w:pStyle w:val="Normal"/>
        <w:rPr/>
      </w:pPr>
      <w:r>
        <w:rPr/>
      </w:r>
    </w:p>
    <w:p>
      <w:pPr>
        <w:pStyle w:val="bullet"/>
        <w:numPr>
          <w:ilvl w:val="0"/>
          <w:numId w:val="2"/>
        </w:numPr>
        <w:tabs>
          <w:tab w:val="clear" w:pos="720"/>
          <w:tab w:val="left" w:pos="0" w:leader="none"/>
        </w:tabs>
        <w:ind w:hanging="720" w:start="720"/>
        <w:rPr/>
      </w:pPr>
      <w:r>
        <w:rPr/>
        <w:t>Most fuel oil trade in the Western Hemisphere is intra-hemispheric;</w:t>
      </w:r>
    </w:p>
    <w:p>
      <w:pPr>
        <w:pStyle w:val="bullet"/>
        <w:numPr>
          <w:ilvl w:val="0"/>
          <w:numId w:val="2"/>
        </w:numPr>
        <w:tabs>
          <w:tab w:val="clear" w:pos="720"/>
          <w:tab w:val="left" w:pos="0" w:leader="none"/>
        </w:tabs>
        <w:ind w:hanging="720" w:start="720"/>
        <w:rPr/>
      </w:pPr>
      <w:r>
        <w:rPr/>
        <w:t>While North America is by far the largest import area in the Western Hemisphere, there is also a substantial amount of resid imported by Caribbean Islands and a modest amount of resid flowing into Central America;</w:t>
      </w:r>
    </w:p>
    <w:p>
      <w:pPr>
        <w:pStyle w:val="bullet"/>
        <w:numPr>
          <w:ilvl w:val="0"/>
          <w:numId w:val="2"/>
        </w:numPr>
        <w:tabs>
          <w:tab w:val="clear" w:pos="720"/>
          <w:tab w:val="left" w:pos="0" w:leader="none"/>
        </w:tabs>
        <w:ind w:hanging="720" w:start="720"/>
        <w:rPr/>
      </w:pPr>
      <w:r>
        <w:rPr/>
        <w:t>While South America is the major exporting region in the Western Hemisphere, there are also significant export flows from both North America and the Caribbean Islands;</w:t>
      </w:r>
    </w:p>
    <w:p>
      <w:pPr>
        <w:pStyle w:val="bullet"/>
        <w:numPr>
          <w:ilvl w:val="0"/>
          <w:numId w:val="2"/>
        </w:numPr>
        <w:tabs>
          <w:tab w:val="clear" w:pos="720"/>
          <w:tab w:val="left" w:pos="0" w:leader="none"/>
        </w:tabs>
        <w:ind w:hanging="720" w:start="720"/>
        <w:rPr/>
      </w:pPr>
      <w:r>
        <w:rPr/>
        <w:t>While Western Hemisphere resid imports are subject to wide fluctuations owing to the swing role of fuel oil in the power industry, export flows are subject to wide changes owing to outages of sophisticated refinery upgrading units; and</w:t>
      </w:r>
    </w:p>
    <w:p>
      <w:pPr>
        <w:pStyle w:val="bullet"/>
        <w:numPr>
          <w:ilvl w:val="0"/>
          <w:numId w:val="2"/>
        </w:numPr>
        <w:tabs>
          <w:tab w:val="clear" w:pos="720"/>
          <w:tab w:val="left" w:pos="0" w:leader="none"/>
        </w:tabs>
        <w:ind w:hanging="720" w:start="720"/>
        <w:rPr/>
      </w:pPr>
      <w:r>
        <w:rPr/>
        <w:t>While independent power projects are adding to import requirements in the Caribbean and Central American regions, rising usage of natural gas in the North American power industry should lead to reduced requirements for imported fuel oil.</w:t>
      </w:r>
    </w:p>
    <w:p>
      <w:pPr>
        <w:pStyle w:val="Normal"/>
        <w:rPr/>
      </w:pPr>
      <w:r>
        <w:rPr/>
        <w:t>In broad terms, I have presented a view of contemporary resid trading patterns in the Western Hemisphere.  But the fuel oil market is anything but static.  Any assessment of future trading patterns would have to take into account a number of the dynamic elements highlighted in today’s snapshot.</w:t>
      </w:r>
    </w:p>
    <w:sectPr>
      <w:headerReference w:type="default" r:id="rId17"/>
      <w:footerReference w:type="default" r:id="rId18"/>
      <w:type w:val="nextPage"/>
      <w:pgSz w:w="12240" w:h="15840"/>
      <w:pgMar w:left="1440" w:right="1440" w:gutter="0" w:header="576" w:top="1152" w:footer="576" w:bottom="1152"/>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Times New Roman">
    <w:charset w:val="01"/>
    <w:family w:val="roman"/>
    <w:pitch w:val="variable"/>
  </w:font>
  <w:font w:name="Helvetica">
    <w:altName w:val="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Lines/>
      <w:pBdr>
        <w:top w:val="single" w:sz="6" w:space="1" w:color="000000"/>
        <w:left w:val="single" w:sz="6" w:space="1" w:color="000000"/>
        <w:bottom w:val="single" w:sz="6" w:space="1" w:color="000000"/>
        <w:right w:val="single" w:sz="6" w:space="1" w:color="000000"/>
      </w:pBdr>
      <w:spacing w:lineRule="atLeast" w:line="160"/>
      <w:rPr>
        <w:sz w:val="16"/>
        <w:szCs w:val="16"/>
      </w:rPr>
    </w:pPr>
    <w:r>
      <w:rPr>
        <w:sz w:val="16"/>
        <w:szCs w:val="16"/>
      </w:rPr>
      <w:t>Pursuant to the subscription order, this report and the contents thereof shall be held in strictest confidence by, and solely for the internal use of, the subscriber, its officers and employees, and for no other purpose.  No part of this report issued by Poten may be reproduced in whole or in part, or stored in a retrieval system, or transmitted in any form or by any means, electronic, mechanical, photocopying, recording or otherwise, without permission of Poten.  Copyright 1999 by Poten &amp; Partners, Inc.</w:t>
    </w:r>
  </w:p>
  <w:p>
    <w:pPr>
      <w:pStyle w:val="Footer"/>
      <w:rPr>
        <w:sz w:val="16"/>
        <w:szCs w:val="16"/>
      </w:rPr>
    </w:pPr>
    <w:r>
      <w:rPr>
        <w:sz w:val="16"/>
        <w:szCs w:val="16"/>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3" w:color="000000"/>
      </w:pBdr>
      <w:tabs>
        <w:tab w:val="clear" w:pos="720"/>
        <w:tab w:val="decimal" w:pos="4680" w:leader="none"/>
        <w:tab w:val="right" w:pos="9360" w:leader="none"/>
      </w:tabs>
      <w:spacing w:lineRule="exact" w:line="200" w:before="240" w:after="0"/>
      <w:rPr/>
    </w:pPr>
    <w:r>
      <w:rPr>
        <w:sz w:val="20"/>
        <w:szCs w:val="20"/>
      </w:rPr>
      <w:t>Poten &amp; Partners, Inc.</w:t>
      <w:tab/>
    </w:r>
    <w:r>
      <w:rPr>
        <w:sz w:val="20"/>
        <w:szCs w:val="20"/>
      </w:rPr>
      <w:fldChar w:fldCharType="begin"/>
    </w:r>
    <w:r>
      <w:rPr>
        <w:sz w:val="20"/>
        <w:szCs w:val="20"/>
      </w:rPr>
      <w:instrText xml:space="preserve"> PAGE \* ARABIC </w:instrText>
    </w:r>
    <w:r>
      <w:rPr>
        <w:sz w:val="20"/>
        <w:szCs w:val="20"/>
      </w:rPr>
      <w:fldChar w:fldCharType="separate"/>
    </w:r>
    <w:r>
      <w:rPr>
        <w:sz w:val="20"/>
        <w:szCs w:val="20"/>
      </w:rPr>
      <w:t>8</w:t>
    </w:r>
    <w:r>
      <w:rPr>
        <w:sz w:val="20"/>
        <w:szCs w:val="20"/>
      </w:rPr>
      <w:fldChar w:fldCharType="end"/>
    </w:r>
    <w:r>
      <w:rPr>
        <w:sz w:val="20"/>
        <w:szCs w:val="20"/>
      </w:rPr>
      <w:tab/>
      <w:t>September 1999</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6" w:space="3" w:color="000000"/>
      </w:pBdr>
      <w:spacing w:lineRule="exact" w:line="240" w:before="0" w:after="240"/>
      <w:jc w:val="center"/>
      <w:rPr>
        <w:sz w:val="20"/>
        <w:szCs w:val="20"/>
      </w:rPr>
    </w:pPr>
    <w:r>
      <w:rPr>
        <w:sz w:val="20"/>
        <w:szCs w:val="20"/>
      </w:rPr>
      <w:t>Fuel Oil in World Markets©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spacing w:lineRule="exact" w:line="240" w:before="120" w:after="0"/>
      <w:jc w:val="center"/>
      <w:outlineLvl w:val="0"/>
    </w:pPr>
    <w:rPr/>
  </w:style>
  <w:style w:type="paragraph" w:styleId="Heading2">
    <w:name w:val="heading 2"/>
    <w:basedOn w:val="Normal"/>
    <w:next w:val="Normal"/>
    <w:qFormat/>
    <w:pPr>
      <w:keepNext w:val="true"/>
      <w:numPr>
        <w:ilvl w:val="1"/>
        <w:numId w:val="1"/>
      </w:numPr>
      <w:spacing w:before="240" w:after="0"/>
      <w:outlineLvl w:val="1"/>
    </w:pPr>
    <w:rPr>
      <w:b/>
      <w:bCs/>
    </w:rPr>
  </w:style>
  <w:style w:type="paragraph" w:styleId="Heading3">
    <w:name w:val="heading 3"/>
    <w:basedOn w:val="Normal"/>
    <w:next w:val="Normal"/>
    <w:qFormat/>
    <w:pPr>
      <w:keepNext w:val="true"/>
      <w:numPr>
        <w:ilvl w:val="2"/>
        <w:numId w:val="1"/>
      </w:numPr>
      <w:spacing w:before="400" w:after="240"/>
      <w:outlineLvl w:val="2"/>
    </w:pPr>
    <w:rPr>
      <w:b/>
      <w:bCs/>
    </w:rPr>
  </w:style>
  <w:style w:type="paragraph" w:styleId="Heading4">
    <w:name w:val="heading 4"/>
    <w:basedOn w:val="Normal"/>
    <w:next w:val="Normal"/>
    <w:qFormat/>
    <w:pPr>
      <w:numPr>
        <w:ilvl w:val="3"/>
        <w:numId w:val="1"/>
      </w:numPr>
      <w:tabs>
        <w:tab w:val="clear" w:pos="720"/>
        <w:tab w:val="left" w:pos="1440" w:leader="none"/>
      </w:tabs>
      <w:jc w:val="center"/>
      <w:outlineLvl w:val="3"/>
    </w:pPr>
    <w:rPr>
      <w:b/>
      <w:bCs/>
    </w:rPr>
  </w:style>
  <w:style w:type="paragraph" w:styleId="Heading5">
    <w:name w:val="heading 5"/>
    <w:basedOn w:val="Normal"/>
    <w:next w:val="Normal"/>
    <w:qFormat/>
    <w:pPr>
      <w:numPr>
        <w:ilvl w:val="4"/>
        <w:numId w:val="1"/>
      </w:numPr>
      <w:spacing w:before="240" w:after="60"/>
      <w:outlineLvl w:val="4"/>
    </w:pPr>
    <w:rPr>
      <w:sz w:val="22"/>
      <w:szCs w:val="22"/>
    </w:rPr>
  </w:style>
  <w:style w:type="paragraph" w:styleId="Heading6">
    <w:name w:val="heading 6"/>
    <w:basedOn w:val="Normal"/>
    <w:next w:val="Normal"/>
    <w:qFormat/>
    <w:pPr>
      <w:numPr>
        <w:ilvl w:val="5"/>
        <w:numId w:val="1"/>
      </w:numPr>
      <w:spacing w:before="0" w:after="240"/>
      <w:jc w:val="center"/>
      <w:outlineLvl w:val="5"/>
    </w:pPr>
    <w:rPr/>
  </w:style>
  <w:style w:type="paragraph" w:styleId="Heading7">
    <w:name w:val="heading 7"/>
    <w:basedOn w:val="Normal"/>
    <w:next w:val="Normal"/>
    <w:qFormat/>
    <w:pPr>
      <w:keepNext w:val="true"/>
      <w:numPr>
        <w:ilvl w:val="6"/>
        <w:numId w:val="1"/>
      </w:numPr>
      <w:spacing w:lineRule="auto" w:line="480"/>
      <w:jc w:val="center"/>
      <w:outlineLvl w:val="6"/>
    </w:pPr>
    <w:rPr>
      <w:b/>
      <w:bCs/>
      <w:sz w:val="20"/>
      <w:szCs w:val="20"/>
    </w:rPr>
  </w:style>
  <w:style w:type="paragraph" w:styleId="Heading8">
    <w:name w:val="heading 8"/>
    <w:basedOn w:val="Normal"/>
    <w:next w:val="Normal"/>
    <w:qFormat/>
    <w:pPr>
      <w:keepNext w:val="true"/>
      <w:numPr>
        <w:ilvl w:val="7"/>
        <w:numId w:val="1"/>
      </w:numPr>
      <w:spacing w:lineRule="auto" w:line="480"/>
      <w:ind w:firstLine="720" w:start="0" w:end="0"/>
      <w:outlineLvl w:val="7"/>
    </w:pPr>
    <w:rPr>
      <w:b/>
      <w:bCs/>
    </w:rPr>
  </w:style>
  <w:style w:type="character" w:styleId="DefaultParagraphFont">
    <w:name w:val="Default Paragraph Font"/>
    <w:qFormat/>
    <w:rPr/>
  </w:style>
  <w:style w:type="character" w:styleId="PageNumber">
    <w:name w:val="page number"/>
    <w:basedOn w:val="DefaultParagraphFont"/>
    <w:rPr/>
  </w:style>
  <w:style w:type="character" w:styleId="AnnotationReference">
    <w:name w:val="Annotation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TOC2"/>
    <w:pPr>
      <w:spacing w:before="240" w:after="240"/>
      <w:jc w:val="center"/>
    </w:pPr>
    <w:rPr/>
  </w:style>
  <w:style w:type="paragraph" w:styleId="TOC2">
    <w:name w:val="toc 2"/>
    <w:basedOn w:val="Normal"/>
    <w:next w:val="Normal"/>
    <w:pPr>
      <w:tabs>
        <w:tab w:val="clear" w:pos="720"/>
        <w:tab w:val="right" w:pos="9360" w:leader="dot"/>
      </w:tabs>
      <w:ind w:hanging="0" w:start="240" w:end="0"/>
    </w:pPr>
    <w:rPr/>
  </w:style>
  <w:style w:type="paragraph" w:styleId="TOC3">
    <w:name w:val="toc 3"/>
    <w:basedOn w:val="Normal"/>
    <w:next w:val="Normal"/>
    <w:pPr>
      <w:tabs>
        <w:tab w:val="clear" w:pos="720"/>
        <w:tab w:val="right" w:pos="9360" w:leader="dot"/>
      </w:tabs>
    </w:pPr>
    <w:rPr/>
  </w:style>
  <w:style w:type="paragraph" w:styleId="TOC4">
    <w:name w:val="toc 4"/>
    <w:basedOn w:val="Normal"/>
    <w:next w:val="Normal"/>
    <w:pPr>
      <w:tabs>
        <w:tab w:val="clear" w:pos="720"/>
        <w:tab w:val="right" w:pos="9360" w:leader="dot"/>
      </w:tabs>
    </w:pPr>
    <w:rPr/>
  </w:style>
  <w:style w:type="paragraph" w:styleId="editorialinfo">
    <w:name w:val="editorial info"/>
    <w:basedOn w:val="Normal"/>
    <w:qFormat/>
    <w:pPr>
      <w:jc w:val="center"/>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arial10">
    <w:name w:val="arial 10"/>
    <w:basedOn w:val="Normal"/>
    <w:qFormat/>
    <w:pPr/>
    <w:rPr>
      <w:sz w:val="20"/>
      <w:szCs w:val="20"/>
    </w:rPr>
  </w:style>
  <w:style w:type="paragraph" w:styleId="tabsfor1b">
    <w:name w:val="tabs for1b"/>
    <w:basedOn w:val="Normal"/>
    <w:qFormat/>
    <w:pPr>
      <w:tabs>
        <w:tab w:val="clear" w:pos="720"/>
        <w:tab w:val="right" w:pos="3600" w:leader="none"/>
        <w:tab w:val="right" w:pos="5040" w:leader="none"/>
        <w:tab w:val="right" w:pos="6480" w:leader="none"/>
        <w:tab w:val="right" w:pos="7920" w:leader="none"/>
        <w:tab w:val="right" w:pos="9180" w:leader="none"/>
      </w:tabs>
      <w:spacing w:lineRule="exact" w:line="220"/>
    </w:pPr>
    <w:rPr>
      <w:color w:val="000000"/>
      <w:sz w:val="20"/>
      <w:szCs w:val="20"/>
    </w:rPr>
  </w:style>
  <w:style w:type="paragraph" w:styleId="text">
    <w:name w:val="text"/>
    <w:basedOn w:val="Normal"/>
    <w:qFormat/>
    <w:pPr>
      <w:spacing w:lineRule="exact" w:line="240"/>
    </w:pPr>
    <w:rPr>
      <w:rFonts w:ascii="Arial" w:hAnsi="Arial" w:eastAsia="Arial" w:cs="Arial"/>
    </w:rPr>
  </w:style>
  <w:style w:type="paragraph" w:styleId="footnotesfortables">
    <w:name w:val="footnotes for tables"/>
    <w:basedOn w:val="Normal"/>
    <w:qFormat/>
    <w:pPr>
      <w:tabs>
        <w:tab w:val="clear" w:pos="720"/>
        <w:tab w:val="left" w:pos="360" w:leader="none"/>
        <w:tab w:val="left" w:pos="1440" w:leader="none"/>
        <w:tab w:val="left" w:pos="1800" w:leader="none"/>
        <w:tab w:val="left" w:pos="2880" w:leader="none"/>
        <w:tab w:val="left" w:pos="3240" w:leader="none"/>
        <w:tab w:val="left" w:pos="4320" w:leader="none"/>
        <w:tab w:val="left" w:pos="4680" w:leader="none"/>
        <w:tab w:val="left" w:pos="5760" w:leader="none"/>
        <w:tab w:val="left" w:pos="6120" w:leader="none"/>
      </w:tabs>
      <w:spacing w:lineRule="atLeast" w:line="200"/>
    </w:pPr>
    <w:rPr>
      <w:sz w:val="20"/>
      <w:szCs w:val="20"/>
    </w:rPr>
  </w:style>
  <w:style w:type="paragraph" w:styleId="generalinfo">
    <w:name w:val="general_info"/>
    <w:basedOn w:val="Normal"/>
    <w:qFormat/>
    <w:pPr>
      <w:spacing w:lineRule="exact" w:line="264"/>
      <w:jc w:val="center"/>
    </w:pPr>
    <w:rPr>
      <w:sz w:val="20"/>
      <w:szCs w:val="20"/>
    </w:rPr>
  </w:style>
  <w:style w:type="paragraph" w:styleId="left-1ab">
    <w:name w:val="left-1ab"/>
    <w:basedOn w:val="Normal"/>
    <w:qFormat/>
    <w:pPr>
      <w:spacing w:lineRule="atLeast" w:line="200"/>
    </w:pPr>
    <w:rPr>
      <w:sz w:val="20"/>
      <w:szCs w:val="20"/>
    </w:rPr>
  </w:style>
  <w:style w:type="paragraph" w:styleId="right-1ab">
    <w:name w:val="right-1ab"/>
    <w:basedOn w:val="left-1ab"/>
    <w:qFormat/>
    <w:pPr>
      <w:tabs>
        <w:tab w:val="clear" w:pos="720"/>
        <w:tab w:val="right" w:pos="1170" w:leader="none"/>
        <w:tab w:val="right" w:pos="2520" w:leader="none"/>
        <w:tab w:val="right" w:pos="3780" w:leader="none"/>
        <w:tab w:val="right" w:pos="5040" w:leader="none"/>
        <w:tab w:val="right" w:pos="6390" w:leader="none"/>
      </w:tabs>
    </w:pPr>
    <w:rPr/>
  </w:style>
  <w:style w:type="paragraph" w:styleId="LEFT1D">
    <w:name w:val="LEFT1D"/>
    <w:basedOn w:val="left-1ab"/>
    <w:qFormat/>
    <w:pPr>
      <w:tabs>
        <w:tab w:val="clear" w:pos="720"/>
        <w:tab w:val="left" w:pos="1440" w:leader="none"/>
        <w:tab w:val="center" w:pos="2970" w:leader="none"/>
      </w:tabs>
      <w:spacing w:lineRule="atLeast" w:line="220"/>
    </w:pPr>
    <w:rPr/>
  </w:style>
  <w:style w:type="paragraph" w:styleId="RIGHT1D">
    <w:name w:val="RIGHT1D"/>
    <w:basedOn w:val="right-1ab"/>
    <w:qFormat/>
    <w:pPr>
      <w:tabs>
        <w:tab w:val="clear" w:pos="1170"/>
        <w:tab w:val="clear" w:pos="2520"/>
        <w:tab w:val="clear" w:pos="3780"/>
        <w:tab w:val="clear" w:pos="5040"/>
        <w:tab w:val="clear" w:pos="6390"/>
        <w:tab w:val="right" w:pos="1260" w:leader="none"/>
        <w:tab w:val="right" w:pos="2700" w:leader="none"/>
        <w:tab w:val="right" w:pos="4050" w:leader="none"/>
        <w:tab w:val="right" w:pos="5310" w:leader="none"/>
      </w:tabs>
      <w:spacing w:lineRule="atLeast" w:line="220"/>
    </w:pPr>
    <w:rPr/>
  </w:style>
  <w:style w:type="paragraph" w:styleId="right1dheading">
    <w:name w:val="right1dheading"/>
    <w:basedOn w:val="RIGHT1D"/>
    <w:qFormat/>
    <w:pPr>
      <w:tabs>
        <w:tab w:val="right" w:pos="1260" w:leader="none"/>
        <w:tab w:val="center" w:pos="1800" w:leader="none"/>
        <w:tab w:val="right" w:pos="2700" w:leader="none"/>
        <w:tab w:val="right" w:pos="4050" w:leader="none"/>
        <w:tab w:val="center" w:pos="4140" w:leader="none"/>
        <w:tab w:val="right" w:pos="5310" w:leader="none"/>
        <w:tab w:val="right" w:pos="5490" w:leader="none"/>
      </w:tabs>
    </w:pPr>
    <w:rPr>
      <w:u w:val="single"/>
    </w:rPr>
  </w:style>
  <w:style w:type="paragraph" w:styleId="1d-subheading">
    <w:name w:val="1d-subheading"/>
    <w:basedOn w:val="Normal"/>
    <w:qFormat/>
    <w:pPr>
      <w:tabs>
        <w:tab w:val="clear" w:pos="720"/>
        <w:tab w:val="center" w:pos="1620" w:leader="none"/>
        <w:tab w:val="center" w:pos="4230" w:leader="none"/>
      </w:tabs>
      <w:spacing w:lineRule="atLeast" w:line="220"/>
    </w:pPr>
    <w:rPr>
      <w:sz w:val="20"/>
      <w:szCs w:val="20"/>
      <w:u w:val="single"/>
    </w:rPr>
  </w:style>
  <w:style w:type="paragraph" w:styleId="toptableII-A">
    <w:name w:val="top table II-A"/>
    <w:qFormat/>
    <w:pPr>
      <w:widowControl/>
      <w:tabs>
        <w:tab w:val="clear" w:pos="720"/>
        <w:tab w:val="left" w:pos="1440" w:leader="none"/>
        <w:tab w:val="center" w:pos="3360" w:leader="none"/>
        <w:tab w:val="center" w:pos="4704" w:leader="none"/>
        <w:tab w:val="center" w:pos="6144" w:leader="none"/>
        <w:tab w:val="center" w:pos="7488" w:leader="none"/>
      </w:tabs>
      <w:bidi w:val="0"/>
      <w:ind w:hanging="0" w:start="1440" w:end="0"/>
    </w:pPr>
    <w:rPr>
      <w:rFonts w:ascii="Arial" w:hAnsi="Arial" w:eastAsia="Arial" w:cs="Arial"/>
      <w:color w:val="auto"/>
      <w:sz w:val="20"/>
      <w:szCs w:val="20"/>
      <w:lang w:val="en-US" w:eastAsia="zh-CN" w:bidi="hi-IN"/>
    </w:rPr>
  </w:style>
  <w:style w:type="paragraph" w:styleId="toptableII-B">
    <w:name w:val="top table II-B"/>
    <w:qFormat/>
    <w:pPr>
      <w:widowControl/>
      <w:tabs>
        <w:tab w:val="clear" w:pos="720"/>
        <w:tab w:val="center" w:pos="3330" w:leader="none"/>
        <w:tab w:val="center" w:pos="5400" w:leader="none"/>
        <w:tab w:val="center" w:pos="7740" w:leader="none"/>
      </w:tabs>
      <w:bidi w:val="0"/>
      <w:spacing w:lineRule="exact" w:line="240"/>
      <w:ind w:hanging="0" w:start="900" w:end="810"/>
    </w:pPr>
    <w:rPr>
      <w:rFonts w:ascii="Arial" w:hAnsi="Arial" w:eastAsia="Arial" w:cs="Arial"/>
      <w:color w:val="auto"/>
      <w:sz w:val="20"/>
      <w:szCs w:val="20"/>
      <w:lang w:val="en-US" w:eastAsia="zh-CN" w:bidi="hi-IN"/>
    </w:rPr>
  </w:style>
  <w:style w:type="paragraph" w:styleId="toplinetableII-C">
    <w:name w:val="top line table II-C"/>
    <w:qFormat/>
    <w:pPr>
      <w:widowControl/>
      <w:tabs>
        <w:tab w:val="clear" w:pos="720"/>
        <w:tab w:val="left" w:pos="1248" w:leader="none"/>
        <w:tab w:val="center" w:pos="3456" w:leader="none"/>
        <w:tab w:val="right" w:pos="5904" w:leader="none"/>
        <w:tab w:val="left" w:pos="6624" w:leader="none"/>
        <w:tab w:val="center" w:pos="7920" w:leader="none"/>
        <w:tab w:val="right" w:pos="9072" w:leader="none"/>
      </w:tabs>
      <w:bidi w:val="0"/>
    </w:pPr>
    <w:rPr>
      <w:rFonts w:ascii="Arial" w:hAnsi="Arial" w:eastAsia="Arial" w:cs="Arial"/>
      <w:color w:val="auto"/>
      <w:sz w:val="20"/>
      <w:szCs w:val="20"/>
      <w:lang w:val="en-US" w:eastAsia="zh-CN" w:bidi="hi-IN"/>
    </w:rPr>
  </w:style>
  <w:style w:type="paragraph" w:styleId="middlelinetoptabII-C">
    <w:name w:val="middle line top tab II-C"/>
    <w:qFormat/>
    <w:pPr>
      <w:widowControl/>
      <w:tabs>
        <w:tab w:val="clear" w:pos="720"/>
        <w:tab w:val="center" w:pos="2592" w:leader="none"/>
        <w:tab w:val="center" w:pos="5184" w:leader="none"/>
        <w:tab w:val="center" w:pos="7872" w:leader="none"/>
      </w:tabs>
      <w:bidi w:val="0"/>
    </w:pPr>
    <w:rPr>
      <w:rFonts w:ascii="Arial" w:hAnsi="Arial" w:eastAsia="Arial" w:cs="Arial"/>
      <w:color w:val="auto"/>
      <w:sz w:val="20"/>
      <w:szCs w:val="20"/>
      <w:lang w:val="en-US" w:eastAsia="zh-CN" w:bidi="hi-IN"/>
    </w:rPr>
  </w:style>
  <w:style w:type="paragraph" w:styleId="bottomlinetoptableII-C">
    <w:name w:val="bottom line top table II-C"/>
    <w:qFormat/>
    <w:pPr>
      <w:widowControl/>
      <w:tabs>
        <w:tab w:val="clear" w:pos="720"/>
        <w:tab w:val="left" w:pos="1080" w:leader="none"/>
        <w:tab w:val="center" w:pos="2520" w:leader="none"/>
        <w:tab w:val="right" w:pos="3744" w:leader="none"/>
        <w:tab w:val="left" w:pos="4464" w:leader="none"/>
        <w:tab w:val="center" w:pos="5184" w:leader="none"/>
        <w:tab w:val="right" w:pos="5904" w:leader="none"/>
        <w:tab w:val="left" w:pos="6552" w:leader="none"/>
        <w:tab w:val="center" w:pos="7872" w:leader="none"/>
        <w:tab w:val="right" w:pos="9216" w:leader="none"/>
      </w:tabs>
      <w:bidi w:val="0"/>
    </w:pPr>
    <w:rPr>
      <w:rFonts w:ascii="Arial" w:hAnsi="Arial" w:eastAsia="Arial" w:cs="Arial"/>
      <w:color w:val="auto"/>
      <w:sz w:val="20"/>
      <w:szCs w:val="20"/>
      <w:lang w:val="en-US" w:eastAsia="zh-CN" w:bidi="hi-IN"/>
    </w:rPr>
  </w:style>
  <w:style w:type="paragraph" w:styleId="colheadingtableII-C">
    <w:name w:val="col. heading table II-C"/>
    <w:qFormat/>
    <w:pPr>
      <w:widowControl/>
      <w:tabs>
        <w:tab w:val="clear" w:pos="720"/>
        <w:tab w:val="center" w:pos="1440" w:leader="none"/>
        <w:tab w:val="center" w:pos="2592" w:leader="none"/>
        <w:tab w:val="center" w:pos="3648" w:leader="none"/>
        <w:tab w:val="center" w:pos="4704" w:leader="none"/>
        <w:tab w:val="center" w:pos="5760" w:leader="none"/>
        <w:tab w:val="center" w:pos="6816" w:leader="none"/>
        <w:tab w:val="center" w:pos="7968" w:leader="none"/>
        <w:tab w:val="center" w:pos="9024" w:leader="none"/>
      </w:tabs>
      <w:bidi w:val="0"/>
    </w:pPr>
    <w:rPr>
      <w:rFonts w:ascii="Arial" w:hAnsi="Arial" w:eastAsia="Arial" w:cs="Arial"/>
      <w:color w:val="auto"/>
      <w:sz w:val="20"/>
      <w:szCs w:val="20"/>
      <w:lang w:val="en-US" w:eastAsia="zh-CN" w:bidi="hi-IN"/>
    </w:rPr>
  </w:style>
  <w:style w:type="paragraph" w:styleId="bodytableII-C">
    <w:name w:val="body table II-C"/>
    <w:qFormat/>
    <w:pPr>
      <w:widowControl/>
      <w:tabs>
        <w:tab w:val="clear" w:pos="720"/>
        <w:tab w:val="decimal" w:pos="1440" w:leader="none"/>
        <w:tab w:val="decimal" w:pos="2592" w:leader="none"/>
        <w:tab w:val="decimal" w:pos="3648" w:leader="none"/>
        <w:tab w:val="decimal" w:pos="4704" w:leader="none"/>
        <w:tab w:val="decimal" w:pos="5760" w:leader="none"/>
        <w:tab w:val="decimal" w:pos="6816" w:leader="none"/>
        <w:tab w:val="decimal" w:pos="7968" w:leader="none"/>
        <w:tab w:val="decimal" w:pos="9024" w:leader="none"/>
      </w:tabs>
      <w:bidi w:val="0"/>
      <w:spacing w:lineRule="exact" w:line="240"/>
    </w:pPr>
    <w:rPr>
      <w:rFonts w:ascii="Arial" w:hAnsi="Arial" w:eastAsia="Arial" w:cs="Arial"/>
      <w:color w:val="auto"/>
      <w:sz w:val="20"/>
      <w:szCs w:val="20"/>
      <w:lang w:val="en-US" w:eastAsia="zh-CN" w:bidi="hi-IN"/>
    </w:rPr>
  </w:style>
  <w:style w:type="paragraph" w:styleId="L1tabs2d">
    <w:name w:val="L1 tabs 2d"/>
    <w:qFormat/>
    <w:pPr>
      <w:widowControl/>
      <w:tabs>
        <w:tab w:val="clear" w:pos="720"/>
        <w:tab w:val="left" w:pos="1368" w:leader="none"/>
        <w:tab w:val="center" w:pos="3528" w:leader="none"/>
        <w:tab w:val="right" w:pos="5976" w:leader="none"/>
        <w:tab w:val="left" w:pos="7128" w:leader="none"/>
        <w:tab w:val="center" w:pos="8064" w:leader="none"/>
        <w:tab w:val="right" w:pos="9072" w:leader="none"/>
      </w:tabs>
      <w:bidi w:val="0"/>
    </w:pPr>
    <w:rPr>
      <w:rFonts w:ascii="Arial" w:hAnsi="Arial" w:eastAsia="Arial" w:cs="Arial"/>
      <w:color w:val="auto"/>
      <w:sz w:val="20"/>
      <w:szCs w:val="20"/>
      <w:lang w:val="en-US" w:eastAsia="zh-CN" w:bidi="hi-IN"/>
    </w:rPr>
  </w:style>
  <w:style w:type="paragraph" w:styleId="L2tablesIId">
    <w:name w:val="L2 tables II d"/>
    <w:qFormat/>
    <w:pPr>
      <w:widowControl/>
      <w:tabs>
        <w:tab w:val="clear" w:pos="720"/>
        <w:tab w:val="center" w:pos="2232" w:leader="none"/>
        <w:tab w:val="center" w:pos="5184" w:leader="none"/>
        <w:tab w:val="left" w:pos="7128" w:leader="none"/>
        <w:tab w:val="center" w:pos="8064" w:leader="none"/>
        <w:tab w:val="right" w:pos="8928" w:leader="none"/>
      </w:tabs>
      <w:bidi w:val="0"/>
      <w:jc w:val="center"/>
    </w:pPr>
    <w:rPr>
      <w:rFonts w:ascii="Arial" w:hAnsi="Arial" w:eastAsia="Arial" w:cs="Arial"/>
      <w:color w:val="auto"/>
      <w:sz w:val="20"/>
      <w:szCs w:val="20"/>
      <w:lang w:val="en-US" w:eastAsia="zh-CN" w:bidi="hi-IN"/>
    </w:rPr>
  </w:style>
  <w:style w:type="paragraph" w:styleId="L3tablesIId">
    <w:name w:val="L3 tables II d"/>
    <w:qFormat/>
    <w:pPr>
      <w:widowControl/>
      <w:tabs>
        <w:tab w:val="clear" w:pos="720"/>
        <w:tab w:val="left" w:pos="1368" w:leader="none"/>
        <w:tab w:val="center" w:pos="2232" w:leader="none"/>
        <w:tab w:val="right" w:pos="3096" w:leader="none"/>
        <w:tab w:val="left" w:pos="4320" w:leader="none"/>
        <w:tab w:val="center" w:pos="5184" w:leader="none"/>
        <w:tab w:val="right" w:pos="5976" w:leader="none"/>
        <w:tab w:val="left" w:pos="7128" w:leader="none"/>
        <w:tab w:val="center" w:pos="8064" w:leader="none"/>
        <w:tab w:val="right" w:pos="9072" w:leader="none"/>
      </w:tabs>
      <w:bidi w:val="0"/>
      <w:jc w:val="center"/>
    </w:pPr>
    <w:rPr>
      <w:rFonts w:ascii="Arial" w:hAnsi="Arial" w:eastAsia="Arial" w:cs="Arial"/>
      <w:color w:val="auto"/>
      <w:sz w:val="20"/>
      <w:szCs w:val="20"/>
      <w:lang w:val="en-US" w:eastAsia="zh-CN" w:bidi="hi-IN"/>
    </w:rPr>
  </w:style>
  <w:style w:type="paragraph" w:styleId="L4tablesIId">
    <w:name w:val="L4 tables II d"/>
    <w:qFormat/>
    <w:pPr>
      <w:widowControl/>
      <w:tabs>
        <w:tab w:val="clear" w:pos="720"/>
        <w:tab w:val="center" w:pos="1512" w:leader="none"/>
        <w:tab w:val="center" w:pos="2880" w:leader="none"/>
        <w:tab w:val="center" w:pos="4536" w:leader="none"/>
        <w:tab w:val="center" w:pos="5832" w:leader="none"/>
        <w:tab w:val="center" w:pos="7344" w:leader="none"/>
        <w:tab w:val="center" w:pos="8712" w:leader="none"/>
      </w:tabs>
      <w:bidi w:val="0"/>
    </w:pPr>
    <w:rPr>
      <w:rFonts w:ascii="Arial" w:hAnsi="Arial" w:eastAsia="Arial" w:cs="Arial"/>
      <w:color w:val="auto"/>
      <w:sz w:val="20"/>
      <w:szCs w:val="20"/>
      <w:lang w:val="en-US" w:eastAsia="zh-CN" w:bidi="hi-IN"/>
    </w:rPr>
  </w:style>
  <w:style w:type="paragraph" w:styleId="bottomtable2B">
    <w:name w:val="bottom table 2B"/>
    <w:basedOn w:val="Normal"/>
    <w:qFormat/>
    <w:pPr>
      <w:tabs>
        <w:tab w:val="clear" w:pos="720"/>
        <w:tab w:val="decimal" w:pos="3240" w:leader="none"/>
        <w:tab w:val="center" w:pos="3330" w:leader="none"/>
        <w:tab w:val="decimal" w:pos="5400" w:leader="none"/>
        <w:tab w:val="decimal" w:pos="7740" w:leader="none"/>
      </w:tabs>
      <w:spacing w:lineRule="exact" w:line="240"/>
      <w:ind w:hanging="0" w:start="900" w:end="720"/>
    </w:pPr>
    <w:rPr>
      <w:sz w:val="20"/>
      <w:szCs w:val="20"/>
    </w:rPr>
  </w:style>
  <w:style w:type="paragraph" w:styleId="Subtitle">
    <w:name w:val="Subtitle"/>
    <w:basedOn w:val="Normal"/>
    <w:next w:val="BodyText"/>
    <w:qFormat/>
    <w:pPr>
      <w:keepNext w:val="true"/>
      <w:spacing w:before="240" w:after="240"/>
    </w:pPr>
    <w:rPr>
      <w:b/>
      <w:bCs/>
    </w:rPr>
  </w:style>
  <w:style w:type="paragraph" w:styleId="Text1">
    <w:name w:val="Text1"/>
    <w:basedOn w:val="Normal"/>
    <w:qFormat/>
    <w:pPr>
      <w:ind w:hanging="0" w:start="360" w:end="0"/>
    </w:pPr>
    <w:rPr/>
  </w:style>
  <w:style w:type="paragraph" w:styleId="Style11">
    <w:name w:val="Style1"/>
    <w:basedOn w:val="Heading1"/>
    <w:next w:val="Normal"/>
    <w:qFormat/>
    <w:pPr>
      <w:numPr>
        <w:ilvl w:val="0"/>
        <w:numId w:val="0"/>
      </w:numPr>
      <w:spacing w:before="120" w:after="0"/>
      <w:outlineLvl w:val="9"/>
    </w:pPr>
    <w:rPr/>
  </w:style>
  <w:style w:type="paragraph" w:styleId="SectionCovers">
    <w:name w:val="Section Covers"/>
    <w:basedOn w:val="Normal"/>
    <w:qFormat/>
    <w:pPr>
      <w:pBdr>
        <w:top w:val="single" w:sz="6" w:space="1" w:color="000000"/>
        <w:left w:val="single" w:sz="6" w:space="1" w:color="000000"/>
        <w:bottom w:val="single" w:sz="6" w:space="1" w:color="000000"/>
        <w:right w:val="single" w:sz="6" w:space="1" w:color="000000"/>
      </w:pBdr>
      <w:jc w:val="center"/>
    </w:pPr>
    <w:rPr>
      <w:i/>
      <w:iCs/>
      <w:sz w:val="48"/>
      <w:szCs w:val="48"/>
    </w:rPr>
  </w:style>
  <w:style w:type="paragraph" w:styleId="TOC5">
    <w:name w:val="toc 5"/>
    <w:basedOn w:val="Normal"/>
    <w:next w:val="Normal"/>
    <w:pPr>
      <w:tabs>
        <w:tab w:val="clear" w:pos="720"/>
        <w:tab w:val="right" w:pos="9360" w:leader="none"/>
      </w:tabs>
      <w:ind w:hanging="0" w:start="960" w:end="0"/>
    </w:pPr>
    <w:rPr>
      <w:rFonts w:ascii="Times New Roman" w:hAnsi="Times New Roman" w:eastAsia="Times New Roman" w:cs="Times New Roman"/>
      <w:sz w:val="20"/>
      <w:szCs w:val="20"/>
    </w:rPr>
  </w:style>
  <w:style w:type="paragraph" w:styleId="TOC6">
    <w:name w:val="toc 6"/>
    <w:basedOn w:val="Normal"/>
    <w:next w:val="Normal"/>
    <w:pPr>
      <w:tabs>
        <w:tab w:val="clear" w:pos="720"/>
        <w:tab w:val="right" w:pos="9360" w:leader="none"/>
      </w:tabs>
      <w:ind w:hanging="0" w:start="1200" w:end="0"/>
    </w:pPr>
    <w:rPr>
      <w:rFonts w:ascii="Times New Roman" w:hAnsi="Times New Roman" w:eastAsia="Times New Roman" w:cs="Times New Roman"/>
      <w:sz w:val="20"/>
      <w:szCs w:val="20"/>
    </w:rPr>
  </w:style>
  <w:style w:type="paragraph" w:styleId="24boldcent">
    <w:name w:val="24bold_cent"/>
    <w:basedOn w:val="Normal"/>
    <w:qFormat/>
    <w:pPr>
      <w:spacing w:lineRule="exact" w:line="480"/>
      <w:jc w:val="center"/>
    </w:pPr>
    <w:rPr>
      <w:b/>
      <w:bCs/>
      <w:sz w:val="48"/>
      <w:szCs w:val="48"/>
    </w:rPr>
  </w:style>
  <w:style w:type="paragraph" w:styleId="14boldcent">
    <w:name w:val="14bold_cent"/>
    <w:basedOn w:val="Normal"/>
    <w:qFormat/>
    <w:pPr>
      <w:spacing w:lineRule="exact" w:line="280"/>
      <w:jc w:val="center"/>
    </w:pPr>
    <w:rPr>
      <w:b/>
      <w:bCs/>
      <w:sz w:val="28"/>
      <w:szCs w:val="28"/>
    </w:rPr>
  </w:style>
  <w:style w:type="paragraph" w:styleId="BOLDCENTERED">
    <w:name w:val="BOLD CENTERED"/>
    <w:qFormat/>
    <w:pPr>
      <w:keepNext w:val="true"/>
      <w:widowControl/>
      <w:bidi w:val="0"/>
      <w:spacing w:before="240" w:after="0"/>
      <w:jc w:val="center"/>
    </w:pPr>
    <w:rPr>
      <w:rFonts w:ascii="Arial" w:hAnsi="Arial" w:eastAsia="Arial" w:cs="Arial"/>
      <w:b/>
      <w:bCs/>
      <w:color w:val="auto"/>
      <w:sz w:val="24"/>
      <w:szCs w:val="24"/>
      <w:lang w:val="en-US" w:eastAsia="zh-CN" w:bidi="hi-IN"/>
    </w:rPr>
  </w:style>
  <w:style w:type="paragraph" w:styleId="cen">
    <w:name w:val="cen"/>
    <w:basedOn w:val="Normal"/>
    <w:qFormat/>
    <w:pPr>
      <w:tabs>
        <w:tab w:val="clear" w:pos="720"/>
        <w:tab w:val="left" w:pos="1368" w:leader="none"/>
        <w:tab w:val="center" w:pos="3528" w:leader="none"/>
        <w:tab w:val="right" w:pos="5976" w:leader="none"/>
        <w:tab w:val="left" w:pos="7128" w:leader="none"/>
        <w:tab w:val="center" w:pos="8064" w:leader="none"/>
        <w:tab w:val="right" w:pos="9072" w:leader="none"/>
      </w:tabs>
      <w:jc w:val="center"/>
    </w:pPr>
    <w:rPr/>
  </w:style>
  <w:style w:type="paragraph" w:styleId="10">
    <w:name w:val="10"/>
    <w:basedOn w:val="Normal"/>
    <w:qFormat/>
    <w:pPr/>
    <w:rPr>
      <w:sz w:val="20"/>
      <w:szCs w:val="20"/>
    </w:rPr>
  </w:style>
  <w:style w:type="paragraph" w:styleId="TOC9">
    <w:name w:val="toc 9"/>
    <w:basedOn w:val="Normal"/>
    <w:next w:val="Normal"/>
    <w:pPr>
      <w:tabs>
        <w:tab w:val="clear" w:pos="720"/>
        <w:tab w:val="right" w:pos="9360" w:leader="dot"/>
      </w:tabs>
      <w:spacing w:before="60" w:after="60"/>
    </w:pPr>
    <w:rPr>
      <w:sz w:val="20"/>
      <w:szCs w:val="20"/>
    </w:rPr>
  </w:style>
  <w:style w:type="paragraph" w:styleId="AnnotationText">
    <w:name w:val="Annotation Text"/>
    <w:basedOn w:val="Normal"/>
    <w:qFormat/>
    <w:pPr>
      <w:spacing w:lineRule="auto" w:line="240"/>
    </w:pPr>
    <w:rPr>
      <w:sz w:val="20"/>
      <w:szCs w:val="20"/>
    </w:rPr>
  </w:style>
  <w:style w:type="paragraph" w:styleId="centunl">
    <w:name w:val="cent_unl"/>
    <w:basedOn w:val="Normal"/>
    <w:qFormat/>
    <w:pPr>
      <w:keepNext w:val="true"/>
      <w:tabs>
        <w:tab w:val="left" w:pos="216" w:leader="none"/>
        <w:tab w:val="left" w:pos="360" w:leader="none"/>
        <w:tab w:val="left" w:pos="576" w:leader="none"/>
        <w:tab w:val="left" w:pos="72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 w:val="left" w:pos="19080" w:leader="none"/>
        <w:tab w:val="left" w:pos="19800" w:leader="none"/>
        <w:tab w:val="left" w:pos="20520" w:leader="none"/>
        <w:tab w:val="left" w:pos="21240" w:leader="none"/>
        <w:tab w:val="left" w:pos="21960" w:leader="none"/>
        <w:tab w:val="left" w:pos="22680" w:leader="none"/>
        <w:tab w:val="left" w:pos="23400" w:leader="none"/>
        <w:tab w:val="left" w:pos="24120" w:leader="none"/>
        <w:tab w:val="left" w:pos="24840" w:leader="none"/>
        <w:tab w:val="left" w:pos="25560" w:leader="none"/>
        <w:tab w:val="left" w:pos="26280" w:leader="none"/>
      </w:tabs>
      <w:spacing w:before="360" w:after="240"/>
      <w:jc w:val="center"/>
    </w:pPr>
    <w:rPr>
      <w:u w:val="single"/>
    </w:rPr>
  </w:style>
  <w:style w:type="paragraph" w:styleId="TOC7">
    <w:name w:val="toc 7"/>
    <w:basedOn w:val="Normal"/>
    <w:next w:val="Normal"/>
    <w:pPr>
      <w:tabs>
        <w:tab w:val="clear" w:pos="720"/>
        <w:tab w:val="right" w:pos="9360" w:leader="dot"/>
      </w:tabs>
      <w:ind w:hanging="0" w:start="1440" w:end="0"/>
    </w:pPr>
    <w:rPr>
      <w:sz w:val="20"/>
      <w:szCs w:val="20"/>
    </w:rPr>
  </w:style>
  <w:style w:type="paragraph" w:styleId="TOC8">
    <w:name w:val="toc 8"/>
    <w:basedOn w:val="Normal"/>
    <w:next w:val="Normal"/>
    <w:pPr>
      <w:tabs>
        <w:tab w:val="clear" w:pos="720"/>
        <w:tab w:val="right" w:pos="9360" w:leader="dot"/>
      </w:tabs>
      <w:ind w:hanging="0" w:start="1680" w:end="0"/>
    </w:pPr>
    <w:rPr>
      <w:sz w:val="20"/>
      <w:szCs w:val="20"/>
    </w:rPr>
  </w:style>
  <w:style w:type="paragraph" w:styleId="TOC31">
    <w:name w:val="TOC3"/>
    <w:basedOn w:val="Normal"/>
    <w:qFormat/>
    <w:pPr>
      <w:spacing w:before="0" w:after="240"/>
      <w:jc w:val="center"/>
    </w:pPr>
    <w:rPr>
      <w:b/>
      <w:bCs/>
      <w:sz w:val="28"/>
      <w:szCs w:val="28"/>
      <w:u w:val="single"/>
    </w:rPr>
  </w:style>
  <w:style w:type="paragraph" w:styleId="PART3SUBS">
    <w:name w:val="PART3SUBS"/>
    <w:basedOn w:val="Normal"/>
    <w:qFormat/>
    <w:pPr>
      <w:keepNext w:val="true"/>
      <w:spacing w:before="0" w:after="240"/>
    </w:pPr>
    <w:rPr>
      <w:b/>
      <w:bCs/>
    </w:rPr>
  </w:style>
  <w:style w:type="paragraph" w:styleId="bottableIIa">
    <w:name w:val="bot table IIa"/>
    <w:basedOn w:val="toptableII-A"/>
    <w:qFormat/>
    <w:pPr>
      <w:tabs>
        <w:tab w:val="clear" w:pos="3360"/>
        <w:tab w:val="clear" w:pos="4704"/>
        <w:tab w:val="clear" w:pos="6144"/>
        <w:tab w:val="clear" w:pos="7488"/>
        <w:tab w:val="left" w:pos="1440" w:leader="none"/>
        <w:tab w:val="decimal" w:pos="3330" w:leader="none"/>
        <w:tab w:val="decimal" w:pos="4680" w:leader="none"/>
        <w:tab w:val="decimal" w:pos="6120" w:leader="none"/>
        <w:tab w:val="decimal" w:pos="7470" w:leader="none"/>
      </w:tabs>
    </w:pPr>
    <w:rPr/>
  </w:style>
  <w:style w:type="paragraph" w:styleId="bott2D">
    <w:name w:val="bott 2 D"/>
    <w:basedOn w:val="L4tablesIId"/>
    <w:qFormat/>
    <w:pPr>
      <w:tabs>
        <w:tab w:val="clear" w:pos="1512"/>
        <w:tab w:val="clear" w:pos="4536"/>
        <w:tab w:val="clear" w:pos="5832"/>
        <w:tab w:val="clear" w:pos="7344"/>
        <w:tab w:val="clear" w:pos="8712"/>
        <w:tab w:val="decimal" w:pos="1530" w:leader="none"/>
        <w:tab w:val="decimal" w:pos="2880" w:leader="none"/>
        <w:tab w:val="decimal" w:pos="4500" w:leader="none"/>
        <w:tab w:val="decimal" w:pos="5850" w:leader="none"/>
        <w:tab w:val="decimal" w:pos="7290" w:leader="none"/>
        <w:tab w:val="decimal" w:pos="8640" w:leader="none"/>
      </w:tabs>
    </w:pPr>
    <w:rPr/>
  </w:style>
  <w:style w:type="paragraph" w:styleId="subheaders">
    <w:name w:val="sub headers"/>
    <w:qFormat/>
    <w:pPr>
      <w:keepNext w:val="true"/>
      <w:widowControl/>
      <w:bidi w:val="0"/>
      <w:spacing w:before="480" w:after="240"/>
    </w:pPr>
    <w:rPr>
      <w:rFonts w:ascii="Helvetica" w:hAnsi="Helvetica" w:eastAsia="Helvetica" w:cs="Helvetica"/>
      <w:b/>
      <w:bCs/>
      <w:color w:val="auto"/>
      <w:sz w:val="24"/>
      <w:szCs w:val="24"/>
      <w:lang w:val="en-US" w:eastAsia="zh-CN" w:bidi="hi-IN"/>
    </w:rPr>
  </w:style>
  <w:style w:type="paragraph" w:styleId="11">
    <w:name w:val="11"/>
    <w:basedOn w:val="Normal"/>
    <w:qFormat/>
    <w:pPr>
      <w:spacing w:lineRule="auto" w:line="240"/>
    </w:pPr>
    <w:rPr>
      <w:sz w:val="20"/>
      <w:szCs w:val="20"/>
    </w:rPr>
  </w:style>
  <w:style w:type="paragraph" w:styleId="12">
    <w:name w:val="12"/>
    <w:basedOn w:val="Normal"/>
    <w:qFormat/>
    <w:pPr>
      <w:spacing w:lineRule="auto" w:line="240"/>
    </w:pPr>
    <w:rPr>
      <w:sz w:val="20"/>
      <w:szCs w:val="20"/>
    </w:rPr>
  </w:style>
  <w:style w:type="paragraph" w:styleId="la">
    <w:name w:val="la"/>
    <w:basedOn w:val="Normal"/>
    <w:qFormat/>
    <w:pPr>
      <w:keepNext w:val="true"/>
      <w:spacing w:before="0" w:after="240"/>
    </w:pPr>
    <w:rPr>
      <w:b/>
      <w:bCs/>
    </w:rPr>
  </w:style>
  <w:style w:type="paragraph" w:styleId="nonbreak">
    <w:name w:val="non_break"/>
    <w:basedOn w:val="Normal"/>
    <w:qFormat/>
    <w:pPr>
      <w:keepNext w:val="true"/>
      <w:spacing w:before="0" w:after="240"/>
    </w:pPr>
    <w:rPr>
      <w:b/>
      <w:bCs/>
    </w:rPr>
  </w:style>
  <w:style w:type="paragraph" w:styleId="sf3t">
    <w:name w:val="sf_3t"/>
    <w:basedOn w:val="Normal"/>
    <w:qFormat/>
    <w:pPr>
      <w:keepNext w:val="true"/>
      <w:tabs>
        <w:tab w:val="clear" w:pos="720"/>
        <w:tab w:val="left" w:pos="2160" w:leader="none"/>
      </w:tabs>
    </w:pPr>
    <w:rPr>
      <w:b/>
      <w:bCs/>
    </w:rPr>
  </w:style>
  <w:style w:type="paragraph" w:styleId="sfsub-1">
    <w:name w:val="sf_sub-1"/>
    <w:basedOn w:val="Normal"/>
    <w:qFormat/>
    <w:pPr>
      <w:keepNext w:val="true"/>
      <w:tabs>
        <w:tab w:val="left" w:pos="720" w:leader="none"/>
      </w:tabs>
      <w:spacing w:before="240" w:after="0"/>
    </w:pPr>
    <w:rPr>
      <w:b/>
      <w:bCs/>
    </w:rPr>
  </w:style>
  <w:style w:type="paragraph" w:styleId="keydev">
    <w:name w:val="keydev"/>
    <w:basedOn w:val="Normal"/>
    <w:next w:val="Normal"/>
    <w:qFormat/>
    <w:pPr>
      <w:keepNext w:val="true"/>
      <w:spacing w:before="240" w:after="0"/>
    </w:pPr>
    <w:rPr>
      <w:b/>
      <w:bCs/>
    </w:rPr>
  </w:style>
  <w:style w:type="paragraph" w:styleId="bullet">
    <w:name w:val="bullet"/>
    <w:basedOn w:val="Normal"/>
    <w:qFormat/>
    <w:pPr>
      <w:numPr>
        <w:ilvl w:val="0"/>
        <w:numId w:val="2"/>
      </w:numPr>
      <w:spacing w:before="0" w:after="200"/>
      <w:ind w:hanging="360" w:start="360" w:end="0"/>
    </w:pPr>
    <w:rPr/>
  </w:style>
  <w:style w:type="paragraph" w:styleId="dw">
    <w:name w:val="dw"/>
    <w:basedOn w:val="Normal"/>
    <w:qFormat/>
    <w:pPr>
      <w:spacing w:lineRule="auto" w:line="480"/>
      <w:ind w:hanging="0" w:start="0" w:end="-86"/>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1.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header" Target="header2.xml"/><Relationship Id="rId10" Type="http://schemas.openxmlformats.org/officeDocument/2006/relationships/footer" Target="footer5.xml"/><Relationship Id="rId11" Type="http://schemas.openxmlformats.org/officeDocument/2006/relationships/image" Target="media/image2.emf"/><Relationship Id="rId12" Type="http://schemas.openxmlformats.org/officeDocument/2006/relationships/image" Target="media/image3.emf"/><Relationship Id="rId13" Type="http://schemas.openxmlformats.org/officeDocument/2006/relationships/image" Target="media/image4.emf"/><Relationship Id="rId14" Type="http://schemas.openxmlformats.org/officeDocument/2006/relationships/image" Target="media/image5.emf"/><Relationship Id="rId15" Type="http://schemas.openxmlformats.org/officeDocument/2006/relationships/image" Target="media/image6.emf"/><Relationship Id="rId16" Type="http://schemas.openxmlformats.org/officeDocument/2006/relationships/image" Target="media/image7.emf"/><Relationship Id="rId17" Type="http://schemas.openxmlformats.org/officeDocument/2006/relationships/header" Target="header3.xml"/><Relationship Id="rId18" Type="http://schemas.openxmlformats.org/officeDocument/2006/relationships/footer" Target="footer6.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R:\FOWM.DOT</Template>
  <TotalTime>284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1999-09-16T07:25:00Z</dcterms:created>
  <dc:creator>Poten &amp; Partners</dc:creator>
  <dc:description/>
  <dc:language>en-CA</dc:language>
  <cp:lastModifiedBy>Poten &amp; Partners</cp:lastModifiedBy>
  <cp:lastPrinted>1999-10-20T14:05:00Z</cp:lastPrinted>
  <dcterms:modified xsi:type="dcterms:W3CDTF">1999-10-20T11:56:00Z</dcterms:modified>
  <cp:revision>44</cp:revision>
  <dc:subject/>
  <dc:title>FEBRUARY 1997 FOWM </dc:title>
</cp:coreProperties>
</file>