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media/image6.emf" ContentType="image/x-emf"/>
  <Override PartName="/word/media/image7.emf" ContentType="image/x-emf"/>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object w:dxaOrig="15360" w:dyaOrig="779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0.15pt;height:45.75pt" filled="f" o:ole="">
            <v:imagedata r:id="rId3" o:title=""/>
          </v:shape>
          <o:OLEObject Type="Embed" ProgID="" ShapeID="ole_rId2" DrawAspect="Content" ObjectID="_1218583994" r:id="rId2"/>
        </w:object>
      </w:r>
    </w:p>
    <w:p>
      <w:pPr>
        <w:pStyle w:val="Normal"/>
        <w:rPr/>
      </w:pPr>
      <w:r>
        <w:rPr/>
      </w:r>
    </w:p>
    <w:p>
      <w:pPr>
        <w:pStyle w:val="Normal"/>
        <w:jc w:val="center"/>
        <w:rPr>
          <w:b/>
          <w:bCs/>
          <w:sz w:val="48"/>
          <w:szCs w:val="48"/>
        </w:rPr>
      </w:pPr>
      <w:r>
        <w:rPr>
          <w:b/>
          <w:bCs/>
          <w:sz w:val="48"/>
          <w:szCs w:val="48"/>
        </w:rPr>
        <w:t>Poten &amp; Partners, Inc.</w:t>
      </w:r>
    </w:p>
    <w:p>
      <w:pPr>
        <w:pStyle w:val="Normal"/>
        <w:rPr>
          <w:b/>
          <w:bCs/>
          <w:sz w:val="48"/>
          <w:szCs w:val="48"/>
        </w:rPr>
      </w:pPr>
      <w:r>
        <w:rPr>
          <w:b/>
          <w:bCs/>
          <w:sz w:val="48"/>
          <w:szCs w:val="48"/>
        </w:rPr>
      </w:r>
    </w:p>
    <w:p>
      <w:pPr>
        <w:pStyle w:val="Normal"/>
        <w:jc w:val="center"/>
        <w:rPr>
          <w:b/>
          <w:bCs/>
          <w:sz w:val="28"/>
          <w:szCs w:val="28"/>
        </w:rPr>
      </w:pPr>
      <w:r>
        <w:rPr>
          <w:b/>
          <w:bCs/>
          <w:sz w:val="28"/>
          <w:szCs w:val="28"/>
        </w:rPr>
        <w:t>FUEL OIL IN WORLD MARKETS</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t>February 1999</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pPr>
      <w:r>
        <w:rPr>
          <w:b/>
          <w:bCs/>
          <w:sz w:val="28"/>
          <w:szCs w:val="28"/>
        </w:rPr>
        <w:t>A Monthly Report</w:t>
        <w:br/>
        <w:br/>
        <w:t>Providing Market Intelligence and Pricing Outlook</w:t>
        <w:br/>
      </w:r>
      <w:r>
        <w:rPr/>
        <w:br/>
      </w:r>
      <w:r>
        <w:rPr>
          <w:b/>
          <w:bCs/>
          <w:sz w:val="28"/>
          <w:szCs w:val="28"/>
        </w:rPr>
        <w:t>by the Consulting Department</w:t>
      </w:r>
    </w:p>
    <w:p>
      <w:pPr>
        <w:pStyle w:val="Normal"/>
        <w:rPr>
          <w:b/>
          <w:bCs/>
          <w:sz w:val="28"/>
          <w:szCs w:val="28"/>
        </w:rPr>
      </w:pPr>
      <w:r>
        <w:rPr>
          <w:b/>
          <w:bCs/>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Cs/>
          <w:sz w:val="28"/>
          <w:szCs w:val="28"/>
        </w:rPr>
      </w:pPr>
      <w:r>
        <w:rPr>
          <w:b/>
          <w:bCs/>
          <w:sz w:val="28"/>
          <w:szCs w:val="28"/>
        </w:rPr>
        <w:t>Premium</w:t>
      </w:r>
    </w:p>
    <w:p>
      <w:pPr>
        <w:pStyle w:val="Normal"/>
        <w:jc w:val="center"/>
        <w:rPr>
          <w:b/>
          <w:bCs/>
          <w:sz w:val="28"/>
          <w:szCs w:val="28"/>
        </w:rPr>
      </w:pPr>
      <w:r>
        <w:rPr>
          <w:b/>
          <w:bCs/>
          <w:sz w:val="28"/>
          <w:szCs w:val="28"/>
        </w:rPr>
        <w:t>Edition</w:t>
      </w:r>
    </w:p>
    <w:p>
      <w:pPr>
        <w:pStyle w:val="Normal"/>
        <w:rPr>
          <w:b/>
          <w:bCs/>
          <w:sz w:val="28"/>
          <w:szCs w:val="28"/>
        </w:rPr>
      </w:pPr>
      <w:r>
        <w:rPr>
          <w:b/>
          <w:bCs/>
          <w:sz w:val="28"/>
          <w:szCs w:val="28"/>
        </w:rPr>
      </w:r>
    </w:p>
    <w:p>
      <w:pPr>
        <w:pStyle w:val="Normal"/>
        <w:rPr/>
      </w:pPr>
      <w:r>
        <w:rPr/>
      </w:r>
    </w:p>
    <w:p>
      <w:pPr>
        <w:pStyle w:val="Normal"/>
        <w:rPr/>
      </w:pPr>
      <w:r>
        <w:rPr/>
      </w:r>
    </w:p>
    <w:p>
      <w:pPr>
        <w:pStyle w:val="Normal"/>
        <w:rPr/>
      </w:pPr>
      <w:r>
        <w:rPr/>
      </w:r>
    </w:p>
    <w:p>
      <w:pPr>
        <w:pStyle w:val="editorialinfo"/>
        <w:rPr/>
      </w:pPr>
      <w:r>
        <w:rPr/>
        <w:t>Research:  Robert Breiden (212) 230-2039</w:t>
        <w:br/>
        <w:t>Lawrence Axelrod (212) 230-2038</w:t>
        <w:br/>
        <w:t>Subscriptions:  Barbara J. Metzger (212) 230-2063</w:t>
        <w:br/>
        <w:t>885 Third Avenue, New York, NY 10022-4875</w:t>
      </w:r>
    </w:p>
    <w:p>
      <w:pPr>
        <w:pStyle w:val="editorialinfo"/>
        <w:rPr/>
      </w:pPr>
      <w:r>
        <w:rPr/>
        <w:t>http://www.poten.com</w:t>
        <w:br/>
        <w:t>Fax:  (212) 355-0295 - Tlx:  177118/420811</w:t>
      </w:r>
      <w:r>
        <w:br w:type="page"/>
      </w:r>
    </w:p>
    <w:p>
      <w:pPr>
        <w:pStyle w:val="editorialinfo"/>
        <w:rPr/>
      </w:pPr>
      <w:r>
        <w:rPr/>
      </w:r>
    </w:p>
    <w:p>
      <w:pPr>
        <w:pStyle w:val="Normal"/>
        <w:rPr/>
      </w:pPr>
      <w:r>
        <w:rPr/>
      </w:r>
    </w:p>
    <w:p>
      <w:pPr>
        <w:pStyle w:val="Normal"/>
        <w:rPr/>
      </w:pPr>
      <w:r>
        <w:rPr/>
      </w:r>
    </w:p>
    <w:p>
      <w:pPr>
        <w:pStyle w:val="Normal"/>
        <w:jc w:val="center"/>
        <w:rPr>
          <w:b/>
          <w:bCs/>
          <w:sz w:val="28"/>
          <w:szCs w:val="28"/>
        </w:rPr>
      </w:pPr>
      <w:r>
        <w:rPr>
          <w:b/>
          <w:bCs/>
          <w:sz w:val="28"/>
          <w:szCs w:val="28"/>
        </w:rPr>
        <w:t>Poten &amp; Partners, Inc.</w:t>
        <w:br/>
        <w:br/>
        <w:t>FUEL OIL IN WORLD MARKETS</w:t>
        <w:br/>
        <w:br/>
        <w:t>February 1999</w:t>
      </w:r>
    </w:p>
    <w:p>
      <w:pPr>
        <w:pStyle w:val="TOC4"/>
        <w:rPr>
          <w:b/>
          <w:bCs/>
          <w:sz w:val="28"/>
          <w:szCs w:val="28"/>
        </w:rPr>
      </w:pPr>
      <w:r>
        <w:rPr>
          <w:b/>
          <w:bCs/>
          <w:sz w:val="28"/>
          <w:szCs w:val="28"/>
        </w:rPr>
      </w:r>
    </w:p>
    <w:sdt>
      <w:sdtPr>
        <w:docPartObj>
          <w:docPartGallery w:val="Table of Contents"/>
          <w:docPartUnique w:val="true"/>
        </w:docPartObj>
      </w:sdtPr>
      <w:sdtContent>
        <w:p>
          <w:pPr>
            <w:pStyle w:val="TOC1"/>
            <w:rPr/>
          </w:pPr>
          <w:r>
            <w:fldChar w:fldCharType="begin"/>
          </w:r>
          <w:r>
            <w:rPr/>
            <w:instrText xml:space="preserve"> TOC \n "1-2" \* MERGEFORMAT </w:instrText>
          </w:r>
          <w:r>
            <w:rPr/>
            <w:fldChar w:fldCharType="separate"/>
          </w:r>
          <w:r>
            <w:rPr/>
            <w:t>Part I:  CURRENT SCENE</w:t>
          </w:r>
        </w:p>
        <w:p>
          <w:pPr>
            <w:pStyle w:val="TOC3"/>
            <w:rPr/>
          </w:pPr>
          <w:r>
            <w:rPr/>
            <w:t>Cyprus Electric Utility Plans to Burn LSFO at New Resid-Fired Plant</w:t>
            <w:tab/>
          </w:r>
          <w:r>
            <w:fldChar w:fldCharType="begin"/>
          </w:r>
          <w:r>
            <w:rPr/>
            <w:instrText xml:space="preserve"> GOTOBUTTON _Toc446402657  </w:instrText>
          </w:r>
          <w:r>
            <w:rPr/>
          </w:r>
          <w:r>
            <w:rPr/>
            <w:fldChar w:fldCharType="separate"/>
          </w:r>
          <w:r>
            <w:rPr/>
          </w:r>
          <w:r/>
          <w:r>
            <w:rPr/>
            <w:fldChar w:fldCharType="end"/>
          </w:r>
          <w:r>
            <w:rPr/>
          </w:r>
        </w:p>
        <w:p>
          <w:pPr>
            <w:pStyle w:val="TOC3"/>
            <w:rPr/>
          </w:pPr>
          <w:r>
            <w:rPr/>
            <w:t>Israel Electric Expects Resid Purchases to Rise but Imports to Fall</w:t>
            <w:tab/>
          </w:r>
          <w:r>
            <w:fldChar w:fldCharType="begin"/>
          </w:r>
          <w:r>
            <w:rPr/>
            <w:instrText xml:space="preserve"> GOTOBUTTON _Toc446402658  </w:instrText>
          </w:r>
          <w:r>
            <w:rPr/>
          </w:r>
          <w:r>
            <w:rPr/>
            <w:fldChar w:fldCharType="separate"/>
          </w:r>
          <w:r>
            <w:rPr/>
          </w:r>
          <w:r/>
          <w:r>
            <w:rPr/>
            <w:fldChar w:fldCharType="end"/>
          </w:r>
          <w:r>
            <w:rPr/>
          </w:r>
        </w:p>
        <w:p>
          <w:pPr>
            <w:pStyle w:val="TOC3"/>
            <w:rPr/>
          </w:pPr>
          <w:r>
            <w:rPr/>
            <w:t>Romanian Residual Fuel Imports Jump Up</w:t>
            <w:tab/>
          </w:r>
          <w:r>
            <w:fldChar w:fldCharType="begin"/>
          </w:r>
          <w:r>
            <w:rPr/>
            <w:instrText xml:space="preserve"> GOTOBUTTON _Toc446402659  </w:instrText>
          </w:r>
          <w:r>
            <w:rPr/>
          </w:r>
          <w:r>
            <w:rPr/>
            <w:fldChar w:fldCharType="separate"/>
          </w:r>
          <w:r>
            <w:rPr/>
          </w:r>
          <w:r/>
          <w:r>
            <w:rPr/>
            <w:fldChar w:fldCharType="end"/>
          </w:r>
          <w:r>
            <w:rPr/>
          </w:r>
        </w:p>
        <w:p>
          <w:pPr>
            <w:pStyle w:val="TOC3"/>
            <w:rPr/>
          </w:pPr>
          <w:r>
            <w:rPr/>
            <w:t>Brazilian LSFO Exports Surge</w:t>
            <w:tab/>
          </w:r>
          <w:r>
            <w:fldChar w:fldCharType="begin"/>
          </w:r>
          <w:r>
            <w:rPr/>
            <w:instrText xml:space="preserve"> GOTOBUTTON _Toc446402660  </w:instrText>
          </w:r>
          <w:r>
            <w:rPr/>
          </w:r>
          <w:r>
            <w:rPr/>
            <w:fldChar w:fldCharType="separate"/>
          </w:r>
          <w:r>
            <w:rPr/>
          </w:r>
          <w:r/>
          <w:r>
            <w:rPr/>
            <w:fldChar w:fldCharType="end"/>
          </w:r>
          <w:r>
            <w:rPr/>
          </w:r>
        </w:p>
        <w:p>
          <w:pPr>
            <w:pStyle w:val="TOC3"/>
            <w:rPr/>
          </w:pPr>
          <w:r>
            <w:rPr/>
            <w:t>Venezuela Buying Substantial Quantities of Fuel Oil on U.S. Gulf Coast</w:t>
            <w:tab/>
          </w:r>
          <w:r>
            <w:fldChar w:fldCharType="begin"/>
          </w:r>
          <w:r>
            <w:rPr/>
            <w:instrText xml:space="preserve"> GOTOBUTTON _Toc446402661  </w:instrText>
          </w:r>
          <w:r>
            <w:rPr/>
          </w:r>
          <w:r>
            <w:rPr/>
            <w:fldChar w:fldCharType="separate"/>
          </w:r>
          <w:r>
            <w:rPr/>
          </w:r>
          <w:r/>
          <w:r>
            <w:rPr/>
            <w:fldChar w:fldCharType="end"/>
          </w:r>
          <w:r>
            <w:rPr/>
          </w:r>
        </w:p>
        <w:p>
          <w:pPr>
            <w:pStyle w:val="TOC3"/>
            <w:rPr/>
          </w:pPr>
          <w:r>
            <w:rPr/>
            <w:t xml:space="preserve">Mexico: Import Demand Moves Higher </w:t>
          </w:r>
          <w:r>
            <w:rPr>
              <w:rFonts w:eastAsia="Symbol" w:cs="Symbol" w:ascii="Symbol" w:hAnsi="Symbol"/>
            </w:rPr>
            <w:sym w:font="Symbol" w:char="be"/>
          </w:r>
          <w:r>
            <w:rPr/>
            <w:t xml:space="preserve"> New Supply Contracts Concluded</w:t>
            <w:tab/>
          </w:r>
          <w:r>
            <w:fldChar w:fldCharType="begin"/>
          </w:r>
          <w:r>
            <w:rPr/>
            <w:instrText xml:space="preserve"> GOTOBUTTON _Toc446402662  </w:instrText>
          </w:r>
          <w:r>
            <w:rPr/>
          </w:r>
          <w:r>
            <w:rPr/>
            <w:fldChar w:fldCharType="separate"/>
          </w:r>
          <w:r>
            <w:rPr/>
          </w:r>
          <w:r/>
          <w:r>
            <w:rPr/>
            <w:fldChar w:fldCharType="end"/>
          </w:r>
          <w:r>
            <w:rPr/>
          </w:r>
        </w:p>
        <w:p>
          <w:pPr>
            <w:pStyle w:val="TOC3"/>
            <w:rPr/>
          </w:pPr>
          <w:r>
            <w:rPr/>
            <w:t>Cost Control Makes Fuel Switching Attractive to Belgian Utility</w:t>
            <w:tab/>
          </w:r>
          <w:r>
            <w:fldChar w:fldCharType="begin"/>
          </w:r>
          <w:r>
            <w:rPr/>
            <w:instrText xml:space="preserve"> GOTOBUTTON _Toc446402663  </w:instrText>
          </w:r>
          <w:r>
            <w:rPr/>
          </w:r>
          <w:r>
            <w:rPr/>
            <w:fldChar w:fldCharType="separate"/>
          </w:r>
          <w:r>
            <w:rPr/>
          </w:r>
          <w:r/>
          <w:r>
            <w:rPr/>
            <w:fldChar w:fldCharType="end"/>
          </w:r>
          <w:r>
            <w:rPr/>
          </w:r>
        </w:p>
        <w:p>
          <w:pPr>
            <w:pStyle w:val="TOC3"/>
            <w:rPr/>
          </w:pPr>
          <w:r>
            <w:rPr/>
            <w:t xml:space="preserve">Enel Agrees to Buy Orimulsion for One Plant </w:t>
          </w:r>
          <w:r>
            <w:rPr>
              <w:rFonts w:eastAsia="Symbol" w:cs="Symbol" w:ascii="Symbol" w:hAnsi="Symbol"/>
            </w:rPr>
            <w:sym w:font="Symbol" w:char="be"/>
          </w:r>
          <w:r>
            <w:rPr/>
            <w:t xml:space="preserve"> Plans Test at Another</w:t>
            <w:tab/>
          </w:r>
          <w:r>
            <w:fldChar w:fldCharType="begin"/>
          </w:r>
          <w:r>
            <w:rPr/>
            <w:instrText xml:space="preserve"> GOTOBUTTON _Toc446402664  </w:instrText>
          </w:r>
          <w:r>
            <w:rPr/>
          </w:r>
          <w:r>
            <w:rPr/>
            <w:fldChar w:fldCharType="separate"/>
          </w:r>
          <w:r>
            <w:rPr/>
          </w:r>
          <w:r/>
          <w:r>
            <w:rPr/>
            <w:fldChar w:fldCharType="end"/>
          </w:r>
          <w:r>
            <w:rPr/>
          </w:r>
        </w:p>
        <w:p>
          <w:pPr>
            <w:pStyle w:val="TOC3"/>
            <w:rPr/>
          </w:pPr>
          <w:r>
            <w:rPr/>
            <w:t>Saras of Italy Selling High-Viscosity Fuel Oil to Bunker Supplier Chemoil</w:t>
            <w:tab/>
          </w:r>
          <w:r>
            <w:fldChar w:fldCharType="begin"/>
          </w:r>
          <w:r>
            <w:rPr/>
            <w:instrText xml:space="preserve"> GOTOBUTTON _Toc446402665  </w:instrText>
          </w:r>
          <w:r>
            <w:rPr/>
          </w:r>
          <w:r>
            <w:rPr/>
            <w:fldChar w:fldCharType="separate"/>
          </w:r>
          <w:r>
            <w:rPr/>
          </w:r>
          <w:r/>
          <w:r>
            <w:rPr/>
            <w:fldChar w:fldCharType="end"/>
          </w:r>
          <w:r>
            <w:rPr/>
          </w:r>
        </w:p>
        <w:p>
          <w:pPr>
            <w:pStyle w:val="TOC4"/>
            <w:rPr/>
          </w:pPr>
          <w:r>
            <w:rPr/>
            <w:t>Table I-A:  Fuel Oil Cargo Prices (US$/Barrel)</w:t>
            <w:tab/>
          </w:r>
          <w:r>
            <w:fldChar w:fldCharType="begin"/>
          </w:r>
          <w:r>
            <w:rPr/>
            <w:instrText xml:space="preserve"> GOTOBUTTON _Toc446402666  </w:instrText>
          </w:r>
          <w:r>
            <w:rPr/>
          </w:r>
          <w:r>
            <w:rPr/>
            <w:fldChar w:fldCharType="separate"/>
          </w:r>
          <w:r>
            <w:rPr/>
          </w:r>
          <w:r/>
          <w:r>
            <w:rPr/>
            <w:fldChar w:fldCharType="end"/>
          </w:r>
          <w:r>
            <w:rPr/>
          </w:r>
        </w:p>
        <w:p>
          <w:pPr>
            <w:pStyle w:val="TOC4"/>
            <w:rPr/>
          </w:pPr>
          <w:r>
            <w:rPr/>
            <w:t>Table I-B:  Fuel Oil Cargo Prices (US$/Metric Tons)</w:t>
            <w:tab/>
          </w:r>
          <w:r>
            <w:fldChar w:fldCharType="begin"/>
          </w:r>
          <w:r>
            <w:rPr/>
            <w:instrText xml:space="preserve"> GOTOBUTTON _Toc446402667  </w:instrText>
          </w:r>
          <w:r>
            <w:rPr/>
          </w:r>
          <w:r>
            <w:rPr/>
            <w:fldChar w:fldCharType="separate"/>
          </w:r>
          <w:r>
            <w:rPr/>
          </w:r>
          <w:r/>
          <w:r>
            <w:rPr/>
            <w:fldChar w:fldCharType="end"/>
          </w:r>
          <w:r>
            <w:rPr/>
          </w:r>
        </w:p>
        <w:p>
          <w:pPr>
            <w:pStyle w:val="TOC4"/>
            <w:rPr/>
          </w:pPr>
          <w:r>
            <w:rPr/>
            <w:t>Table I-C:  Recent Spot 380 cSt Bunker Prices (US$/Metric Ton)</w:t>
            <w:tab/>
          </w:r>
          <w:r>
            <w:fldChar w:fldCharType="begin"/>
          </w:r>
          <w:r>
            <w:rPr/>
            <w:instrText xml:space="preserve"> GOTOBUTTON _Toc446402668  </w:instrText>
          </w:r>
          <w:r>
            <w:rPr/>
          </w:r>
          <w:r>
            <w:rPr/>
            <w:fldChar w:fldCharType="separate"/>
          </w:r>
          <w:r>
            <w:rPr/>
          </w:r>
          <w:r/>
          <w:r>
            <w:rPr/>
            <w:fldChar w:fldCharType="end"/>
          </w:r>
          <w:r>
            <w:rPr/>
          </w:r>
        </w:p>
        <w:p>
          <w:pPr>
            <w:pStyle w:val="TOC4"/>
            <w:rPr/>
          </w:pPr>
          <w:r>
            <w:rPr/>
            <w:t>Table I-D:  Recent Spot Freight Costs of Fuel Oil</w:t>
            <w:tab/>
          </w:r>
          <w:r>
            <w:fldChar w:fldCharType="begin"/>
          </w:r>
          <w:r>
            <w:rPr/>
            <w:instrText xml:space="preserve"> GOTOBUTTON _Toc446402669  </w:instrText>
          </w:r>
          <w:r>
            <w:rPr/>
          </w:r>
          <w:r>
            <w:rPr/>
            <w:fldChar w:fldCharType="separate"/>
          </w:r>
          <w:r>
            <w:rPr/>
          </w:r>
          <w:r/>
          <w:r>
            <w:rPr/>
            <w:fldChar w:fldCharType="end"/>
          </w:r>
          <w:r>
            <w:rPr/>
          </w:r>
        </w:p>
        <w:p>
          <w:pPr>
            <w:pStyle w:val="TOC1"/>
            <w:rPr/>
          </w:pPr>
          <w:r>
            <w:rPr/>
            <w:t>Part II:  PRICING OUTLOOK</w:t>
          </w:r>
        </w:p>
        <w:p>
          <w:pPr>
            <w:pStyle w:val="TOC3"/>
            <w:rPr/>
          </w:pPr>
          <w:r>
            <w:rPr/>
            <w:t>Crude Oil</w:t>
            <w:tab/>
          </w:r>
          <w:r>
            <w:fldChar w:fldCharType="begin"/>
          </w:r>
          <w:r>
            <w:rPr/>
            <w:instrText xml:space="preserve"> GOTOBUTTON _Toc446402670  </w:instrText>
          </w:r>
          <w:r>
            <w:rPr/>
          </w:r>
          <w:r>
            <w:rPr/>
            <w:fldChar w:fldCharType="separate"/>
          </w:r>
          <w:r>
            <w:rPr/>
          </w:r>
          <w:r/>
          <w:r>
            <w:rPr/>
            <w:fldChar w:fldCharType="end"/>
          </w:r>
          <w:r>
            <w:rPr/>
          </w:r>
        </w:p>
        <w:p>
          <w:pPr>
            <w:pStyle w:val="TOC3"/>
            <w:rPr/>
          </w:pPr>
          <w:r>
            <w:rPr/>
            <w:t>Fuel Oil Relationships to Crude</w:t>
            <w:tab/>
          </w:r>
          <w:r>
            <w:fldChar w:fldCharType="begin"/>
          </w:r>
          <w:r>
            <w:rPr/>
            <w:instrText xml:space="preserve"> GOTOBUTTON _Toc446402671  </w:instrText>
          </w:r>
          <w:r>
            <w:rPr/>
          </w:r>
          <w:r>
            <w:rPr/>
            <w:fldChar w:fldCharType="separate"/>
          </w:r>
          <w:r>
            <w:rPr/>
          </w:r>
          <w:r/>
          <w:r>
            <w:rPr/>
            <w:fldChar w:fldCharType="end"/>
          </w:r>
          <w:r>
            <w:rPr/>
          </w:r>
        </w:p>
        <w:p>
          <w:pPr>
            <w:pStyle w:val="TOC4"/>
            <w:rPr/>
          </w:pPr>
          <w:r>
            <w:rPr/>
            <w:t>Figure II-A:  Spot Crude Oil Prices</w:t>
            <w:tab/>
          </w:r>
          <w:r>
            <w:fldChar w:fldCharType="begin"/>
          </w:r>
          <w:r>
            <w:rPr/>
            <w:instrText xml:space="preserve"> GOTOBUTTON _Toc446402672  </w:instrText>
          </w:r>
          <w:r>
            <w:rPr/>
          </w:r>
          <w:r>
            <w:rPr/>
            <w:fldChar w:fldCharType="separate"/>
          </w:r>
          <w:r>
            <w:rPr/>
          </w:r>
          <w:r/>
          <w:r>
            <w:rPr/>
            <w:fldChar w:fldCharType="end"/>
          </w:r>
          <w:r>
            <w:rPr/>
          </w:r>
        </w:p>
        <w:p>
          <w:pPr>
            <w:pStyle w:val="TOC4"/>
            <w:rPr/>
          </w:pPr>
          <w:r>
            <w:rPr/>
            <w:t>Figure II-B:  Spot New York Harbor Resid Prices</w:t>
            <w:tab/>
          </w:r>
          <w:r>
            <w:fldChar w:fldCharType="begin"/>
          </w:r>
          <w:r>
            <w:rPr/>
            <w:instrText xml:space="preserve"> GOTOBUTTON _Toc446402673  </w:instrText>
          </w:r>
          <w:r>
            <w:rPr/>
          </w:r>
          <w:r>
            <w:rPr/>
            <w:fldChar w:fldCharType="separate"/>
          </w:r>
          <w:r>
            <w:rPr/>
          </w:r>
          <w:r/>
          <w:r>
            <w:rPr/>
            <w:fldChar w:fldCharType="end"/>
          </w:r>
          <w:r>
            <w:rPr/>
          </w:r>
        </w:p>
        <w:p>
          <w:pPr>
            <w:pStyle w:val="TOC4"/>
            <w:rPr/>
          </w:pPr>
          <w:r>
            <w:rPr/>
            <w:t>Figure II-C:  Spot Caribbean Resid Values and Crude Oil Prices</w:t>
            <w:tab/>
          </w:r>
          <w:r>
            <w:fldChar w:fldCharType="begin"/>
          </w:r>
          <w:r>
            <w:rPr/>
            <w:instrText xml:space="preserve"> GOTOBUTTON _Toc446402674  </w:instrText>
          </w:r>
          <w:r>
            <w:rPr/>
          </w:r>
          <w:r>
            <w:rPr/>
            <w:fldChar w:fldCharType="separate"/>
          </w:r>
          <w:r>
            <w:rPr/>
          </w:r>
          <w:r/>
          <w:r>
            <w:rPr/>
            <w:fldChar w:fldCharType="end"/>
          </w:r>
          <w:r>
            <w:rPr/>
          </w:r>
        </w:p>
        <w:p>
          <w:pPr>
            <w:pStyle w:val="TOC4"/>
            <w:rPr/>
          </w:pPr>
          <w:r>
            <w:rPr/>
            <w:t>Figure II-D:  Spot Northwest Europe Resid and Crude Oil Prices</w:t>
            <w:tab/>
          </w:r>
          <w:r>
            <w:fldChar w:fldCharType="begin"/>
          </w:r>
          <w:r>
            <w:rPr/>
            <w:instrText xml:space="preserve"> GOTOBUTTON _Toc446402675  </w:instrText>
          </w:r>
          <w:r>
            <w:rPr/>
          </w:r>
          <w:r>
            <w:rPr/>
            <w:fldChar w:fldCharType="separate"/>
          </w:r>
          <w:r>
            <w:rPr/>
          </w:r>
          <w:r/>
          <w:r>
            <w:rPr/>
            <w:fldChar w:fldCharType="end"/>
          </w:r>
          <w:r>
            <w:rPr/>
          </w:r>
        </w:p>
        <w:p>
          <w:pPr>
            <w:pStyle w:val="TOC4"/>
            <w:rPr/>
          </w:pPr>
          <w:r>
            <w:rPr/>
            <w:t>Figure II-E:  Mediterranean Resid and Crude Oil Prices</w:t>
            <w:tab/>
          </w:r>
          <w:r>
            <w:fldChar w:fldCharType="begin"/>
          </w:r>
          <w:r>
            <w:rPr/>
            <w:instrText xml:space="preserve"> GOTOBUTTON _Toc446402676  </w:instrText>
          </w:r>
          <w:r>
            <w:rPr/>
          </w:r>
          <w:r>
            <w:rPr/>
            <w:fldChar w:fldCharType="separate"/>
          </w:r>
          <w:r>
            <w:rPr/>
          </w:r>
          <w:r/>
          <w:r>
            <w:rPr/>
            <w:fldChar w:fldCharType="end"/>
          </w:r>
          <w:r>
            <w:rPr/>
          </w:r>
        </w:p>
        <w:p>
          <w:pPr>
            <w:pStyle w:val="TOC4"/>
            <w:rPr/>
          </w:pPr>
          <w:r>
            <w:rPr/>
            <w:t>Figure II-F:  Spot Singapore Resid and Crude Oil Prices</w:t>
            <w:tab/>
          </w:r>
          <w:r>
            <w:fldChar w:fldCharType="begin"/>
          </w:r>
          <w:r>
            <w:rPr/>
            <w:instrText xml:space="preserve"> GOTOBUTTON _Toc446402677  </w:instrText>
          </w:r>
          <w:r>
            <w:rPr/>
          </w:r>
          <w:r>
            <w:rPr/>
            <w:fldChar w:fldCharType="separate"/>
          </w:r>
          <w:r>
            <w:rPr/>
          </w:r>
          <w:r/>
          <w:r>
            <w:rPr/>
            <w:fldChar w:fldCharType="end"/>
          </w:r>
          <w:r>
            <w:rPr/>
          </w:r>
        </w:p>
        <w:p>
          <w:pPr>
            <w:pStyle w:val="TOC1"/>
            <w:rPr/>
          </w:pPr>
          <w:r>
            <w:rPr/>
            <w:t>Part III:  SPECIAL FEATURE</w:t>
          </w:r>
        </w:p>
        <w:p>
          <w:pPr>
            <w:pStyle w:val="TOC4"/>
            <w:rPr/>
          </w:pPr>
          <w:r>
            <w:rPr/>
            <w:t>Analysis of Resid Trades in the Eastern Mediterranean</w:t>
            <w:tab/>
          </w:r>
          <w:r>
            <w:fldChar w:fldCharType="begin"/>
          </w:r>
          <w:r>
            <w:rPr/>
            <w:instrText xml:space="preserve"> GOTOBUTTON _Toc446402678  </w:instrText>
          </w:r>
          <w:r>
            <w:rPr/>
          </w:r>
          <w:r>
            <w:rPr/>
            <w:fldChar w:fldCharType="separate"/>
          </w:r>
          <w:r>
            <w:rPr/>
          </w:r>
          <w:r/>
          <w:r>
            <w:rPr/>
            <w:fldChar w:fldCharType="end"/>
          </w:r>
          <w:r>
            <w:rPr/>
          </w:r>
          <w:r>
            <w:rPr/>
            <w:fldChar w:fldCharType="end"/>
          </w:r>
        </w:p>
      </w:sdtContent>
    </w:sdt>
    <w:p>
      <w:pPr>
        <w:sectPr>
          <w:footerReference w:type="default" r:id="rId4"/>
          <w:footerReference w:type="first" r:id="rId5"/>
          <w:type w:val="nextPage"/>
          <w:pgSz w:w="12240" w:h="15840"/>
          <w:pgMar w:left="1440" w:right="1440" w:gutter="0" w:header="0" w:top="1152" w:footer="576" w:bottom="1152"/>
          <w:pgNumType w:fmt="decimal"/>
          <w:formProt w:val="false"/>
          <w:titlePg/>
          <w:textDirection w:val="lrTb"/>
        </w:sectPr>
        <w:pStyle w:val="TOC4"/>
        <w:numPr>
          <w:ilvl w:val="0"/>
          <w:numId w:val="0"/>
        </w:numPr>
        <w:rPr/>
      </w:pPr>
      <w:r>
        <w:rPr/>
      </w:r>
    </w:p>
    <w:p>
      <w:pPr>
        <w:pStyle w:val="Heading1"/>
        <w:ind w:hanging="0" w:start="0"/>
        <w:rPr/>
      </w:pPr>
      <w:r>
        <w:rPr/>
      </w:r>
    </w:p>
    <w:p>
      <w:pPr>
        <w:pStyle w:val="Heading1"/>
        <w:ind w:hanging="0" w:start="0"/>
        <w:rPr/>
      </w:pPr>
      <w:r>
        <w:rPr/>
        <w:t>Part I:  CURRENT SCENE</w:t>
      </w:r>
    </w:p>
    <w:p>
      <w:pPr>
        <w:pStyle w:val="Heading3"/>
        <w:ind w:hanging="0" w:start="0"/>
        <w:rPr/>
      </w:pPr>
      <w:r>
        <w:rPr/>
        <w:t>Cyprus Electric Utility Plans to Burn LSFO at New Resid-Fired Plant</w:t>
      </w:r>
    </w:p>
    <w:p>
      <w:pPr>
        <w:pStyle w:val="Normal"/>
        <w:rPr/>
      </w:pPr>
      <w:r>
        <w:rPr/>
        <w:t>Cyprus will soon join the ranks of Eastern Mediterranean importers of low-sulfur fuel oil.  For environmental reasons, the Electricity Authority of Cyprus (EAC) plans to burn 1%S maximum fuel oil at a new resid-fired power plant under construction at Vasilikos on the southern Cyprus coast.  The 720 MW plant, based on conventional steam boilers,  is being built in stages.  Each stage consists of two 120 MW units.  In the first stage, one unit is due to start operations in November 1999 and the second unit is scheduled to start operations in February 2000.  The second stage of the plant is scheduled to begin operations in 2004 and the third stage in 2010.</w:t>
      </w:r>
    </w:p>
    <w:p>
      <w:pPr>
        <w:pStyle w:val="Normal"/>
        <w:rPr/>
      </w:pPr>
      <w:r>
        <w:rPr/>
      </w:r>
    </w:p>
    <w:p>
      <w:pPr>
        <w:pStyle w:val="Normal"/>
        <w:rPr/>
      </w:pPr>
      <w:r>
        <w:rPr/>
        <w:t>During a period of initial operations, fuel oil for the Vasilikos plant will probably be purchased on a spot basis.  In the year 2000, the new plant will consume an estimated 300,000 tons of resid.  Unloading facilities at the plant will be able to accept 80,000 dwt ships.  The asphaltenes specification for the Vasilickos plant will be maximum 7.0 percent by weight.  Existing importers of low-sulfur fuel oil in the Eastern Mediterranean are Israel, Lebanon, and Turkey.</w:t>
      </w:r>
    </w:p>
    <w:p>
      <w:pPr>
        <w:pStyle w:val="Normal"/>
        <w:rPr/>
      </w:pPr>
      <w:r>
        <w:rPr/>
      </w:r>
    </w:p>
    <w:p>
      <w:pPr>
        <w:pStyle w:val="Normal"/>
        <w:rPr/>
      </w:pPr>
      <w:r>
        <w:rPr/>
        <w:t>Part and parcel of the operation of the Vasilikos plant, EAC plans to phase out the 180 MW plant at Moni.  EAC plans to continue using the 360 MW plant at Dhekelia.  Both plants burn 2%S maximum fuel oil supplied by trader Glencore International and Syria’s Sytrol.  Glencore provides resid with maximum asphaltenes content of 7.0 weight percent and Sytrol’s material has asphaltenes content of about 2.0-3.0 weight percent.  The Sytrol contract expires in March 2000 and the Glencore contract expires at the end of 2000.  On an aggregate basis, Glencore and Sytrol provide 500-600,000 tons a year of fuel oil.</w:t>
      </w:r>
    </w:p>
    <w:p>
      <w:pPr>
        <w:pStyle w:val="Normal"/>
        <w:rPr/>
      </w:pPr>
      <w:r>
        <w:rPr/>
      </w:r>
    </w:p>
    <w:p>
      <w:pPr>
        <w:pStyle w:val="Normal"/>
        <w:rPr/>
      </w:pPr>
      <w:r>
        <w:rPr/>
        <w:t>In addition to fuel oil imports, EAC purchases fuel oil from the local 27,000 b/d Cyprus Petroleum Refinery.  The plant provides about 300,000 tons a year of with an average sulfur content of about 2.0 percent.  Shareholders in Cyprus Petroleum Refinery include the Cyprus government and Mobil.</w:t>
      </w:r>
    </w:p>
    <w:p>
      <w:pPr>
        <w:pStyle w:val="Heading3"/>
        <w:ind w:hanging="0" w:start="0"/>
        <w:rPr/>
      </w:pPr>
      <w:r>
        <w:rPr/>
        <w:t>Israel Electric Expects Resid Purchases to Rise but Imports to Fall</w:t>
      </w:r>
    </w:p>
    <w:p>
      <w:pPr>
        <w:pStyle w:val="Normal"/>
        <w:rPr/>
      </w:pPr>
      <w:r>
        <w:rPr/>
        <w:t>Israel Electric Corp. (IEC) expects to rely less on imported fuel oil and more on locally-produced fuel oil in 1999 than in 1998.  While imports are seen declining from 1.78 million tons in 1998 to 950,000 tons in 1999, supply of locally-produced fuel oil is seen rising from 385,000 tons in 1998 to 1.4 million tons in 1999.  Reflecting rising electricity demand, overall fuel oil purchases by IEC are expected to rise from 2.16 million tons in 1998 to 2.32 million tons in 1999 (see accompanying table).</w:t>
      </w:r>
    </w:p>
    <w:p>
      <w:pPr>
        <w:pStyle w:val="Normal"/>
        <w:rPr/>
      </w:pPr>
      <w:r>
        <w:rPr/>
      </w:r>
    </w:p>
    <w:tbl>
      <w:tblPr>
        <w:tblW w:w="6678" w:type="dxa"/>
        <w:jc w:val="center"/>
        <w:tblInd w:w="0" w:type="dxa"/>
        <w:tblLayout w:type="fixed"/>
        <w:tblCellMar>
          <w:top w:w="0" w:type="dxa"/>
          <w:start w:w="108" w:type="dxa"/>
          <w:bottom w:w="0" w:type="dxa"/>
          <w:end w:w="108" w:type="dxa"/>
        </w:tblCellMar>
      </w:tblPr>
      <w:tblGrid>
        <w:gridCol w:w="1728"/>
        <w:gridCol w:w="1800"/>
        <w:gridCol w:w="1620"/>
        <w:gridCol w:w="1530"/>
      </w:tblGrid>
      <w:tr>
        <w:trPr/>
        <w:tc>
          <w:tcPr>
            <w:tcW w:w="1728" w:type="dxa"/>
            <w:tcBorders/>
          </w:tcPr>
          <w:p>
            <w:pPr>
              <w:pStyle w:val="Normal"/>
              <w:keepNext w:val="true"/>
              <w:snapToGrid w:val="false"/>
              <w:jc w:val="center"/>
              <w:rPr>
                <w:sz w:val="20"/>
                <w:szCs w:val="20"/>
              </w:rPr>
            </w:pPr>
            <w:r>
              <w:rPr>
                <w:sz w:val="20"/>
                <w:szCs w:val="20"/>
              </w:rPr>
            </w:r>
          </w:p>
        </w:tc>
        <w:tc>
          <w:tcPr>
            <w:tcW w:w="1800" w:type="dxa"/>
            <w:tcBorders/>
          </w:tcPr>
          <w:p>
            <w:pPr>
              <w:pStyle w:val="Normal"/>
              <w:keepNext w:val="true"/>
              <w:jc w:val="center"/>
              <w:rPr>
                <w:sz w:val="20"/>
                <w:szCs w:val="20"/>
              </w:rPr>
            </w:pPr>
            <w:r>
              <w:rPr>
                <w:sz w:val="20"/>
                <w:szCs w:val="20"/>
              </w:rPr>
              <w:t xml:space="preserve">Total </w:t>
            </w:r>
          </w:p>
        </w:tc>
        <w:tc>
          <w:tcPr>
            <w:tcW w:w="1620" w:type="dxa"/>
            <w:tcBorders/>
          </w:tcPr>
          <w:p>
            <w:pPr>
              <w:pStyle w:val="Normal"/>
              <w:keepNext w:val="true"/>
              <w:tabs>
                <w:tab w:val="clear" w:pos="720"/>
                <w:tab w:val="decimal" w:pos="783" w:leader="none"/>
              </w:tabs>
              <w:snapToGrid w:val="false"/>
              <w:jc w:val="center"/>
              <w:rPr>
                <w:sz w:val="20"/>
                <w:szCs w:val="20"/>
              </w:rPr>
            </w:pPr>
            <w:r>
              <w:rPr>
                <w:sz w:val="20"/>
                <w:szCs w:val="20"/>
              </w:rPr>
            </w:r>
          </w:p>
        </w:tc>
        <w:tc>
          <w:tcPr>
            <w:tcW w:w="1530" w:type="dxa"/>
            <w:tcBorders/>
          </w:tcPr>
          <w:p>
            <w:pPr>
              <w:pStyle w:val="Normal"/>
              <w:keepNext w:val="true"/>
              <w:tabs>
                <w:tab w:val="clear" w:pos="720"/>
                <w:tab w:val="decimal" w:pos="783" w:leader="none"/>
              </w:tabs>
              <w:snapToGrid w:val="false"/>
              <w:jc w:val="center"/>
              <w:rPr>
                <w:sz w:val="20"/>
                <w:szCs w:val="20"/>
              </w:rPr>
            </w:pPr>
            <w:r>
              <w:rPr>
                <w:sz w:val="20"/>
                <w:szCs w:val="20"/>
              </w:rPr>
            </w:r>
          </w:p>
        </w:tc>
      </w:tr>
      <w:tr>
        <w:trPr/>
        <w:tc>
          <w:tcPr>
            <w:tcW w:w="1728" w:type="dxa"/>
            <w:tcBorders/>
          </w:tcPr>
          <w:p>
            <w:pPr>
              <w:pStyle w:val="Normal"/>
              <w:keepNext w:val="true"/>
              <w:rPr>
                <w:sz w:val="20"/>
                <w:szCs w:val="20"/>
                <w:u w:val="single"/>
              </w:rPr>
            </w:pPr>
            <w:r>
              <w:rPr>
                <w:sz w:val="20"/>
                <w:szCs w:val="20"/>
                <w:u w:val="single"/>
              </w:rPr>
              <w:t>Grade</w:t>
            </w:r>
          </w:p>
        </w:tc>
        <w:tc>
          <w:tcPr>
            <w:tcW w:w="1800" w:type="dxa"/>
            <w:tcBorders/>
          </w:tcPr>
          <w:p>
            <w:pPr>
              <w:pStyle w:val="Normal"/>
              <w:keepNext w:val="true"/>
              <w:jc w:val="center"/>
              <w:rPr>
                <w:sz w:val="20"/>
                <w:szCs w:val="20"/>
                <w:u w:val="single"/>
              </w:rPr>
            </w:pPr>
            <w:r>
              <w:rPr>
                <w:sz w:val="20"/>
                <w:szCs w:val="20"/>
                <w:u w:val="single"/>
              </w:rPr>
              <w:t>Purchases</w:t>
            </w:r>
          </w:p>
        </w:tc>
        <w:tc>
          <w:tcPr>
            <w:tcW w:w="1620" w:type="dxa"/>
            <w:tcBorders/>
          </w:tcPr>
          <w:p>
            <w:pPr>
              <w:pStyle w:val="Normal"/>
              <w:keepNext w:val="true"/>
              <w:jc w:val="center"/>
              <w:rPr>
                <w:sz w:val="20"/>
                <w:szCs w:val="20"/>
                <w:u w:val="single"/>
              </w:rPr>
            </w:pPr>
            <w:r>
              <w:rPr>
                <w:sz w:val="20"/>
                <w:szCs w:val="20"/>
                <w:u w:val="single"/>
              </w:rPr>
              <w:t>Imports</w:t>
            </w:r>
          </w:p>
        </w:tc>
        <w:tc>
          <w:tcPr>
            <w:tcW w:w="1530" w:type="dxa"/>
            <w:tcBorders/>
          </w:tcPr>
          <w:p>
            <w:pPr>
              <w:pStyle w:val="Normal"/>
              <w:keepNext w:val="true"/>
              <w:jc w:val="center"/>
              <w:rPr>
                <w:sz w:val="20"/>
                <w:szCs w:val="20"/>
                <w:u w:val="single"/>
              </w:rPr>
            </w:pPr>
            <w:r>
              <w:rPr>
                <w:sz w:val="20"/>
                <w:szCs w:val="20"/>
                <w:u w:val="single"/>
              </w:rPr>
              <w:t>Imports</w:t>
            </w:r>
          </w:p>
        </w:tc>
      </w:tr>
      <w:tr>
        <w:trPr/>
        <w:tc>
          <w:tcPr>
            <w:tcW w:w="1728" w:type="dxa"/>
            <w:tcBorders/>
          </w:tcPr>
          <w:p>
            <w:pPr>
              <w:pStyle w:val="Normal"/>
              <w:keepNext w:val="true"/>
              <w:snapToGrid w:val="false"/>
              <w:rPr>
                <w:sz w:val="20"/>
                <w:szCs w:val="20"/>
                <w:u w:val="single"/>
              </w:rPr>
            </w:pPr>
            <w:r>
              <w:rPr>
                <w:sz w:val="20"/>
                <w:szCs w:val="20"/>
                <w:u w:val="single"/>
              </w:rPr>
            </w:r>
          </w:p>
        </w:tc>
        <w:tc>
          <w:tcPr>
            <w:tcW w:w="3420" w:type="dxa"/>
            <w:gridSpan w:val="2"/>
            <w:tcBorders/>
          </w:tcPr>
          <w:p>
            <w:pPr>
              <w:pStyle w:val="Normal"/>
              <w:keepNext w:val="true"/>
              <w:jc w:val="center"/>
              <w:rPr>
                <w:sz w:val="20"/>
                <w:szCs w:val="20"/>
              </w:rPr>
            </w:pPr>
            <w:r>
              <w:rPr>
                <w:sz w:val="20"/>
                <w:szCs w:val="20"/>
              </w:rPr>
              <w:t>(Thousand Metric Tons)</w:t>
            </w:r>
          </w:p>
        </w:tc>
        <w:tc>
          <w:tcPr>
            <w:tcW w:w="1530" w:type="dxa"/>
            <w:tcBorders/>
          </w:tcPr>
          <w:p>
            <w:pPr>
              <w:pStyle w:val="Normal"/>
              <w:keepNext w:val="true"/>
              <w:tabs>
                <w:tab w:val="clear" w:pos="720"/>
                <w:tab w:val="decimal" w:pos="783" w:leader="none"/>
              </w:tabs>
              <w:jc w:val="center"/>
              <w:rPr>
                <w:sz w:val="20"/>
                <w:szCs w:val="20"/>
              </w:rPr>
            </w:pPr>
            <w:r>
              <w:rPr>
                <w:sz w:val="20"/>
                <w:szCs w:val="20"/>
              </w:rPr>
              <w:t>(Percent)</w:t>
            </w:r>
          </w:p>
        </w:tc>
      </w:tr>
      <w:tr>
        <w:trPr/>
        <w:tc>
          <w:tcPr>
            <w:tcW w:w="1728" w:type="dxa"/>
            <w:tcBorders/>
          </w:tcPr>
          <w:p>
            <w:pPr>
              <w:pStyle w:val="Normal"/>
              <w:keepNext w:val="true"/>
              <w:rPr>
                <w:sz w:val="20"/>
                <w:szCs w:val="20"/>
              </w:rPr>
            </w:pPr>
            <w:r>
              <w:rPr>
                <w:sz w:val="20"/>
                <w:szCs w:val="20"/>
                <w:u w:val="single"/>
              </w:rPr>
              <w:t>1997</w:t>
            </w:r>
          </w:p>
        </w:tc>
        <w:tc>
          <w:tcPr>
            <w:tcW w:w="1800" w:type="dxa"/>
            <w:tcBorders/>
          </w:tcPr>
          <w:p>
            <w:pPr>
              <w:pStyle w:val="Normal"/>
              <w:keepNext w:val="true"/>
              <w:tabs>
                <w:tab w:val="clear" w:pos="720"/>
                <w:tab w:val="decimal" w:pos="783" w:leader="none"/>
              </w:tabs>
              <w:snapToGrid w:val="false"/>
              <w:rPr>
                <w:sz w:val="20"/>
                <w:szCs w:val="20"/>
              </w:rPr>
            </w:pPr>
            <w:r>
              <w:rPr>
                <w:sz w:val="20"/>
                <w:szCs w:val="20"/>
              </w:rPr>
            </w:r>
          </w:p>
        </w:tc>
        <w:tc>
          <w:tcPr>
            <w:tcW w:w="1620" w:type="dxa"/>
            <w:tcBorders/>
          </w:tcPr>
          <w:p>
            <w:pPr>
              <w:pStyle w:val="Normal"/>
              <w:keepNext w:val="true"/>
              <w:snapToGrid w:val="false"/>
              <w:rPr>
                <w:sz w:val="20"/>
                <w:szCs w:val="20"/>
              </w:rPr>
            </w:pPr>
            <w:r>
              <w:rPr>
                <w:sz w:val="20"/>
                <w:szCs w:val="20"/>
              </w:rPr>
            </w:r>
          </w:p>
        </w:tc>
        <w:tc>
          <w:tcPr>
            <w:tcW w:w="1530" w:type="dxa"/>
            <w:tcBorders/>
          </w:tcPr>
          <w:p>
            <w:pPr>
              <w:pStyle w:val="Normal"/>
              <w:keepNext w:val="true"/>
              <w:tabs>
                <w:tab w:val="clear" w:pos="720"/>
                <w:tab w:val="decimal" w:pos="783" w:leader="none"/>
              </w:tabs>
              <w:snapToGrid w:val="false"/>
              <w:rPr>
                <w:sz w:val="20"/>
                <w:szCs w:val="20"/>
              </w:rPr>
            </w:pPr>
            <w:r>
              <w:rPr>
                <w:sz w:val="20"/>
                <w:szCs w:val="20"/>
              </w:rPr>
            </w:r>
          </w:p>
        </w:tc>
      </w:tr>
      <w:tr>
        <w:trPr/>
        <w:tc>
          <w:tcPr>
            <w:tcW w:w="1728" w:type="dxa"/>
            <w:tcBorders/>
          </w:tcPr>
          <w:p>
            <w:pPr>
              <w:pStyle w:val="Normal"/>
              <w:keepNext w:val="true"/>
              <w:rPr>
                <w:sz w:val="20"/>
                <w:szCs w:val="20"/>
              </w:rPr>
            </w:pPr>
            <w:r>
              <w:rPr>
                <w:sz w:val="20"/>
                <w:szCs w:val="20"/>
              </w:rPr>
              <w:t>0.5%S max</w:t>
            </w:r>
          </w:p>
        </w:tc>
        <w:tc>
          <w:tcPr>
            <w:tcW w:w="1800" w:type="dxa"/>
            <w:tcBorders/>
          </w:tcPr>
          <w:p>
            <w:pPr>
              <w:pStyle w:val="Normal"/>
              <w:keepNext w:val="true"/>
              <w:tabs>
                <w:tab w:val="clear" w:pos="720"/>
                <w:tab w:val="decimal" w:pos="1053" w:leader="none"/>
              </w:tabs>
              <w:rPr>
                <w:sz w:val="20"/>
                <w:szCs w:val="20"/>
              </w:rPr>
            </w:pPr>
            <w:r>
              <w:rPr>
                <w:sz w:val="20"/>
                <w:szCs w:val="20"/>
              </w:rPr>
              <w:t>85</w:t>
            </w:r>
          </w:p>
        </w:tc>
        <w:tc>
          <w:tcPr>
            <w:tcW w:w="1620" w:type="dxa"/>
            <w:tcBorders/>
          </w:tcPr>
          <w:p>
            <w:pPr>
              <w:pStyle w:val="Normal"/>
              <w:keepNext w:val="true"/>
              <w:tabs>
                <w:tab w:val="clear" w:pos="720"/>
                <w:tab w:val="decimal" w:pos="963" w:leader="none"/>
              </w:tabs>
              <w:rPr>
                <w:sz w:val="20"/>
                <w:szCs w:val="20"/>
              </w:rPr>
            </w:pPr>
            <w:r>
              <w:rPr>
                <w:sz w:val="20"/>
                <w:szCs w:val="20"/>
              </w:rPr>
              <w:t>85</w:t>
            </w:r>
          </w:p>
        </w:tc>
        <w:tc>
          <w:tcPr>
            <w:tcW w:w="1530" w:type="dxa"/>
            <w:tcBorders/>
          </w:tcPr>
          <w:p>
            <w:pPr>
              <w:pStyle w:val="Normal"/>
              <w:keepNext w:val="true"/>
              <w:tabs>
                <w:tab w:val="clear" w:pos="720"/>
                <w:tab w:val="decimal" w:pos="783" w:leader="none"/>
              </w:tabs>
              <w:rPr>
                <w:sz w:val="20"/>
                <w:szCs w:val="20"/>
              </w:rPr>
            </w:pPr>
            <w:r>
              <w:rPr>
                <w:sz w:val="20"/>
                <w:szCs w:val="20"/>
              </w:rPr>
              <w:t>100%</w:t>
            </w:r>
          </w:p>
        </w:tc>
      </w:tr>
      <w:tr>
        <w:trPr/>
        <w:tc>
          <w:tcPr>
            <w:tcW w:w="1728" w:type="dxa"/>
            <w:tcBorders/>
          </w:tcPr>
          <w:p>
            <w:pPr>
              <w:pStyle w:val="Normal"/>
              <w:keepNext w:val="true"/>
              <w:rPr>
                <w:sz w:val="20"/>
                <w:szCs w:val="20"/>
              </w:rPr>
            </w:pPr>
            <w:r>
              <w:rPr>
                <w:sz w:val="20"/>
                <w:szCs w:val="20"/>
              </w:rPr>
              <w:t>1.0%S max</w:t>
            </w:r>
          </w:p>
        </w:tc>
        <w:tc>
          <w:tcPr>
            <w:tcW w:w="1800" w:type="dxa"/>
            <w:tcBorders/>
          </w:tcPr>
          <w:p>
            <w:pPr>
              <w:pStyle w:val="Normal"/>
              <w:keepNext w:val="true"/>
              <w:tabs>
                <w:tab w:val="clear" w:pos="720"/>
                <w:tab w:val="decimal" w:pos="1053" w:leader="none"/>
              </w:tabs>
              <w:rPr>
                <w:sz w:val="20"/>
                <w:szCs w:val="20"/>
              </w:rPr>
            </w:pPr>
            <w:r>
              <w:rPr>
                <w:sz w:val="20"/>
                <w:szCs w:val="20"/>
              </w:rPr>
              <w:t>1,560</w:t>
            </w:r>
          </w:p>
        </w:tc>
        <w:tc>
          <w:tcPr>
            <w:tcW w:w="1620" w:type="dxa"/>
            <w:tcBorders/>
          </w:tcPr>
          <w:p>
            <w:pPr>
              <w:pStyle w:val="Normal"/>
              <w:keepNext w:val="true"/>
              <w:tabs>
                <w:tab w:val="clear" w:pos="720"/>
                <w:tab w:val="decimal" w:pos="963" w:leader="none"/>
              </w:tabs>
              <w:rPr>
                <w:sz w:val="20"/>
                <w:szCs w:val="20"/>
              </w:rPr>
            </w:pPr>
            <w:r>
              <w:rPr>
                <w:sz w:val="20"/>
                <w:szCs w:val="20"/>
              </w:rPr>
              <w:t>1,170</w:t>
            </w:r>
          </w:p>
        </w:tc>
        <w:tc>
          <w:tcPr>
            <w:tcW w:w="1530" w:type="dxa"/>
            <w:tcBorders/>
          </w:tcPr>
          <w:p>
            <w:pPr>
              <w:pStyle w:val="Normal"/>
              <w:keepNext w:val="true"/>
              <w:tabs>
                <w:tab w:val="clear" w:pos="720"/>
                <w:tab w:val="decimal" w:pos="783" w:leader="none"/>
              </w:tabs>
              <w:rPr>
                <w:sz w:val="20"/>
                <w:szCs w:val="20"/>
              </w:rPr>
            </w:pPr>
            <w:r>
              <w:rPr>
                <w:sz w:val="20"/>
                <w:szCs w:val="20"/>
              </w:rPr>
              <w:t>75%</w:t>
            </w:r>
          </w:p>
        </w:tc>
      </w:tr>
      <w:tr>
        <w:trPr/>
        <w:tc>
          <w:tcPr>
            <w:tcW w:w="1728" w:type="dxa"/>
            <w:tcBorders/>
          </w:tcPr>
          <w:p>
            <w:pPr>
              <w:pStyle w:val="Normal"/>
              <w:keepNext w:val="true"/>
              <w:rPr>
                <w:sz w:val="20"/>
                <w:szCs w:val="20"/>
              </w:rPr>
            </w:pPr>
            <w:r>
              <w:rPr>
                <w:sz w:val="20"/>
                <w:szCs w:val="20"/>
              </w:rPr>
              <w:t>2.0%S max</w:t>
            </w:r>
          </w:p>
        </w:tc>
        <w:tc>
          <w:tcPr>
            <w:tcW w:w="1800" w:type="dxa"/>
            <w:tcBorders/>
          </w:tcPr>
          <w:p>
            <w:pPr>
              <w:pStyle w:val="Normal"/>
              <w:keepNext w:val="true"/>
              <w:tabs>
                <w:tab w:val="clear" w:pos="720"/>
                <w:tab w:val="decimal" w:pos="1053" w:leader="none"/>
              </w:tabs>
              <w:rPr>
                <w:sz w:val="20"/>
                <w:szCs w:val="20"/>
              </w:rPr>
            </w:pPr>
            <w:r>
              <w:rPr>
                <w:sz w:val="20"/>
                <w:szCs w:val="20"/>
              </w:rPr>
              <w:t>330</w:t>
            </w:r>
          </w:p>
        </w:tc>
        <w:tc>
          <w:tcPr>
            <w:tcW w:w="1620" w:type="dxa"/>
            <w:tcBorders/>
          </w:tcPr>
          <w:p>
            <w:pPr>
              <w:pStyle w:val="Normal"/>
              <w:keepNext w:val="true"/>
              <w:tabs>
                <w:tab w:val="clear" w:pos="720"/>
                <w:tab w:val="decimal" w:pos="963" w:leader="none"/>
              </w:tabs>
              <w:rPr>
                <w:sz w:val="20"/>
                <w:szCs w:val="20"/>
              </w:rPr>
            </w:pPr>
            <w:r>
              <w:rPr>
                <w:sz w:val="20"/>
                <w:szCs w:val="20"/>
              </w:rPr>
              <w:t>0</w:t>
            </w:r>
          </w:p>
        </w:tc>
        <w:tc>
          <w:tcPr>
            <w:tcW w:w="1530" w:type="dxa"/>
            <w:tcBorders/>
          </w:tcPr>
          <w:p>
            <w:pPr>
              <w:pStyle w:val="Normal"/>
              <w:keepNext w:val="true"/>
              <w:tabs>
                <w:tab w:val="clear" w:pos="720"/>
                <w:tab w:val="decimal" w:pos="783" w:leader="none"/>
              </w:tabs>
              <w:rPr>
                <w:sz w:val="20"/>
                <w:szCs w:val="20"/>
              </w:rPr>
            </w:pPr>
            <w:r>
              <w:rPr>
                <w:sz w:val="20"/>
                <w:szCs w:val="20"/>
              </w:rPr>
              <w:t>0%</w:t>
            </w:r>
          </w:p>
        </w:tc>
      </w:tr>
      <w:tr>
        <w:trPr/>
        <w:tc>
          <w:tcPr>
            <w:tcW w:w="1728" w:type="dxa"/>
            <w:tcBorders/>
          </w:tcPr>
          <w:p>
            <w:pPr>
              <w:pStyle w:val="Normal"/>
              <w:keepNext w:val="true"/>
              <w:rPr>
                <w:sz w:val="20"/>
                <w:szCs w:val="20"/>
              </w:rPr>
            </w:pPr>
            <w:r>
              <w:rPr>
                <w:sz w:val="20"/>
                <w:szCs w:val="20"/>
              </w:rPr>
              <w:t>Total</w:t>
            </w:r>
          </w:p>
        </w:tc>
        <w:tc>
          <w:tcPr>
            <w:tcW w:w="1800" w:type="dxa"/>
            <w:tcBorders/>
          </w:tcPr>
          <w:p>
            <w:pPr>
              <w:pStyle w:val="Normal"/>
              <w:keepNext w:val="true"/>
              <w:tabs>
                <w:tab w:val="clear" w:pos="720"/>
                <w:tab w:val="decimal" w:pos="1053" w:leader="none"/>
              </w:tabs>
              <w:rPr>
                <w:sz w:val="20"/>
                <w:szCs w:val="20"/>
              </w:rPr>
            </w:pPr>
            <w:r>
              <w:rPr>
                <w:sz w:val="20"/>
                <w:szCs w:val="20"/>
              </w:rPr>
              <w:t>1,975</w:t>
            </w:r>
          </w:p>
        </w:tc>
        <w:tc>
          <w:tcPr>
            <w:tcW w:w="1620" w:type="dxa"/>
            <w:tcBorders/>
          </w:tcPr>
          <w:p>
            <w:pPr>
              <w:pStyle w:val="Normal"/>
              <w:keepNext w:val="true"/>
              <w:tabs>
                <w:tab w:val="clear" w:pos="720"/>
                <w:tab w:val="decimal" w:pos="963" w:leader="none"/>
              </w:tabs>
              <w:rPr>
                <w:sz w:val="20"/>
                <w:szCs w:val="20"/>
              </w:rPr>
            </w:pPr>
            <w:r>
              <w:rPr>
                <w:sz w:val="20"/>
                <w:szCs w:val="20"/>
              </w:rPr>
              <w:t>1,255</w:t>
            </w:r>
          </w:p>
        </w:tc>
        <w:tc>
          <w:tcPr>
            <w:tcW w:w="1530" w:type="dxa"/>
            <w:tcBorders/>
          </w:tcPr>
          <w:p>
            <w:pPr>
              <w:pStyle w:val="Normal"/>
              <w:keepNext w:val="true"/>
              <w:tabs>
                <w:tab w:val="clear" w:pos="720"/>
                <w:tab w:val="decimal" w:pos="783" w:leader="none"/>
              </w:tabs>
              <w:rPr>
                <w:sz w:val="20"/>
                <w:szCs w:val="20"/>
              </w:rPr>
            </w:pPr>
            <w:r>
              <w:rPr>
                <w:sz w:val="20"/>
                <w:szCs w:val="20"/>
              </w:rPr>
              <w:t>64%</w:t>
            </w:r>
          </w:p>
        </w:tc>
      </w:tr>
      <w:tr>
        <w:trPr/>
        <w:tc>
          <w:tcPr>
            <w:tcW w:w="1728" w:type="dxa"/>
            <w:tcBorders/>
          </w:tcPr>
          <w:p>
            <w:pPr>
              <w:pStyle w:val="Normal"/>
              <w:keepNext w:val="true"/>
              <w:snapToGrid w:val="false"/>
              <w:rPr>
                <w:sz w:val="20"/>
                <w:szCs w:val="20"/>
              </w:rPr>
            </w:pPr>
            <w:r>
              <w:rPr>
                <w:sz w:val="20"/>
                <w:szCs w:val="20"/>
              </w:rPr>
            </w:r>
          </w:p>
        </w:tc>
        <w:tc>
          <w:tcPr>
            <w:tcW w:w="1800" w:type="dxa"/>
            <w:tcBorders/>
          </w:tcPr>
          <w:p>
            <w:pPr>
              <w:pStyle w:val="Normal"/>
              <w:keepNext w:val="true"/>
              <w:tabs>
                <w:tab w:val="clear" w:pos="720"/>
                <w:tab w:val="decimal" w:pos="1053" w:leader="none"/>
              </w:tabs>
              <w:snapToGrid w:val="false"/>
              <w:rPr>
                <w:sz w:val="20"/>
                <w:szCs w:val="20"/>
              </w:rPr>
            </w:pPr>
            <w:r>
              <w:rPr>
                <w:sz w:val="20"/>
                <w:szCs w:val="20"/>
              </w:rPr>
            </w:r>
          </w:p>
        </w:tc>
        <w:tc>
          <w:tcPr>
            <w:tcW w:w="1620" w:type="dxa"/>
            <w:tcBorders/>
          </w:tcPr>
          <w:p>
            <w:pPr>
              <w:pStyle w:val="Normal"/>
              <w:keepNext w:val="true"/>
              <w:tabs>
                <w:tab w:val="clear" w:pos="720"/>
                <w:tab w:val="decimal" w:pos="963" w:leader="none"/>
              </w:tabs>
              <w:snapToGrid w:val="false"/>
              <w:rPr>
                <w:sz w:val="20"/>
                <w:szCs w:val="20"/>
              </w:rPr>
            </w:pPr>
            <w:r>
              <w:rPr>
                <w:sz w:val="20"/>
                <w:szCs w:val="20"/>
              </w:rPr>
            </w:r>
          </w:p>
        </w:tc>
        <w:tc>
          <w:tcPr>
            <w:tcW w:w="1530" w:type="dxa"/>
            <w:tcBorders/>
          </w:tcPr>
          <w:p>
            <w:pPr>
              <w:pStyle w:val="Normal"/>
              <w:keepNext w:val="true"/>
              <w:tabs>
                <w:tab w:val="clear" w:pos="720"/>
                <w:tab w:val="decimal" w:pos="783" w:leader="none"/>
              </w:tabs>
              <w:snapToGrid w:val="false"/>
              <w:rPr>
                <w:sz w:val="20"/>
                <w:szCs w:val="20"/>
              </w:rPr>
            </w:pPr>
            <w:r>
              <w:rPr>
                <w:sz w:val="20"/>
                <w:szCs w:val="20"/>
              </w:rPr>
            </w:r>
          </w:p>
        </w:tc>
      </w:tr>
      <w:tr>
        <w:trPr/>
        <w:tc>
          <w:tcPr>
            <w:tcW w:w="1728" w:type="dxa"/>
            <w:tcBorders/>
          </w:tcPr>
          <w:p>
            <w:pPr>
              <w:pStyle w:val="Normal"/>
              <w:keepNext w:val="true"/>
              <w:rPr>
                <w:sz w:val="20"/>
                <w:szCs w:val="20"/>
              </w:rPr>
            </w:pPr>
            <w:r>
              <w:rPr>
                <w:sz w:val="20"/>
                <w:szCs w:val="20"/>
                <w:u w:val="single"/>
              </w:rPr>
              <w:t>1998</w:t>
            </w:r>
          </w:p>
        </w:tc>
        <w:tc>
          <w:tcPr>
            <w:tcW w:w="1800" w:type="dxa"/>
            <w:tcBorders/>
          </w:tcPr>
          <w:p>
            <w:pPr>
              <w:pStyle w:val="Normal"/>
              <w:keepNext w:val="true"/>
              <w:tabs>
                <w:tab w:val="clear" w:pos="720"/>
                <w:tab w:val="decimal" w:pos="1053" w:leader="none"/>
              </w:tabs>
              <w:snapToGrid w:val="false"/>
              <w:rPr>
                <w:sz w:val="20"/>
                <w:szCs w:val="20"/>
              </w:rPr>
            </w:pPr>
            <w:r>
              <w:rPr>
                <w:sz w:val="20"/>
                <w:szCs w:val="20"/>
              </w:rPr>
            </w:r>
          </w:p>
        </w:tc>
        <w:tc>
          <w:tcPr>
            <w:tcW w:w="1620" w:type="dxa"/>
            <w:tcBorders/>
          </w:tcPr>
          <w:p>
            <w:pPr>
              <w:pStyle w:val="Normal"/>
              <w:keepNext w:val="true"/>
              <w:tabs>
                <w:tab w:val="clear" w:pos="720"/>
                <w:tab w:val="decimal" w:pos="963" w:leader="none"/>
              </w:tabs>
              <w:snapToGrid w:val="false"/>
              <w:rPr>
                <w:sz w:val="20"/>
                <w:szCs w:val="20"/>
              </w:rPr>
            </w:pPr>
            <w:r>
              <w:rPr>
                <w:sz w:val="20"/>
                <w:szCs w:val="20"/>
              </w:rPr>
            </w:r>
          </w:p>
        </w:tc>
        <w:tc>
          <w:tcPr>
            <w:tcW w:w="1530" w:type="dxa"/>
            <w:tcBorders/>
          </w:tcPr>
          <w:p>
            <w:pPr>
              <w:pStyle w:val="Normal"/>
              <w:keepNext w:val="true"/>
              <w:tabs>
                <w:tab w:val="clear" w:pos="720"/>
                <w:tab w:val="decimal" w:pos="783" w:leader="none"/>
              </w:tabs>
              <w:snapToGrid w:val="false"/>
              <w:rPr>
                <w:sz w:val="20"/>
                <w:szCs w:val="20"/>
              </w:rPr>
            </w:pPr>
            <w:r>
              <w:rPr>
                <w:sz w:val="20"/>
                <w:szCs w:val="20"/>
              </w:rPr>
            </w:r>
          </w:p>
        </w:tc>
      </w:tr>
      <w:tr>
        <w:trPr/>
        <w:tc>
          <w:tcPr>
            <w:tcW w:w="1728" w:type="dxa"/>
            <w:tcBorders/>
          </w:tcPr>
          <w:p>
            <w:pPr>
              <w:pStyle w:val="Normal"/>
              <w:keepNext w:val="true"/>
              <w:rPr>
                <w:sz w:val="20"/>
                <w:szCs w:val="20"/>
              </w:rPr>
            </w:pPr>
            <w:r>
              <w:rPr>
                <w:sz w:val="20"/>
                <w:szCs w:val="20"/>
              </w:rPr>
              <w:t>0.5%S max</w:t>
            </w:r>
          </w:p>
        </w:tc>
        <w:tc>
          <w:tcPr>
            <w:tcW w:w="1800" w:type="dxa"/>
            <w:tcBorders/>
          </w:tcPr>
          <w:p>
            <w:pPr>
              <w:pStyle w:val="Normal"/>
              <w:keepNext w:val="true"/>
              <w:tabs>
                <w:tab w:val="clear" w:pos="720"/>
                <w:tab w:val="decimal" w:pos="1053" w:leader="none"/>
              </w:tabs>
              <w:rPr>
                <w:sz w:val="20"/>
                <w:szCs w:val="20"/>
              </w:rPr>
            </w:pPr>
            <w:r>
              <w:rPr>
                <w:sz w:val="20"/>
                <w:szCs w:val="20"/>
              </w:rPr>
              <w:t>64</w:t>
            </w:r>
          </w:p>
        </w:tc>
        <w:tc>
          <w:tcPr>
            <w:tcW w:w="1620" w:type="dxa"/>
            <w:tcBorders/>
          </w:tcPr>
          <w:p>
            <w:pPr>
              <w:pStyle w:val="Normal"/>
              <w:keepNext w:val="true"/>
              <w:tabs>
                <w:tab w:val="clear" w:pos="720"/>
                <w:tab w:val="decimal" w:pos="963" w:leader="none"/>
              </w:tabs>
              <w:rPr>
                <w:sz w:val="20"/>
                <w:szCs w:val="20"/>
              </w:rPr>
            </w:pPr>
            <w:r>
              <w:rPr>
                <w:sz w:val="20"/>
                <w:szCs w:val="20"/>
              </w:rPr>
              <w:t>64</w:t>
            </w:r>
          </w:p>
        </w:tc>
        <w:tc>
          <w:tcPr>
            <w:tcW w:w="1530" w:type="dxa"/>
            <w:tcBorders/>
          </w:tcPr>
          <w:p>
            <w:pPr>
              <w:pStyle w:val="Normal"/>
              <w:keepNext w:val="true"/>
              <w:tabs>
                <w:tab w:val="clear" w:pos="720"/>
                <w:tab w:val="decimal" w:pos="783" w:leader="none"/>
              </w:tabs>
              <w:rPr>
                <w:sz w:val="20"/>
                <w:szCs w:val="20"/>
              </w:rPr>
            </w:pPr>
            <w:r>
              <w:rPr>
                <w:sz w:val="20"/>
                <w:szCs w:val="20"/>
              </w:rPr>
              <w:t>100%</w:t>
            </w:r>
          </w:p>
        </w:tc>
      </w:tr>
      <w:tr>
        <w:trPr/>
        <w:tc>
          <w:tcPr>
            <w:tcW w:w="1728" w:type="dxa"/>
            <w:tcBorders/>
          </w:tcPr>
          <w:p>
            <w:pPr>
              <w:pStyle w:val="Normal"/>
              <w:keepNext w:val="true"/>
              <w:rPr>
                <w:sz w:val="20"/>
                <w:szCs w:val="20"/>
              </w:rPr>
            </w:pPr>
            <w:r>
              <w:rPr>
                <w:sz w:val="20"/>
                <w:szCs w:val="20"/>
              </w:rPr>
              <w:t>1.0%S max</w:t>
            </w:r>
          </w:p>
        </w:tc>
        <w:tc>
          <w:tcPr>
            <w:tcW w:w="1800" w:type="dxa"/>
            <w:tcBorders/>
          </w:tcPr>
          <w:p>
            <w:pPr>
              <w:pStyle w:val="Normal"/>
              <w:keepNext w:val="true"/>
              <w:tabs>
                <w:tab w:val="clear" w:pos="720"/>
                <w:tab w:val="decimal" w:pos="1053" w:leader="none"/>
              </w:tabs>
              <w:rPr>
                <w:sz w:val="20"/>
                <w:szCs w:val="20"/>
              </w:rPr>
            </w:pPr>
            <w:r>
              <w:rPr>
                <w:sz w:val="20"/>
                <w:szCs w:val="20"/>
              </w:rPr>
              <w:t>1,630</w:t>
            </w:r>
          </w:p>
        </w:tc>
        <w:tc>
          <w:tcPr>
            <w:tcW w:w="1620" w:type="dxa"/>
            <w:tcBorders/>
          </w:tcPr>
          <w:p>
            <w:pPr>
              <w:pStyle w:val="Normal"/>
              <w:keepNext w:val="true"/>
              <w:tabs>
                <w:tab w:val="clear" w:pos="720"/>
                <w:tab w:val="decimal" w:pos="963" w:leader="none"/>
              </w:tabs>
              <w:rPr>
                <w:sz w:val="20"/>
                <w:szCs w:val="20"/>
              </w:rPr>
            </w:pPr>
            <w:r>
              <w:rPr>
                <w:sz w:val="20"/>
                <w:szCs w:val="20"/>
              </w:rPr>
              <w:t>1,264</w:t>
            </w:r>
          </w:p>
        </w:tc>
        <w:tc>
          <w:tcPr>
            <w:tcW w:w="1530" w:type="dxa"/>
            <w:tcBorders/>
          </w:tcPr>
          <w:p>
            <w:pPr>
              <w:pStyle w:val="Normal"/>
              <w:keepNext w:val="true"/>
              <w:tabs>
                <w:tab w:val="clear" w:pos="720"/>
                <w:tab w:val="decimal" w:pos="783" w:leader="none"/>
              </w:tabs>
              <w:rPr>
                <w:sz w:val="20"/>
                <w:szCs w:val="20"/>
              </w:rPr>
            </w:pPr>
            <w:r>
              <w:rPr>
                <w:sz w:val="20"/>
                <w:szCs w:val="20"/>
              </w:rPr>
              <w:t>78%</w:t>
            </w:r>
          </w:p>
        </w:tc>
      </w:tr>
      <w:tr>
        <w:trPr/>
        <w:tc>
          <w:tcPr>
            <w:tcW w:w="1728" w:type="dxa"/>
            <w:tcBorders/>
          </w:tcPr>
          <w:p>
            <w:pPr>
              <w:pStyle w:val="Normal"/>
              <w:keepNext w:val="true"/>
              <w:rPr>
                <w:sz w:val="20"/>
                <w:szCs w:val="20"/>
              </w:rPr>
            </w:pPr>
            <w:r>
              <w:rPr>
                <w:sz w:val="20"/>
                <w:szCs w:val="20"/>
              </w:rPr>
              <w:t>2.0%S max</w:t>
            </w:r>
          </w:p>
        </w:tc>
        <w:tc>
          <w:tcPr>
            <w:tcW w:w="1800" w:type="dxa"/>
            <w:tcBorders/>
          </w:tcPr>
          <w:p>
            <w:pPr>
              <w:pStyle w:val="Normal"/>
              <w:keepNext w:val="true"/>
              <w:tabs>
                <w:tab w:val="clear" w:pos="720"/>
                <w:tab w:val="decimal" w:pos="1053" w:leader="none"/>
              </w:tabs>
              <w:rPr>
                <w:sz w:val="20"/>
                <w:szCs w:val="20"/>
              </w:rPr>
            </w:pPr>
            <w:r>
              <w:rPr>
                <w:sz w:val="20"/>
                <w:szCs w:val="20"/>
              </w:rPr>
              <w:t>462</w:t>
            </w:r>
          </w:p>
        </w:tc>
        <w:tc>
          <w:tcPr>
            <w:tcW w:w="1620" w:type="dxa"/>
            <w:tcBorders/>
          </w:tcPr>
          <w:p>
            <w:pPr>
              <w:pStyle w:val="Normal"/>
              <w:keepNext w:val="true"/>
              <w:tabs>
                <w:tab w:val="clear" w:pos="720"/>
                <w:tab w:val="decimal" w:pos="963" w:leader="none"/>
              </w:tabs>
              <w:rPr>
                <w:sz w:val="20"/>
                <w:szCs w:val="20"/>
              </w:rPr>
            </w:pPr>
            <w:r>
              <w:rPr>
                <w:sz w:val="20"/>
                <w:szCs w:val="20"/>
              </w:rPr>
              <w:t>443</w:t>
            </w:r>
          </w:p>
        </w:tc>
        <w:tc>
          <w:tcPr>
            <w:tcW w:w="1530" w:type="dxa"/>
            <w:tcBorders/>
          </w:tcPr>
          <w:p>
            <w:pPr>
              <w:pStyle w:val="Normal"/>
              <w:keepNext w:val="true"/>
              <w:tabs>
                <w:tab w:val="clear" w:pos="720"/>
                <w:tab w:val="decimal" w:pos="783" w:leader="none"/>
              </w:tabs>
              <w:rPr>
                <w:sz w:val="20"/>
                <w:szCs w:val="20"/>
              </w:rPr>
            </w:pPr>
            <w:r>
              <w:rPr>
                <w:sz w:val="20"/>
                <w:szCs w:val="20"/>
              </w:rPr>
              <w:t>96%</w:t>
            </w:r>
          </w:p>
        </w:tc>
      </w:tr>
      <w:tr>
        <w:trPr/>
        <w:tc>
          <w:tcPr>
            <w:tcW w:w="1728" w:type="dxa"/>
            <w:tcBorders/>
          </w:tcPr>
          <w:p>
            <w:pPr>
              <w:pStyle w:val="Normal"/>
              <w:keepNext w:val="true"/>
              <w:rPr>
                <w:sz w:val="20"/>
                <w:szCs w:val="20"/>
              </w:rPr>
            </w:pPr>
            <w:r>
              <w:rPr>
                <w:sz w:val="20"/>
                <w:szCs w:val="20"/>
              </w:rPr>
              <w:t>Total</w:t>
            </w:r>
          </w:p>
        </w:tc>
        <w:tc>
          <w:tcPr>
            <w:tcW w:w="1800" w:type="dxa"/>
            <w:tcBorders/>
          </w:tcPr>
          <w:p>
            <w:pPr>
              <w:pStyle w:val="Normal"/>
              <w:keepNext w:val="true"/>
              <w:tabs>
                <w:tab w:val="clear" w:pos="720"/>
                <w:tab w:val="decimal" w:pos="1053" w:leader="none"/>
              </w:tabs>
              <w:rPr>
                <w:sz w:val="20"/>
                <w:szCs w:val="20"/>
              </w:rPr>
            </w:pPr>
            <w:r>
              <w:rPr>
                <w:sz w:val="20"/>
                <w:szCs w:val="20"/>
              </w:rPr>
              <w:t>2,156</w:t>
            </w:r>
          </w:p>
        </w:tc>
        <w:tc>
          <w:tcPr>
            <w:tcW w:w="1620" w:type="dxa"/>
            <w:tcBorders/>
          </w:tcPr>
          <w:p>
            <w:pPr>
              <w:pStyle w:val="Normal"/>
              <w:keepNext w:val="true"/>
              <w:tabs>
                <w:tab w:val="clear" w:pos="720"/>
                <w:tab w:val="decimal" w:pos="963" w:leader="none"/>
              </w:tabs>
              <w:rPr>
                <w:sz w:val="20"/>
                <w:szCs w:val="20"/>
              </w:rPr>
            </w:pPr>
            <w:r>
              <w:rPr>
                <w:sz w:val="20"/>
                <w:szCs w:val="20"/>
              </w:rPr>
              <w:t>1,771</w:t>
            </w:r>
          </w:p>
        </w:tc>
        <w:tc>
          <w:tcPr>
            <w:tcW w:w="1530" w:type="dxa"/>
            <w:tcBorders/>
          </w:tcPr>
          <w:p>
            <w:pPr>
              <w:pStyle w:val="Normal"/>
              <w:keepNext w:val="true"/>
              <w:tabs>
                <w:tab w:val="clear" w:pos="720"/>
                <w:tab w:val="decimal" w:pos="783" w:leader="none"/>
              </w:tabs>
              <w:rPr>
                <w:sz w:val="20"/>
                <w:szCs w:val="20"/>
              </w:rPr>
            </w:pPr>
            <w:r>
              <w:rPr>
                <w:sz w:val="20"/>
                <w:szCs w:val="20"/>
              </w:rPr>
              <w:t>82%</w:t>
            </w:r>
          </w:p>
        </w:tc>
      </w:tr>
      <w:tr>
        <w:trPr/>
        <w:tc>
          <w:tcPr>
            <w:tcW w:w="1728" w:type="dxa"/>
            <w:tcBorders/>
          </w:tcPr>
          <w:p>
            <w:pPr>
              <w:pStyle w:val="Normal"/>
              <w:keepNext w:val="true"/>
              <w:snapToGrid w:val="false"/>
              <w:rPr>
                <w:sz w:val="20"/>
                <w:szCs w:val="20"/>
              </w:rPr>
            </w:pPr>
            <w:r>
              <w:rPr>
                <w:sz w:val="20"/>
                <w:szCs w:val="20"/>
              </w:rPr>
            </w:r>
          </w:p>
        </w:tc>
        <w:tc>
          <w:tcPr>
            <w:tcW w:w="1800" w:type="dxa"/>
            <w:tcBorders/>
          </w:tcPr>
          <w:p>
            <w:pPr>
              <w:pStyle w:val="Normal"/>
              <w:keepNext w:val="true"/>
              <w:tabs>
                <w:tab w:val="clear" w:pos="720"/>
                <w:tab w:val="decimal" w:pos="1053" w:leader="none"/>
              </w:tabs>
              <w:snapToGrid w:val="false"/>
              <w:rPr>
                <w:sz w:val="20"/>
                <w:szCs w:val="20"/>
              </w:rPr>
            </w:pPr>
            <w:r>
              <w:rPr>
                <w:sz w:val="20"/>
                <w:szCs w:val="20"/>
              </w:rPr>
            </w:r>
          </w:p>
        </w:tc>
        <w:tc>
          <w:tcPr>
            <w:tcW w:w="1620" w:type="dxa"/>
            <w:tcBorders/>
          </w:tcPr>
          <w:p>
            <w:pPr>
              <w:pStyle w:val="Normal"/>
              <w:keepNext w:val="true"/>
              <w:tabs>
                <w:tab w:val="clear" w:pos="720"/>
                <w:tab w:val="decimal" w:pos="963" w:leader="none"/>
              </w:tabs>
              <w:snapToGrid w:val="false"/>
              <w:rPr>
                <w:sz w:val="20"/>
                <w:szCs w:val="20"/>
              </w:rPr>
            </w:pPr>
            <w:r>
              <w:rPr>
                <w:sz w:val="20"/>
                <w:szCs w:val="20"/>
              </w:rPr>
            </w:r>
          </w:p>
        </w:tc>
        <w:tc>
          <w:tcPr>
            <w:tcW w:w="1530" w:type="dxa"/>
            <w:tcBorders/>
          </w:tcPr>
          <w:p>
            <w:pPr>
              <w:pStyle w:val="Normal"/>
              <w:keepNext w:val="true"/>
              <w:tabs>
                <w:tab w:val="clear" w:pos="720"/>
                <w:tab w:val="decimal" w:pos="783" w:leader="none"/>
              </w:tabs>
              <w:snapToGrid w:val="false"/>
              <w:rPr>
                <w:sz w:val="20"/>
                <w:szCs w:val="20"/>
              </w:rPr>
            </w:pPr>
            <w:r>
              <w:rPr>
                <w:sz w:val="20"/>
                <w:szCs w:val="20"/>
              </w:rPr>
            </w:r>
          </w:p>
        </w:tc>
      </w:tr>
      <w:tr>
        <w:trPr/>
        <w:tc>
          <w:tcPr>
            <w:tcW w:w="1728" w:type="dxa"/>
            <w:tcBorders/>
          </w:tcPr>
          <w:p>
            <w:pPr>
              <w:pStyle w:val="Normal"/>
              <w:keepNext w:val="true"/>
              <w:rPr/>
            </w:pPr>
            <w:r>
              <w:rPr>
                <w:sz w:val="20"/>
                <w:szCs w:val="20"/>
                <w:u w:val="single"/>
              </w:rPr>
              <w:t>1999 (Forecast</w:t>
            </w:r>
            <w:r>
              <w:rPr>
                <w:sz w:val="20"/>
                <w:szCs w:val="20"/>
              </w:rPr>
              <w:t>)</w:t>
            </w:r>
          </w:p>
        </w:tc>
        <w:tc>
          <w:tcPr>
            <w:tcW w:w="1800" w:type="dxa"/>
            <w:tcBorders/>
          </w:tcPr>
          <w:p>
            <w:pPr>
              <w:pStyle w:val="Normal"/>
              <w:keepNext w:val="true"/>
              <w:tabs>
                <w:tab w:val="clear" w:pos="720"/>
                <w:tab w:val="decimal" w:pos="1053" w:leader="none"/>
              </w:tabs>
              <w:snapToGrid w:val="false"/>
              <w:rPr>
                <w:sz w:val="20"/>
                <w:szCs w:val="20"/>
              </w:rPr>
            </w:pPr>
            <w:r>
              <w:rPr>
                <w:sz w:val="20"/>
                <w:szCs w:val="20"/>
              </w:rPr>
            </w:r>
          </w:p>
        </w:tc>
        <w:tc>
          <w:tcPr>
            <w:tcW w:w="1620" w:type="dxa"/>
            <w:tcBorders/>
          </w:tcPr>
          <w:p>
            <w:pPr>
              <w:pStyle w:val="Normal"/>
              <w:keepNext w:val="true"/>
              <w:tabs>
                <w:tab w:val="clear" w:pos="720"/>
                <w:tab w:val="decimal" w:pos="963" w:leader="none"/>
              </w:tabs>
              <w:snapToGrid w:val="false"/>
              <w:rPr>
                <w:sz w:val="20"/>
                <w:szCs w:val="20"/>
              </w:rPr>
            </w:pPr>
            <w:r>
              <w:rPr>
                <w:sz w:val="20"/>
                <w:szCs w:val="20"/>
              </w:rPr>
            </w:r>
          </w:p>
        </w:tc>
        <w:tc>
          <w:tcPr>
            <w:tcW w:w="1530" w:type="dxa"/>
            <w:tcBorders/>
          </w:tcPr>
          <w:p>
            <w:pPr>
              <w:pStyle w:val="Normal"/>
              <w:keepNext w:val="true"/>
              <w:tabs>
                <w:tab w:val="clear" w:pos="720"/>
                <w:tab w:val="decimal" w:pos="783" w:leader="none"/>
              </w:tabs>
              <w:snapToGrid w:val="false"/>
              <w:rPr>
                <w:sz w:val="20"/>
                <w:szCs w:val="20"/>
              </w:rPr>
            </w:pPr>
            <w:r>
              <w:rPr>
                <w:sz w:val="20"/>
                <w:szCs w:val="20"/>
              </w:rPr>
            </w:r>
          </w:p>
        </w:tc>
      </w:tr>
      <w:tr>
        <w:trPr/>
        <w:tc>
          <w:tcPr>
            <w:tcW w:w="1728" w:type="dxa"/>
            <w:tcBorders/>
          </w:tcPr>
          <w:p>
            <w:pPr>
              <w:pStyle w:val="Normal"/>
              <w:keepNext w:val="true"/>
              <w:rPr>
                <w:sz w:val="20"/>
                <w:szCs w:val="20"/>
              </w:rPr>
            </w:pPr>
            <w:r>
              <w:rPr>
                <w:sz w:val="20"/>
                <w:szCs w:val="20"/>
              </w:rPr>
              <w:t>0.5%S max</w:t>
            </w:r>
          </w:p>
        </w:tc>
        <w:tc>
          <w:tcPr>
            <w:tcW w:w="1800" w:type="dxa"/>
            <w:tcBorders/>
          </w:tcPr>
          <w:p>
            <w:pPr>
              <w:pStyle w:val="Normal"/>
              <w:keepNext w:val="true"/>
              <w:tabs>
                <w:tab w:val="clear" w:pos="720"/>
                <w:tab w:val="decimal" w:pos="1053" w:leader="none"/>
              </w:tabs>
              <w:rPr>
                <w:sz w:val="20"/>
                <w:szCs w:val="20"/>
              </w:rPr>
            </w:pPr>
            <w:r>
              <w:rPr>
                <w:sz w:val="20"/>
                <w:szCs w:val="20"/>
              </w:rPr>
              <w:t>90</w:t>
            </w:r>
          </w:p>
        </w:tc>
        <w:tc>
          <w:tcPr>
            <w:tcW w:w="1620" w:type="dxa"/>
            <w:tcBorders/>
          </w:tcPr>
          <w:p>
            <w:pPr>
              <w:pStyle w:val="Normal"/>
              <w:keepNext w:val="true"/>
              <w:tabs>
                <w:tab w:val="clear" w:pos="720"/>
                <w:tab w:val="decimal" w:pos="963" w:leader="none"/>
              </w:tabs>
              <w:rPr>
                <w:sz w:val="20"/>
                <w:szCs w:val="20"/>
              </w:rPr>
            </w:pPr>
            <w:r>
              <w:rPr>
                <w:sz w:val="20"/>
                <w:szCs w:val="20"/>
              </w:rPr>
              <w:t>0</w:t>
            </w:r>
          </w:p>
        </w:tc>
        <w:tc>
          <w:tcPr>
            <w:tcW w:w="1530" w:type="dxa"/>
            <w:tcBorders/>
          </w:tcPr>
          <w:p>
            <w:pPr>
              <w:pStyle w:val="Normal"/>
              <w:keepNext w:val="true"/>
              <w:tabs>
                <w:tab w:val="clear" w:pos="720"/>
                <w:tab w:val="decimal" w:pos="783" w:leader="none"/>
              </w:tabs>
              <w:rPr>
                <w:sz w:val="20"/>
                <w:szCs w:val="20"/>
              </w:rPr>
            </w:pPr>
            <w:r>
              <w:rPr>
                <w:sz w:val="20"/>
                <w:szCs w:val="20"/>
              </w:rPr>
              <w:t>0%</w:t>
            </w:r>
          </w:p>
        </w:tc>
      </w:tr>
      <w:tr>
        <w:trPr/>
        <w:tc>
          <w:tcPr>
            <w:tcW w:w="1728" w:type="dxa"/>
            <w:tcBorders/>
          </w:tcPr>
          <w:p>
            <w:pPr>
              <w:pStyle w:val="Normal"/>
              <w:keepNext w:val="true"/>
              <w:rPr>
                <w:sz w:val="20"/>
                <w:szCs w:val="20"/>
              </w:rPr>
            </w:pPr>
            <w:r>
              <w:rPr>
                <w:sz w:val="20"/>
                <w:szCs w:val="20"/>
              </w:rPr>
              <w:t>1.0%S max</w:t>
            </w:r>
          </w:p>
        </w:tc>
        <w:tc>
          <w:tcPr>
            <w:tcW w:w="1800" w:type="dxa"/>
            <w:tcBorders/>
          </w:tcPr>
          <w:p>
            <w:pPr>
              <w:pStyle w:val="Normal"/>
              <w:keepNext w:val="true"/>
              <w:tabs>
                <w:tab w:val="clear" w:pos="720"/>
                <w:tab w:val="decimal" w:pos="1053" w:leader="none"/>
              </w:tabs>
              <w:rPr>
                <w:sz w:val="20"/>
                <w:szCs w:val="20"/>
              </w:rPr>
            </w:pPr>
            <w:r>
              <w:rPr>
                <w:sz w:val="20"/>
                <w:szCs w:val="20"/>
              </w:rPr>
              <w:t>1,765</w:t>
            </w:r>
          </w:p>
        </w:tc>
        <w:tc>
          <w:tcPr>
            <w:tcW w:w="1620" w:type="dxa"/>
            <w:tcBorders/>
          </w:tcPr>
          <w:p>
            <w:pPr>
              <w:pStyle w:val="Normal"/>
              <w:keepNext w:val="true"/>
              <w:tabs>
                <w:tab w:val="clear" w:pos="720"/>
                <w:tab w:val="decimal" w:pos="963" w:leader="none"/>
              </w:tabs>
              <w:rPr>
                <w:sz w:val="20"/>
                <w:szCs w:val="20"/>
              </w:rPr>
            </w:pPr>
            <w:r>
              <w:rPr>
                <w:sz w:val="20"/>
                <w:szCs w:val="20"/>
              </w:rPr>
              <w:t>650</w:t>
            </w:r>
          </w:p>
        </w:tc>
        <w:tc>
          <w:tcPr>
            <w:tcW w:w="1530" w:type="dxa"/>
            <w:tcBorders/>
          </w:tcPr>
          <w:p>
            <w:pPr>
              <w:pStyle w:val="Normal"/>
              <w:keepNext w:val="true"/>
              <w:tabs>
                <w:tab w:val="clear" w:pos="720"/>
                <w:tab w:val="decimal" w:pos="783" w:leader="none"/>
              </w:tabs>
              <w:rPr>
                <w:sz w:val="20"/>
                <w:szCs w:val="20"/>
              </w:rPr>
            </w:pPr>
            <w:r>
              <w:rPr>
                <w:sz w:val="20"/>
                <w:szCs w:val="20"/>
              </w:rPr>
              <w:t>37%</w:t>
            </w:r>
          </w:p>
        </w:tc>
      </w:tr>
      <w:tr>
        <w:trPr/>
        <w:tc>
          <w:tcPr>
            <w:tcW w:w="1728" w:type="dxa"/>
            <w:tcBorders/>
          </w:tcPr>
          <w:p>
            <w:pPr>
              <w:pStyle w:val="Normal"/>
              <w:keepNext w:val="true"/>
              <w:rPr>
                <w:sz w:val="20"/>
                <w:szCs w:val="20"/>
              </w:rPr>
            </w:pPr>
            <w:r>
              <w:rPr>
                <w:sz w:val="20"/>
                <w:szCs w:val="20"/>
              </w:rPr>
              <w:t>2.0%S max</w:t>
            </w:r>
          </w:p>
        </w:tc>
        <w:tc>
          <w:tcPr>
            <w:tcW w:w="1800" w:type="dxa"/>
            <w:tcBorders/>
          </w:tcPr>
          <w:p>
            <w:pPr>
              <w:pStyle w:val="Normal"/>
              <w:keepNext w:val="true"/>
              <w:tabs>
                <w:tab w:val="clear" w:pos="720"/>
                <w:tab w:val="decimal" w:pos="1053" w:leader="none"/>
              </w:tabs>
              <w:rPr>
                <w:sz w:val="20"/>
                <w:szCs w:val="20"/>
              </w:rPr>
            </w:pPr>
            <w:r>
              <w:rPr>
                <w:sz w:val="20"/>
                <w:szCs w:val="20"/>
              </w:rPr>
              <w:t>470</w:t>
            </w:r>
          </w:p>
        </w:tc>
        <w:tc>
          <w:tcPr>
            <w:tcW w:w="1620" w:type="dxa"/>
            <w:tcBorders/>
          </w:tcPr>
          <w:p>
            <w:pPr>
              <w:pStyle w:val="Normal"/>
              <w:keepNext w:val="true"/>
              <w:tabs>
                <w:tab w:val="clear" w:pos="720"/>
                <w:tab w:val="decimal" w:pos="963" w:leader="none"/>
              </w:tabs>
              <w:rPr>
                <w:sz w:val="20"/>
                <w:szCs w:val="20"/>
              </w:rPr>
            </w:pPr>
            <w:r>
              <w:rPr>
                <w:sz w:val="20"/>
                <w:szCs w:val="20"/>
              </w:rPr>
              <w:t>300</w:t>
            </w:r>
          </w:p>
        </w:tc>
        <w:tc>
          <w:tcPr>
            <w:tcW w:w="1530" w:type="dxa"/>
            <w:tcBorders/>
          </w:tcPr>
          <w:p>
            <w:pPr>
              <w:pStyle w:val="Normal"/>
              <w:keepNext w:val="true"/>
              <w:tabs>
                <w:tab w:val="clear" w:pos="720"/>
                <w:tab w:val="decimal" w:pos="783" w:leader="none"/>
              </w:tabs>
              <w:rPr>
                <w:sz w:val="20"/>
                <w:szCs w:val="20"/>
              </w:rPr>
            </w:pPr>
            <w:r>
              <w:rPr>
                <w:sz w:val="20"/>
                <w:szCs w:val="20"/>
              </w:rPr>
              <w:t>64%</w:t>
            </w:r>
          </w:p>
        </w:tc>
      </w:tr>
      <w:tr>
        <w:trPr/>
        <w:tc>
          <w:tcPr>
            <w:tcW w:w="1728" w:type="dxa"/>
            <w:tcBorders/>
          </w:tcPr>
          <w:p>
            <w:pPr>
              <w:pStyle w:val="Normal"/>
              <w:rPr>
                <w:sz w:val="20"/>
                <w:szCs w:val="20"/>
              </w:rPr>
            </w:pPr>
            <w:r>
              <w:rPr>
                <w:sz w:val="20"/>
                <w:szCs w:val="20"/>
              </w:rPr>
              <w:t>Total</w:t>
            </w:r>
          </w:p>
        </w:tc>
        <w:tc>
          <w:tcPr>
            <w:tcW w:w="1800" w:type="dxa"/>
            <w:tcBorders/>
          </w:tcPr>
          <w:p>
            <w:pPr>
              <w:pStyle w:val="Normal"/>
              <w:tabs>
                <w:tab w:val="clear" w:pos="720"/>
                <w:tab w:val="decimal" w:pos="1053" w:leader="none"/>
              </w:tabs>
              <w:rPr>
                <w:sz w:val="20"/>
                <w:szCs w:val="20"/>
              </w:rPr>
            </w:pPr>
            <w:r>
              <w:rPr>
                <w:sz w:val="20"/>
                <w:szCs w:val="20"/>
              </w:rPr>
              <w:t>2,325</w:t>
            </w:r>
          </w:p>
        </w:tc>
        <w:tc>
          <w:tcPr>
            <w:tcW w:w="1620" w:type="dxa"/>
            <w:tcBorders/>
          </w:tcPr>
          <w:p>
            <w:pPr>
              <w:pStyle w:val="Normal"/>
              <w:tabs>
                <w:tab w:val="clear" w:pos="720"/>
                <w:tab w:val="decimal" w:pos="963" w:leader="none"/>
              </w:tabs>
              <w:rPr>
                <w:sz w:val="20"/>
                <w:szCs w:val="20"/>
              </w:rPr>
            </w:pPr>
            <w:r>
              <w:rPr>
                <w:sz w:val="20"/>
                <w:szCs w:val="20"/>
              </w:rPr>
              <w:t>950</w:t>
            </w:r>
          </w:p>
        </w:tc>
        <w:tc>
          <w:tcPr>
            <w:tcW w:w="1530" w:type="dxa"/>
            <w:tcBorders/>
          </w:tcPr>
          <w:p>
            <w:pPr>
              <w:pStyle w:val="Normal"/>
              <w:tabs>
                <w:tab w:val="clear" w:pos="720"/>
                <w:tab w:val="decimal" w:pos="783" w:leader="none"/>
              </w:tabs>
              <w:rPr>
                <w:sz w:val="20"/>
                <w:szCs w:val="20"/>
              </w:rPr>
            </w:pPr>
            <w:r>
              <w:rPr>
                <w:sz w:val="20"/>
                <w:szCs w:val="20"/>
              </w:rPr>
              <w:t>41%</w:t>
            </w:r>
          </w:p>
        </w:tc>
      </w:tr>
    </w:tbl>
    <w:p>
      <w:pPr>
        <w:pStyle w:val="Normal"/>
        <w:rPr/>
      </w:pPr>
      <w:r>
        <w:rPr/>
      </w:r>
    </w:p>
    <w:p>
      <w:pPr>
        <w:pStyle w:val="Normal"/>
        <w:rPr/>
      </w:pPr>
      <w:r>
        <w:rPr/>
        <w:t>Israel Electric has two contract suppliers in calendar 1999.  Swiss-based Enerco, the holder of the 1998 contract for imported fuel oil, also holds the 1999 contract for imports.  While Paz and Sonol held contracts for locally-produced resid in 1998, Delek holds the 1999 contract.  At its option, IEC has the right  to renew both the Enerco and Delek contracts for calendar 2000.</w:t>
      </w:r>
    </w:p>
    <w:p>
      <w:pPr>
        <w:pStyle w:val="Normal"/>
        <w:rPr/>
      </w:pPr>
      <w:r>
        <w:rPr/>
      </w:r>
    </w:p>
    <w:p>
      <w:pPr>
        <w:pStyle w:val="Normal"/>
        <w:rPr/>
      </w:pPr>
      <w:r>
        <w:rPr/>
        <w:t>IEC burns fuel oil primarily at three power plants — Haifa (400 MW), Tel Aviv (500 MW), and Ashdod (1,200 MW).  The Haifa and Tel Aviv plants burn 1%S resid with asphaltenes content restricted to 5.0 weight percent.  Ashdod burns mainly 2%S and 1%S of fuel oil.  Additionally, Ashdod burns some 0.5%S resid.  No asphaltenes restrictions apply to fuel oil for Ashdod.</w:t>
      </w:r>
    </w:p>
    <w:p>
      <w:pPr>
        <w:pStyle w:val="Normal"/>
        <w:rPr/>
      </w:pPr>
      <w:r>
        <w:rPr/>
      </w:r>
    </w:p>
    <w:p>
      <w:pPr>
        <w:pStyle w:val="Normal"/>
        <w:rPr/>
      </w:pPr>
      <w:r>
        <w:rPr/>
        <w:t>Meanwhile, Israel Electric plans to increase coal-fired capacity at Ashkelon by 1,150 MW in the coming years.  A 575 MW coal-fired unit is expected to start operations in June 2000 and another 575 MW unit is expected to start operations in June 2001.</w:t>
      </w:r>
    </w:p>
    <w:p>
      <w:pPr>
        <w:pStyle w:val="Heading3"/>
        <w:ind w:hanging="0" w:start="0"/>
        <w:rPr/>
      </w:pPr>
      <w:r>
        <w:rPr/>
        <w:t>Romanian Residual Fuel Imports Jump Up</w:t>
      </w:r>
    </w:p>
    <w:p>
      <w:pPr>
        <w:pStyle w:val="Normal"/>
        <w:rPr/>
      </w:pPr>
      <w:r>
        <w:rPr/>
        <w:t xml:space="preserve">Imports of high-sulfur residual fuel oil (HSFO) into Romania are expected to jump dramatically in February.  Sources indicate Romania’s state-owned power company, National Electric Company (Conel), will import a total of approximately 450,000 tons of HSFO during February.  Conel’s imports in February 1999, alone, will be greater than its total imports during the fourth quarter of 1998, and will be the equivalent of roughly one-third of the Romanian power company’s residual fuel oil imports for all of calendar year 1998 (see </w:t>
      </w:r>
      <w:r>
        <w:rPr>
          <w:i/>
          <w:iCs/>
        </w:rPr>
        <w:t>Fuel Oil in World Markets</w:t>
      </w:r>
      <w:r>
        <w:rPr/>
        <w:t>, December 1998, pp. 4-5).  Conel is the successor organization to the Romanian Electric Authority (Renel).</w:t>
      </w:r>
    </w:p>
    <w:p>
      <w:pPr>
        <w:pStyle w:val="Normal"/>
        <w:rPr/>
      </w:pPr>
      <w:r>
        <w:rPr/>
      </w:r>
    </w:p>
    <w:p>
      <w:pPr>
        <w:pStyle w:val="Normal"/>
        <w:rPr/>
      </w:pPr>
      <w:r>
        <w:rPr/>
        <w:t xml:space="preserve">Since the beginning of this year, Romania’s residual fuel oil imports have been on the upswing.  In January, seaborne residual fuel oil imports totaled approximately 100,000 tons; an additional 70,000 tons of HSFO was imported by rail.  In February, seaborne imports are expected to dominate </w:t>
      </w:r>
      <w:r>
        <w:rPr>
          <w:rFonts w:eastAsia="Symbol" w:cs="Symbol" w:ascii="Symbol" w:hAnsi="Symbol"/>
        </w:rPr>
        <w:sym w:font="Symbol" w:char="be"/>
      </w:r>
      <w:r>
        <w:rPr/>
        <w:t xml:space="preserve"> approximately 400,000 tons of HSFO will be delivered into Constanta by ocean-going tanker, while 40,000-50,000 tons will be delivered into northeast Romania by rail.  Overland product deliveries to Romania usually originate from Russia, Belarus and Ukraine.</w:t>
      </w:r>
    </w:p>
    <w:p>
      <w:pPr>
        <w:pStyle w:val="Normal"/>
        <w:rPr/>
      </w:pPr>
      <w:r>
        <w:rPr/>
      </w:r>
    </w:p>
    <w:p>
      <w:pPr>
        <w:pStyle w:val="Normal"/>
        <w:rPr/>
      </w:pPr>
      <w:r>
        <w:rPr/>
        <w:t>HSFO imports have increased despite steady supplies from Romanian refineries.  Sources indicate Conel bought approximately 150,000 tons of domestically-produced residual fuel oil in January and expects to buy about 120,000 tons during February.</w:t>
      </w:r>
    </w:p>
    <w:p>
      <w:pPr>
        <w:pStyle w:val="Normal"/>
        <w:rPr/>
      </w:pPr>
      <w:r>
        <w:rPr/>
      </w:r>
    </w:p>
    <w:p>
      <w:pPr>
        <w:pStyle w:val="Normal"/>
        <w:ind w:end="-180"/>
        <w:rPr/>
      </w:pPr>
      <w:r>
        <w:rPr/>
        <w:t>The key factor driving Romanian residual fuel imports up appears to be related to  natural gas supply.  Conel reportedly is buying approximately ten million cubic meters per day of domestically-produced natural gas.  In addition, to cover higher winter-time power demand, the company is supplementing domestic gas supply with imported natural gas purchases; the imported gas originates in Russia.  Sources indicate a commercial dispute between Conel and one of its gas suppliers has resulted in Conel receiving lower volumes of imported natural gas since the beginning of 1999.  By some accounts, as much as five million cubic meters per day of imported natural gas may have been withdrawn from Conel’s fuel supply program.  Conel has reportedly ramped-up heavy fuel oil purchases to make up for the reduction in imported natural gas supplies.</w:t>
      </w:r>
    </w:p>
    <w:p>
      <w:pPr>
        <w:pStyle w:val="Normal"/>
        <w:rPr/>
      </w:pPr>
      <w:r>
        <w:rPr/>
      </w:r>
    </w:p>
    <w:p>
      <w:pPr>
        <w:pStyle w:val="Normal"/>
        <w:rPr/>
      </w:pPr>
      <w:r>
        <w:rPr/>
        <w:t xml:space="preserve">Most of the HSFO now being supplied to Romania is being provided by international trading companies holding frame contracts with Conel </w:t>
      </w:r>
      <w:r>
        <w:rPr>
          <w:rFonts w:eastAsia="Symbol" w:cs="Symbol" w:ascii="Symbol" w:hAnsi="Symbol"/>
        </w:rPr>
        <w:sym w:font="Symbol" w:char="be"/>
      </w:r>
      <w:r>
        <w:rPr/>
        <w:t xml:space="preserve"> Galaxy, Glencore, Trafigura, Marc Rich, and Vitol (see </w:t>
      </w:r>
      <w:r>
        <w:rPr>
          <w:i/>
          <w:iCs/>
        </w:rPr>
        <w:t>Fuel Oil in World Markets</w:t>
      </w:r>
      <w:r>
        <w:rPr/>
        <w:t xml:space="preserve">, December 1998, pp.4-5).  During February, trading company, Onyx, is also reported to be supplying a residual fuel cargo to Conel; the cargo is believed to be Russian-origin. </w:t>
      </w:r>
    </w:p>
    <w:p>
      <w:pPr>
        <w:pStyle w:val="Normal"/>
        <w:rPr/>
      </w:pPr>
      <w:r>
        <w:rPr/>
      </w:r>
    </w:p>
    <w:p>
      <w:pPr>
        <w:pStyle w:val="Normal"/>
        <w:rPr/>
      </w:pPr>
      <w:r>
        <w:rPr/>
        <w:t xml:space="preserve">Sources indicate Romania’s residual imports in March are not likely to approach February’s volumes.  Notwithstanding this, imports will still be relatively healthy.  Total March imports are likely to be roughly half those in February, due, in large measure, to the prospect that “winter is over”.  The best guess is that total March HSFO imports will be about 200,000 tons, with about half this quantity supplied by sea and half overland.  Reportedly, Glencore and Galaxy have already agreed to supply a cargo each of HSFO to Conel in March.  </w:t>
      </w:r>
    </w:p>
    <w:p>
      <w:pPr>
        <w:pStyle w:val="Normal"/>
        <w:rPr/>
      </w:pPr>
      <w:r>
        <w:rPr/>
      </w:r>
    </w:p>
    <w:p>
      <w:pPr>
        <w:pStyle w:val="Normal"/>
        <w:rPr/>
      </w:pPr>
      <w:r>
        <w:rPr/>
        <w:t>There is a high probability that seaborne imports of HSFO will not be required for several months after March, according to sources.  Imports of residual fuel oil by rail are likely to continue after March, however.</w:t>
      </w:r>
    </w:p>
    <w:p>
      <w:pPr>
        <w:pStyle w:val="Heading3"/>
        <w:ind w:hanging="0" w:start="0"/>
        <w:rPr/>
      </w:pPr>
      <w:r>
        <w:rPr/>
        <w:t>Brazilian LSFO Exports Surge</w:t>
      </w:r>
    </w:p>
    <w:p>
      <w:pPr>
        <w:pStyle w:val="Normal"/>
        <w:rPr/>
      </w:pPr>
      <w:r>
        <w:rPr/>
        <w:t>Brazilian exports of low-sulfur residual fuel oil (LSFO) have risen dramatically since late-January.  By some estimates, Brazilian oil company, Petrobras, will export in the vicinity of 500,000 tons of LSFO between late-January and the end of February.</w:t>
      </w:r>
    </w:p>
    <w:p>
      <w:pPr>
        <w:pStyle w:val="Normal"/>
        <w:spacing w:before="240" w:after="0"/>
        <w:rPr/>
      </w:pPr>
      <w:r>
        <w:rPr/>
        <w:t xml:space="preserve">Approximately 300,000 tons of maximum 1.0 weight percent sulfur content residual fuel will be exported from Petrobras’s refineries in Santos, Sao Paulo and Rio de Janeiro.  Another 200,000 tons of LSFO </w:t>
      </w:r>
      <w:r>
        <w:rPr>
          <w:rFonts w:eastAsia="Symbol" w:cs="Symbol" w:ascii="Symbol" w:hAnsi="Symbol"/>
        </w:rPr>
        <w:sym w:font="Symbol" w:char="be"/>
      </w:r>
      <w:r>
        <w:rPr/>
        <w:t xml:space="preserve"> with individual export cargoes ranging in sulfur content from 0.3 weight percent (maximum) to 0.5 weight percent (maximum) </w:t>
      </w:r>
      <w:r>
        <w:rPr>
          <w:rFonts w:eastAsia="Symbol" w:cs="Symbol" w:ascii="Symbol" w:hAnsi="Symbol"/>
        </w:rPr>
        <w:sym w:font="Symbol" w:char="be"/>
      </w:r>
      <w:r>
        <w:rPr/>
        <w:t xml:space="preserve"> will be exported from Salvador, Bahia in northeastern Brazil.</w:t>
      </w:r>
    </w:p>
    <w:p>
      <w:pPr>
        <w:pStyle w:val="Normal"/>
        <w:rPr/>
      </w:pPr>
      <w:r>
        <w:rPr/>
      </w:r>
    </w:p>
    <w:p>
      <w:pPr>
        <w:pStyle w:val="Normal"/>
        <w:rPr/>
      </w:pPr>
      <w:r>
        <w:rPr/>
        <w:t xml:space="preserve">Sources indicate that the exports were part of a program to reduce heavy fuel oil inventories </w:t>
      </w:r>
      <w:r>
        <w:rPr>
          <w:rFonts w:eastAsia="Symbol" w:cs="Symbol" w:ascii="Symbol" w:hAnsi="Symbol"/>
        </w:rPr>
        <w:sym w:font="Symbol" w:char="be"/>
      </w:r>
      <w:r>
        <w:rPr/>
        <w:t xml:space="preserve"> particularly in the southeastern Brazilian refineries in Sao Paulo and Rio de Janeiro.  Petrobras began processing increased quantities of offshore-Brazil Campos Basin crudes in its refineries in these locations about the middle of the fourth quarter of 1998 (see </w:t>
      </w:r>
      <w:r>
        <w:rPr>
          <w:i/>
          <w:iCs/>
        </w:rPr>
        <w:t>Fuel Oil in World Markets</w:t>
      </w:r>
      <w:r>
        <w:rPr/>
        <w:t>, October 1998, p. 1).  Production from the Campos Basin is increasing rapidly.  Most of the Campos basin crudes are heavy and low in sulfur content.</w:t>
      </w:r>
    </w:p>
    <w:p>
      <w:pPr>
        <w:pStyle w:val="Normal"/>
        <w:rPr/>
      </w:pPr>
      <w:r>
        <w:rPr/>
      </w:r>
    </w:p>
    <w:p>
      <w:pPr>
        <w:pStyle w:val="Normal"/>
        <w:rPr/>
      </w:pPr>
      <w:r>
        <w:rPr/>
        <w:t xml:space="preserve">Reportedly, heavy fuel oil inventories in Sao Paulo and Rio de Janeiro had become unwieldy due to delays in the start-up of a new delayed coker at Petrobras’s Paulinia, Sao Paulo refinery.  The best estimate currently available is that Petrobras will start to run the 30,000 b/sd Paulinia coker sometime in late-February.  A previous timetable projected start-up in late-December 1998 or early-January-1999.  </w:t>
      </w:r>
    </w:p>
    <w:p>
      <w:pPr>
        <w:pStyle w:val="Normal"/>
        <w:rPr/>
      </w:pPr>
      <w:r>
        <w:rPr/>
      </w:r>
    </w:p>
    <w:p>
      <w:pPr>
        <w:pStyle w:val="Normal"/>
        <w:rPr/>
      </w:pPr>
      <w:r>
        <w:rPr/>
        <w:t>Petrobras was originally inclined to allow some of the increased residual fuel output from the Sao Paulo and Rio de Janeiro refineries to accumulate, planning to use the residual as feedstock to the coker in its start-up phase.  However, faced with an almost two month delay in the coker start-up, residual fuel stocks were judged to be reaching unacceptably high, and perhaps, unmanageable, levels.  The relief mechanism available to redress the high residual stock level situation was to begin exporting.  At least one of Petrobras’s cargo exports was sold to Italian utility, Enel.  Most of the exports, however, were sold into the U.S. East Coast.</w:t>
      </w:r>
    </w:p>
    <w:p>
      <w:pPr>
        <w:pStyle w:val="Normal"/>
        <w:rPr/>
      </w:pPr>
      <w:r>
        <w:rPr/>
      </w:r>
    </w:p>
    <w:p>
      <w:pPr>
        <w:pStyle w:val="Normal"/>
        <w:rPr/>
      </w:pPr>
      <w:r>
        <w:rPr/>
        <w:t>Some marketwatchers have commented that Petrobras may have been motivated to increase its exports due to the sharp decline in Brazil’s currency, the real, in relation to the U.S. dollar.  Recently the real has been losing strength relative to the dollar as Brazil seems to be sliding toward an economic recession.  Sources close to Petrobras indicate currency considerations played no part in the decision to export LSFO.</w:t>
      </w:r>
    </w:p>
    <w:p>
      <w:pPr>
        <w:pStyle w:val="Normal"/>
        <w:rPr/>
      </w:pPr>
      <w:r>
        <w:rPr/>
      </w:r>
    </w:p>
    <w:p>
      <w:pPr>
        <w:pStyle w:val="Normal"/>
        <w:rPr/>
      </w:pPr>
      <w:r>
        <w:rPr/>
        <w:t xml:space="preserve">Assuming the Paulinia coker start-up meets its latest schedule, Brazilian LSFO exports will likely plunge in March.  Sources indicate LSFO-1.0%S exports from Santos and Rio de Janeiro could drop to zero.  LSFO-0.3%S and LSFO-0.5%S, exports from Bahia, unaffected directly by the coker situation in Paulinia, are projected to decline to between 100,000 and 150,000 tons </w:t>
      </w:r>
      <w:r>
        <w:rPr>
          <w:rFonts w:eastAsia="Symbol" w:cs="Symbol" w:ascii="Symbol" w:hAnsi="Symbol"/>
        </w:rPr>
        <w:sym w:font="Symbol" w:char="be"/>
      </w:r>
      <w:r>
        <w:rPr/>
        <w:t xml:space="preserve"> more likely closer to the high end of the range </w:t>
      </w:r>
      <w:r>
        <w:rPr>
          <w:rFonts w:eastAsia="Symbol" w:cs="Symbol" w:ascii="Symbol" w:hAnsi="Symbol"/>
        </w:rPr>
        <w:sym w:font="Symbol" w:char="be"/>
      </w:r>
      <w:r>
        <w:rPr/>
        <w:t xml:space="preserve"> in March versus a total of 200,000 tons in February. </w:t>
      </w:r>
    </w:p>
    <w:p>
      <w:pPr>
        <w:pStyle w:val="Heading3"/>
        <w:ind w:hanging="0" w:start="0"/>
        <w:rPr/>
      </w:pPr>
      <w:r>
        <w:rPr/>
        <w:t>Venezuela Buying Substantial Quantities of Fuel Oil on U.S. Gulf Coast</w:t>
      </w:r>
    </w:p>
    <w:p>
      <w:pPr>
        <w:pStyle w:val="Normal"/>
        <w:rPr/>
      </w:pPr>
      <w:r>
        <w:rPr/>
        <w:t xml:space="preserve">In recent months, Petroleos de Venezuela has emerged as a steady buyer of US Gulf Coast fuel oil.  PDVSA bought one or two cargoes of Gulf Coast origin resid in January and again in February.  PDVSA will buy at least three Gulf Coast cargoes of roughly 280,000 barrels each in March.  PDVSA is simply not producing enough fuel oil in Venezuela and Curacao to meet its system requirements.  The shortfall appears to be on the order of 30-40,000 barrels a day. </w:t>
      </w:r>
    </w:p>
    <w:p>
      <w:pPr>
        <w:pStyle w:val="Normal"/>
        <w:rPr/>
      </w:pPr>
      <w:r>
        <w:rPr/>
      </w:r>
    </w:p>
    <w:p>
      <w:pPr>
        <w:pStyle w:val="Normal"/>
        <w:rPr/>
      </w:pPr>
      <w:r>
        <w:rPr/>
        <w:t>PDVSA is using Gulf Coast fuel oil to meet first-quarter requirements in a number of locations.  Some of the Gulf Coast resid is going to Costa Rica, which receives a cargo (240,000 barrels) a month from PDVSA.  Gulf Coast material is also helping to meet PDVSA’s supply obligations to New Brunswick Power.  Additionally, PDVSA is moving Gulf Coast resid to bunkering operations in the Caribbean, including Statia.  For quality reasons (i.e., CCR), PDVSA is generally unable to use Gulf Coast resid to meet its supply commitments in the Dominican Republic.</w:t>
      </w:r>
    </w:p>
    <w:p>
      <w:pPr>
        <w:pStyle w:val="Normal"/>
        <w:rPr/>
      </w:pPr>
      <w:r>
        <w:rPr/>
      </w:r>
    </w:p>
    <w:p>
      <w:pPr>
        <w:pStyle w:val="Normal"/>
        <w:rPr/>
      </w:pPr>
      <w:r>
        <w:rPr/>
        <w:t>PDVSA’s shortfall in fuel oil reflects lower crude runs and the running of a lighter crude slate.  Of the refineries in the PDVSA system (including Curacao), Amuay has apparently absorbed the greatest share in the cut in runs.  Runs at Amuay are scheduled to be reduced even further in March and April when the 65,000 b/d coker is shut down for planned maintenance.  During the coker shutdown, fuel oil production at Amuay is only expected to rise modestly.</w:t>
      </w:r>
    </w:p>
    <w:p>
      <w:pPr>
        <w:pStyle w:val="Heading3"/>
        <w:ind w:hanging="0" w:start="0"/>
        <w:rPr/>
      </w:pPr>
      <w:r>
        <w:rPr/>
        <w:t xml:space="preserve">Mexico: Import Demand Moves Higher </w:t>
      </w:r>
      <w:r>
        <w:rPr>
          <w:rFonts w:eastAsia="Symbol" w:cs="Symbol" w:ascii="Symbol" w:hAnsi="Symbol"/>
        </w:rPr>
        <w:sym w:font="Symbol" w:char="be"/>
      </w:r>
      <w:r>
        <w:rPr/>
        <w:t xml:space="preserve"> New Supply Contracts Concluded </w:t>
      </w:r>
    </w:p>
    <w:p>
      <w:pPr>
        <w:pStyle w:val="Normal"/>
        <w:rPr/>
      </w:pPr>
      <w:r>
        <w:rPr/>
        <w:t>After two months of relatively light activity, Pemex’s trading subsidiary, P.M.I. Comercio Internacional (PMI) is expected to be a more active buyer of medium- and high-sulfur residual fuel oil.  Sources indicate Mexican residual fuel import demand is likely to average about 80,000 barrels per day during March.  This is a substantial increase over the first two months of this year, when heavy fuel imports in January and February averaged approximately 40,000 barrels per day and 25,000 barrels per day, respectively.  In December 1997 residual fuel import demand averaged roughly 60,000 barrels per day.</w:t>
      </w:r>
    </w:p>
    <w:p>
      <w:pPr>
        <w:pStyle w:val="Normal"/>
        <w:rPr/>
      </w:pPr>
      <w:r>
        <w:rPr/>
      </w:r>
    </w:p>
    <w:p>
      <w:pPr>
        <w:pStyle w:val="Normal"/>
        <w:rPr/>
      </w:pPr>
      <w:r>
        <w:rPr/>
        <w:t>According to some sources there is no particular significance to the ramp-up in import requirements in March, other than normal seasonal factors.  Others indicate need for greater imports is dictated by less than robust hydropower availabilities.  The start of Mexico’s “rainy season” does not begin until May, and it is possible Mexican power company may be electing to husband its water resources for the time being.</w:t>
      </w:r>
    </w:p>
    <w:p>
      <w:pPr>
        <w:pStyle w:val="Normal"/>
        <w:rPr/>
      </w:pPr>
      <w:r>
        <w:rPr/>
      </w:r>
    </w:p>
    <w:p>
      <w:pPr>
        <w:pStyle w:val="Normal"/>
        <w:rPr/>
      </w:pPr>
      <w:r>
        <w:rPr/>
        <w:t>All Mexico’s March heavy fuel oil import requirements are for its Pacific Coast, similar to January and February.  Most likely, the entire import demand will be met with supplies originating from the U.S. West Coast, Ecuador and Peru.  Neither U.S. Gulf Coast or Venezuelan-origin residual is likely to be part of the supply equation for Mexico during March.  In Venezuela’s case, there appears to be no product available for sale.</w:t>
      </w:r>
    </w:p>
    <w:p>
      <w:pPr>
        <w:pStyle w:val="Normal"/>
        <w:spacing w:before="240" w:after="0"/>
        <w:rPr/>
      </w:pPr>
      <w:r>
        <w:rPr/>
        <w:t xml:space="preserve">Among the residual supplies going into Mexico’s Pacific Coast in March will be two cargoes from the U.S. Pacific Northwest.  U.S. based Tosco Refining Co. (Tosco) and PMI are reported to have a term contract whereby Tosco supplies medium-sulfur heavy fuel oil to PMI.  Reportedly, the contract took effect late in fourth quarter 1998.  The residual fuel Tosco is selling originates from the U.S. West Coast.  In the case of the March deliveries, both cargoes Tosco is supplying PMI will come from Tosco’s 88,500 barrels per stream-day (b/sd) Ferndale, Washington refinery.  Reportedly, the Tosco/PMI contract requires Tosco to supply approximately 50,000 tons per month to PMI, delivered, basis Manzanillo, Mexico.  In March Tosco will supply two cargoes to PMI </w:t>
      </w:r>
      <w:r>
        <w:rPr>
          <w:rFonts w:eastAsia="Symbol" w:cs="Symbol" w:ascii="Symbol" w:hAnsi="Symbol"/>
        </w:rPr>
        <w:sym w:font="Symbol" w:char="be"/>
      </w:r>
      <w:r>
        <w:rPr/>
        <w:t xml:space="preserve">  one a contract cargo and one a spot cargo.  The residual fuel being supplied has a typical sulfur content of 2.0 weight percent and a typical viscosity of 1,100 cSt at 50 degrees Celsius.       </w:t>
      </w:r>
    </w:p>
    <w:p>
      <w:pPr>
        <w:pStyle w:val="Heading3"/>
        <w:ind w:hanging="0" w:start="0"/>
        <w:rPr/>
      </w:pPr>
      <w:r>
        <w:rPr/>
        <w:t>Cost Control Makes Fuel Switching Attractive to Belgian Utility</w:t>
      </w:r>
    </w:p>
    <w:p>
      <w:pPr>
        <w:pStyle w:val="Normal"/>
        <w:rPr/>
      </w:pPr>
      <w:r>
        <w:rPr/>
        <w:t xml:space="preserve">Belgian utility, Electrabel S.A. (Electrabel), has become increasingly more pro-active in managing its fuel costs.  Concerns about European Union (EU) policy steps to open power markets in individual countries has caused a number of European utilities </w:t>
      </w:r>
      <w:r>
        <w:rPr>
          <w:rFonts w:eastAsia="Symbol" w:cs="Symbol" w:ascii="Symbol" w:hAnsi="Symbol"/>
        </w:rPr>
        <w:sym w:font="Symbol" w:char="be"/>
      </w:r>
      <w:r>
        <w:rPr/>
        <w:t xml:space="preserve"> Electrabel among them </w:t>
      </w:r>
      <w:r>
        <w:rPr>
          <w:rFonts w:eastAsia="Symbol" w:cs="Symbol" w:ascii="Symbol" w:hAnsi="Symbol"/>
        </w:rPr>
        <w:sym w:font="Symbol" w:char="be"/>
      </w:r>
      <w:r>
        <w:rPr/>
        <w:t xml:space="preserve"> to prepare to compete on a cost efficient basis.  </w:t>
      </w:r>
    </w:p>
    <w:p>
      <w:pPr>
        <w:pStyle w:val="Normal"/>
        <w:rPr/>
      </w:pPr>
      <w:r>
        <w:rPr/>
      </w:r>
    </w:p>
    <w:p>
      <w:pPr>
        <w:pStyle w:val="Normal"/>
        <w:rPr/>
      </w:pPr>
      <w:r>
        <w:rPr/>
        <w:t>Electrabel is buying a greater proportion of its natural gas on a spot basis than in previous years.  In part, this has allowed the company to become more active in adjusting the proportions of residual fuel oil and natural gas in its fossil fuel inputs. These steps are geared toward giving the utility broader trading options, which, in turn, offer opportunities to reduce overall fuel costs.</w:t>
      </w:r>
    </w:p>
    <w:p>
      <w:pPr>
        <w:pStyle w:val="Normal"/>
        <w:rPr/>
      </w:pPr>
      <w:r>
        <w:rPr/>
      </w:r>
    </w:p>
    <w:p>
      <w:pPr>
        <w:pStyle w:val="Normal"/>
        <w:rPr/>
      </w:pPr>
      <w:r>
        <w:rPr/>
        <w:t>The opening of the Interconnector Pipeline (Interconnector) in October 1998 should provide Electrabel additional flexibility in managing gas and liquid fuel inputs.  The Interconnector provides transportation capacity for natural gas between the U.K. and continental Europe, as well as  limited capacity for the movement of natural gas between continental Europe and the U.K.  The Interconnector’s continental European terminus is located in Zeebrugge, Belgium.</w:t>
      </w:r>
    </w:p>
    <w:p>
      <w:pPr>
        <w:pStyle w:val="Normal"/>
        <w:rPr/>
      </w:pPr>
      <w:r>
        <w:rPr/>
      </w:r>
    </w:p>
    <w:p>
      <w:pPr>
        <w:pStyle w:val="Normal"/>
        <w:rPr/>
      </w:pPr>
      <w:r>
        <w:rPr/>
        <w:t xml:space="preserve">Electrabel is also selectively hedging some of its residual fuel and natural gas purchases, using low-sulfur fuel oil swaps and International Petroleum Exchange (IPE) natural gas futures, according to sources. </w:t>
      </w:r>
    </w:p>
    <w:p>
      <w:pPr>
        <w:pStyle w:val="Normal"/>
        <w:rPr/>
      </w:pPr>
      <w:r>
        <w:rPr/>
      </w:r>
    </w:p>
    <w:p>
      <w:pPr>
        <w:pStyle w:val="Normal"/>
        <w:rPr/>
      </w:pPr>
      <w:r>
        <w:rPr/>
        <w:t xml:space="preserve">Electrabel has approximately 14,000 MW of installed electric generating capacity at 24 separate plants in Belgium.  Among Electrabel’s fossil fuel-fired plants, four units are capable of burning residual fuel oil or natural gas </w:t>
      </w:r>
      <w:r>
        <w:rPr>
          <w:rFonts w:eastAsia="Symbol" w:cs="Symbol" w:ascii="Symbol" w:hAnsi="Symbol"/>
        </w:rPr>
        <w:sym w:font="Symbol" w:char="be"/>
      </w:r>
      <w:r>
        <w:rPr/>
        <w:t xml:space="preserve"> a 300 MW unit at the company’s Ruien plant, a 300 MW unit at its Les Awirs plant and two 300 MW units at its Kallo plant.  In addition to the residual fuel/natural gas dual-fired units, Electrabel also operates two other fossil-fired units with dual-firing capability </w:t>
      </w:r>
      <w:r>
        <w:rPr>
          <w:rFonts w:eastAsia="Symbol" w:cs="Symbol" w:ascii="Symbol" w:hAnsi="Symbol"/>
        </w:rPr>
        <w:sym w:font="Symbol" w:char="be"/>
      </w:r>
      <w:r>
        <w:rPr/>
        <w:t xml:space="preserve"> one which can burn coal or natural gas and one which can burn coal or residual fuel oil.</w:t>
      </w:r>
    </w:p>
    <w:p>
      <w:pPr>
        <w:pStyle w:val="Normal"/>
        <w:rPr/>
      </w:pPr>
      <w:r>
        <w:rPr/>
      </w:r>
    </w:p>
    <w:p>
      <w:pPr>
        <w:pStyle w:val="Normal"/>
        <w:rPr/>
      </w:pPr>
      <w:r>
        <w:rPr/>
        <w:t>In 1998, Electrabel consumed approximately 400,000 tons of residual fuel oil.  In each of the five years prior to 1998, the Belgian utility burned between 100,000 and 150,000 tons of residual fuel oil annually.  The roughly four-fold increase in residual fuel consumption in 1998 was due, in large measure, to a more aggressive fuel switching program at the company’s residual fuel/natural gas dual-fired installations.  From the end of 1997, and through much of 1998, the price of residual fuel oil, on a heat of combustion basis, appeared sufficiently low to provide Electrabel an incentive to burn heavy fuel oil at the expense of natural gas (see table for illustrative example).</w:t>
      </w:r>
    </w:p>
    <w:p>
      <w:pPr>
        <w:pStyle w:val="Normal"/>
        <w:tabs>
          <w:tab w:val="clear" w:pos="720"/>
          <w:tab w:val="left" w:pos="3150" w:leader="none"/>
        </w:tabs>
        <w:rPr/>
      </w:pPr>
      <w:r>
        <w:rPr/>
      </w:r>
    </w:p>
    <w:p>
      <w:pPr>
        <w:pStyle w:val="Normal"/>
        <w:tabs>
          <w:tab w:val="clear" w:pos="720"/>
          <w:tab w:val="left" w:pos="3150" w:leader="none"/>
        </w:tabs>
        <w:rPr>
          <w:sz w:val="20"/>
          <w:szCs w:val="20"/>
          <w:u w:val="single"/>
        </w:rPr>
      </w:pPr>
      <w:r>
        <w:rPr>
          <w:sz w:val="20"/>
          <w:szCs w:val="20"/>
        </w:rPr>
        <w:tab/>
        <w:t xml:space="preserve"> </w:t>
      </w:r>
      <w:r>
        <w:rPr>
          <w:sz w:val="20"/>
          <w:szCs w:val="20"/>
          <w:u w:val="single"/>
        </w:rPr>
        <w:t xml:space="preserve">Estimated Price, Belgian Francs (BFr)/Gigajoule (Gj) </w:t>
      </w:r>
      <w:r>
        <w:rPr>
          <w:rFonts w:eastAsia="Symbol" w:cs="Symbol" w:ascii="Symbol" w:hAnsi="Symbol"/>
          <w:b/>
          <w:bCs/>
          <w:sz w:val="20"/>
          <w:szCs w:val="20"/>
          <w:u w:val="single"/>
        </w:rPr>
        <w:sym w:font="Symbol" w:char="a8"/>
      </w:r>
    </w:p>
    <w:tbl>
      <w:tblPr>
        <w:tblW w:w="7218" w:type="dxa"/>
        <w:jc w:val="center"/>
        <w:tblInd w:w="0" w:type="dxa"/>
        <w:tblLayout w:type="fixed"/>
        <w:tblCellMar>
          <w:top w:w="0" w:type="dxa"/>
          <w:start w:w="108" w:type="dxa"/>
          <w:bottom w:w="0" w:type="dxa"/>
          <w:end w:w="108" w:type="dxa"/>
        </w:tblCellMar>
      </w:tblPr>
      <w:tblGrid>
        <w:gridCol w:w="2619"/>
        <w:gridCol w:w="2070"/>
        <w:gridCol w:w="2529"/>
      </w:tblGrid>
      <w:tr>
        <w:trPr/>
        <w:tc>
          <w:tcPr>
            <w:tcW w:w="2619" w:type="dxa"/>
            <w:tcBorders/>
          </w:tcPr>
          <w:p>
            <w:pPr>
              <w:pStyle w:val="Normal"/>
              <w:rPr/>
            </w:pPr>
            <w:r>
              <w:rPr>
                <w:sz w:val="20"/>
                <w:szCs w:val="20"/>
                <w:u w:val="single"/>
              </w:rPr>
              <w:t>Time Period</w:t>
            </w:r>
            <w:r>
              <w:rPr>
                <w:sz w:val="20"/>
                <w:szCs w:val="20"/>
              </w:rPr>
              <w:t xml:space="preserve"> </w:t>
            </w:r>
          </w:p>
        </w:tc>
        <w:tc>
          <w:tcPr>
            <w:tcW w:w="2070" w:type="dxa"/>
            <w:tcBorders/>
          </w:tcPr>
          <w:p>
            <w:pPr>
              <w:pStyle w:val="Normal"/>
              <w:rPr>
                <w:sz w:val="20"/>
                <w:szCs w:val="20"/>
                <w:u w:val="single"/>
              </w:rPr>
            </w:pPr>
            <w:r>
              <w:rPr>
                <w:sz w:val="20"/>
                <w:szCs w:val="20"/>
                <w:u w:val="single"/>
              </w:rPr>
              <w:t xml:space="preserve">Natural Gas </w:t>
            </w:r>
          </w:p>
        </w:tc>
        <w:tc>
          <w:tcPr>
            <w:tcW w:w="2529" w:type="dxa"/>
            <w:tcBorders/>
          </w:tcPr>
          <w:p>
            <w:pPr>
              <w:pStyle w:val="Normal"/>
              <w:rPr>
                <w:sz w:val="20"/>
                <w:szCs w:val="20"/>
              </w:rPr>
            </w:pPr>
            <w:r>
              <w:rPr>
                <w:sz w:val="20"/>
                <w:szCs w:val="20"/>
                <w:u w:val="single"/>
              </w:rPr>
              <w:t xml:space="preserve">Residual Fuel Oil </w:t>
            </w:r>
            <w:r>
              <w:rPr>
                <w:rFonts w:eastAsia="Symbol" w:cs="Symbol" w:ascii="Symbol" w:hAnsi="Symbol"/>
                <w:b/>
                <w:bCs/>
                <w:sz w:val="20"/>
                <w:szCs w:val="20"/>
                <w:u w:val="single"/>
              </w:rPr>
              <w:sym w:font="Symbol" w:char="a8"/>
              <w:sym w:font="Symbol" w:char="a8"/>
            </w:r>
            <w:r>
              <w:rPr>
                <w:sz w:val="20"/>
                <w:szCs w:val="20"/>
                <w:u w:val="single"/>
              </w:rPr>
              <w:t xml:space="preserve"> </w:t>
            </w:r>
          </w:p>
        </w:tc>
      </w:tr>
      <w:tr>
        <w:trPr/>
        <w:tc>
          <w:tcPr>
            <w:tcW w:w="2619" w:type="dxa"/>
            <w:tcBorders/>
          </w:tcPr>
          <w:p>
            <w:pPr>
              <w:pStyle w:val="Normal"/>
              <w:rPr>
                <w:sz w:val="20"/>
                <w:szCs w:val="20"/>
              </w:rPr>
            </w:pPr>
            <w:r>
              <w:rPr>
                <w:sz w:val="20"/>
                <w:szCs w:val="20"/>
              </w:rPr>
              <w:t>Dec 1997</w:t>
            </w:r>
          </w:p>
        </w:tc>
        <w:tc>
          <w:tcPr>
            <w:tcW w:w="2070" w:type="dxa"/>
            <w:tcBorders/>
          </w:tcPr>
          <w:p>
            <w:pPr>
              <w:pStyle w:val="Normal"/>
              <w:tabs>
                <w:tab w:val="clear" w:pos="720"/>
                <w:tab w:val="decimal" w:pos="522" w:leader="none"/>
              </w:tabs>
              <w:rPr>
                <w:sz w:val="20"/>
                <w:szCs w:val="20"/>
              </w:rPr>
            </w:pPr>
            <w:r>
              <w:rPr>
                <w:sz w:val="20"/>
                <w:szCs w:val="20"/>
              </w:rPr>
              <w:t xml:space="preserve">108.6 </w:t>
            </w:r>
          </w:p>
        </w:tc>
        <w:tc>
          <w:tcPr>
            <w:tcW w:w="2529" w:type="dxa"/>
            <w:tcBorders/>
          </w:tcPr>
          <w:p>
            <w:pPr>
              <w:pStyle w:val="Normal"/>
              <w:tabs>
                <w:tab w:val="clear" w:pos="720"/>
                <w:tab w:val="decimal" w:pos="1066" w:leader="none"/>
              </w:tabs>
              <w:rPr>
                <w:sz w:val="20"/>
                <w:szCs w:val="20"/>
              </w:rPr>
            </w:pPr>
            <w:r>
              <w:rPr>
                <w:sz w:val="20"/>
                <w:szCs w:val="20"/>
              </w:rPr>
              <w:t>100.6</w:t>
            </w:r>
          </w:p>
        </w:tc>
      </w:tr>
      <w:tr>
        <w:trPr/>
        <w:tc>
          <w:tcPr>
            <w:tcW w:w="2619" w:type="dxa"/>
            <w:tcBorders/>
          </w:tcPr>
          <w:p>
            <w:pPr>
              <w:pStyle w:val="Normal"/>
              <w:rPr>
                <w:sz w:val="20"/>
                <w:szCs w:val="20"/>
              </w:rPr>
            </w:pPr>
            <w:r>
              <w:rPr>
                <w:sz w:val="20"/>
                <w:szCs w:val="20"/>
              </w:rPr>
              <w:t xml:space="preserve">Jan 1998 </w:t>
            </w:r>
          </w:p>
        </w:tc>
        <w:tc>
          <w:tcPr>
            <w:tcW w:w="2070" w:type="dxa"/>
            <w:tcBorders/>
          </w:tcPr>
          <w:p>
            <w:pPr>
              <w:pStyle w:val="Normal"/>
              <w:tabs>
                <w:tab w:val="clear" w:pos="720"/>
                <w:tab w:val="decimal" w:pos="522" w:leader="none"/>
              </w:tabs>
              <w:rPr>
                <w:sz w:val="20"/>
                <w:szCs w:val="20"/>
              </w:rPr>
            </w:pPr>
            <w:r>
              <w:rPr>
                <w:sz w:val="20"/>
                <w:szCs w:val="20"/>
              </w:rPr>
              <w:t>105.0</w:t>
            </w:r>
          </w:p>
        </w:tc>
        <w:tc>
          <w:tcPr>
            <w:tcW w:w="2529" w:type="dxa"/>
            <w:tcBorders/>
          </w:tcPr>
          <w:p>
            <w:pPr>
              <w:pStyle w:val="Normal"/>
              <w:tabs>
                <w:tab w:val="clear" w:pos="720"/>
                <w:tab w:val="decimal" w:pos="1066" w:leader="none"/>
              </w:tabs>
              <w:rPr>
                <w:sz w:val="20"/>
                <w:szCs w:val="20"/>
              </w:rPr>
            </w:pPr>
            <w:r>
              <w:rPr>
                <w:sz w:val="20"/>
                <w:szCs w:val="20"/>
              </w:rPr>
              <w:t>93.6</w:t>
            </w:r>
          </w:p>
        </w:tc>
      </w:tr>
      <w:tr>
        <w:trPr/>
        <w:tc>
          <w:tcPr>
            <w:tcW w:w="2619" w:type="dxa"/>
            <w:tcBorders/>
          </w:tcPr>
          <w:p>
            <w:pPr>
              <w:pStyle w:val="Normal"/>
              <w:rPr>
                <w:sz w:val="20"/>
                <w:szCs w:val="20"/>
              </w:rPr>
            </w:pPr>
            <w:r>
              <w:rPr>
                <w:sz w:val="20"/>
                <w:szCs w:val="20"/>
              </w:rPr>
              <w:t xml:space="preserve">Feb 1998 </w:t>
            </w:r>
          </w:p>
        </w:tc>
        <w:tc>
          <w:tcPr>
            <w:tcW w:w="2070" w:type="dxa"/>
            <w:tcBorders/>
          </w:tcPr>
          <w:p>
            <w:pPr>
              <w:pStyle w:val="Normal"/>
              <w:tabs>
                <w:tab w:val="clear" w:pos="720"/>
                <w:tab w:val="decimal" w:pos="522" w:leader="none"/>
              </w:tabs>
              <w:rPr>
                <w:sz w:val="20"/>
                <w:szCs w:val="20"/>
              </w:rPr>
            </w:pPr>
            <w:r>
              <w:rPr>
                <w:sz w:val="20"/>
                <w:szCs w:val="20"/>
              </w:rPr>
              <w:t>104.5</w:t>
            </w:r>
          </w:p>
        </w:tc>
        <w:tc>
          <w:tcPr>
            <w:tcW w:w="2529" w:type="dxa"/>
            <w:tcBorders/>
          </w:tcPr>
          <w:p>
            <w:pPr>
              <w:pStyle w:val="Normal"/>
              <w:tabs>
                <w:tab w:val="clear" w:pos="720"/>
                <w:tab w:val="decimal" w:pos="1066" w:leader="none"/>
              </w:tabs>
              <w:rPr>
                <w:sz w:val="20"/>
                <w:szCs w:val="20"/>
              </w:rPr>
            </w:pPr>
            <w:r>
              <w:rPr>
                <w:sz w:val="20"/>
                <w:szCs w:val="20"/>
              </w:rPr>
              <w:t>89.5</w:t>
            </w:r>
          </w:p>
        </w:tc>
      </w:tr>
      <w:tr>
        <w:trPr/>
        <w:tc>
          <w:tcPr>
            <w:tcW w:w="2619" w:type="dxa"/>
            <w:tcBorders/>
          </w:tcPr>
          <w:p>
            <w:pPr>
              <w:pStyle w:val="Normal"/>
              <w:rPr>
                <w:sz w:val="20"/>
                <w:szCs w:val="20"/>
              </w:rPr>
            </w:pPr>
            <w:r>
              <w:rPr>
                <w:sz w:val="20"/>
                <w:szCs w:val="20"/>
              </w:rPr>
              <w:t>Mar 1998</w:t>
            </w:r>
          </w:p>
        </w:tc>
        <w:tc>
          <w:tcPr>
            <w:tcW w:w="2070" w:type="dxa"/>
            <w:tcBorders/>
          </w:tcPr>
          <w:p>
            <w:pPr>
              <w:pStyle w:val="Normal"/>
              <w:tabs>
                <w:tab w:val="clear" w:pos="720"/>
                <w:tab w:val="decimal" w:pos="522" w:leader="none"/>
              </w:tabs>
              <w:rPr>
                <w:sz w:val="20"/>
                <w:szCs w:val="20"/>
              </w:rPr>
            </w:pPr>
            <w:r>
              <w:rPr>
                <w:sz w:val="20"/>
                <w:szCs w:val="20"/>
              </w:rPr>
              <w:t xml:space="preserve">104.1 </w:t>
            </w:r>
          </w:p>
        </w:tc>
        <w:tc>
          <w:tcPr>
            <w:tcW w:w="2529" w:type="dxa"/>
            <w:tcBorders/>
          </w:tcPr>
          <w:p>
            <w:pPr>
              <w:pStyle w:val="Normal"/>
              <w:tabs>
                <w:tab w:val="clear" w:pos="720"/>
                <w:tab w:val="decimal" w:pos="1066" w:leader="none"/>
              </w:tabs>
              <w:rPr>
                <w:sz w:val="20"/>
                <w:szCs w:val="20"/>
              </w:rPr>
            </w:pPr>
            <w:r>
              <w:rPr>
                <w:sz w:val="20"/>
                <w:szCs w:val="20"/>
              </w:rPr>
              <w:t>76.6</w:t>
            </w:r>
          </w:p>
        </w:tc>
      </w:tr>
      <w:tr>
        <w:trPr/>
        <w:tc>
          <w:tcPr>
            <w:tcW w:w="2619" w:type="dxa"/>
            <w:tcBorders/>
          </w:tcPr>
          <w:p>
            <w:pPr>
              <w:pStyle w:val="Normal"/>
              <w:rPr>
                <w:sz w:val="20"/>
                <w:szCs w:val="20"/>
              </w:rPr>
            </w:pPr>
            <w:r>
              <w:rPr>
                <w:sz w:val="20"/>
                <w:szCs w:val="20"/>
              </w:rPr>
              <w:t xml:space="preserve">Apr 1998 </w:t>
            </w:r>
          </w:p>
        </w:tc>
        <w:tc>
          <w:tcPr>
            <w:tcW w:w="2070" w:type="dxa"/>
            <w:tcBorders/>
          </w:tcPr>
          <w:p>
            <w:pPr>
              <w:pStyle w:val="Normal"/>
              <w:tabs>
                <w:tab w:val="clear" w:pos="720"/>
                <w:tab w:val="decimal" w:pos="522" w:leader="none"/>
              </w:tabs>
              <w:rPr>
                <w:sz w:val="20"/>
                <w:szCs w:val="20"/>
              </w:rPr>
            </w:pPr>
            <w:r>
              <w:rPr>
                <w:sz w:val="20"/>
                <w:szCs w:val="20"/>
              </w:rPr>
              <w:t xml:space="preserve">98.2 </w:t>
            </w:r>
          </w:p>
        </w:tc>
        <w:tc>
          <w:tcPr>
            <w:tcW w:w="2529" w:type="dxa"/>
            <w:tcBorders/>
          </w:tcPr>
          <w:p>
            <w:pPr>
              <w:pStyle w:val="Normal"/>
              <w:tabs>
                <w:tab w:val="clear" w:pos="720"/>
                <w:tab w:val="decimal" w:pos="1066" w:leader="none"/>
              </w:tabs>
              <w:rPr>
                <w:sz w:val="20"/>
                <w:szCs w:val="20"/>
              </w:rPr>
            </w:pPr>
            <w:r>
              <w:rPr>
                <w:sz w:val="20"/>
                <w:szCs w:val="20"/>
              </w:rPr>
              <w:t>92.4</w:t>
            </w:r>
          </w:p>
        </w:tc>
      </w:tr>
      <w:tr>
        <w:trPr/>
        <w:tc>
          <w:tcPr>
            <w:tcW w:w="2619" w:type="dxa"/>
            <w:tcBorders/>
          </w:tcPr>
          <w:p>
            <w:pPr>
              <w:pStyle w:val="Normal"/>
              <w:rPr>
                <w:sz w:val="20"/>
                <w:szCs w:val="20"/>
              </w:rPr>
            </w:pPr>
            <w:r>
              <w:rPr>
                <w:sz w:val="20"/>
                <w:szCs w:val="20"/>
              </w:rPr>
              <w:t>May 1998</w:t>
            </w:r>
          </w:p>
        </w:tc>
        <w:tc>
          <w:tcPr>
            <w:tcW w:w="2070" w:type="dxa"/>
            <w:tcBorders/>
          </w:tcPr>
          <w:p>
            <w:pPr>
              <w:pStyle w:val="Normal"/>
              <w:tabs>
                <w:tab w:val="clear" w:pos="720"/>
                <w:tab w:val="decimal" w:pos="522" w:leader="none"/>
              </w:tabs>
              <w:rPr>
                <w:sz w:val="20"/>
                <w:szCs w:val="20"/>
              </w:rPr>
            </w:pPr>
            <w:r>
              <w:rPr>
                <w:sz w:val="20"/>
                <w:szCs w:val="20"/>
              </w:rPr>
              <w:t xml:space="preserve">98.0 </w:t>
            </w:r>
          </w:p>
        </w:tc>
        <w:tc>
          <w:tcPr>
            <w:tcW w:w="2529" w:type="dxa"/>
            <w:tcBorders/>
          </w:tcPr>
          <w:p>
            <w:pPr>
              <w:pStyle w:val="Normal"/>
              <w:tabs>
                <w:tab w:val="clear" w:pos="720"/>
                <w:tab w:val="decimal" w:pos="1066" w:leader="none"/>
              </w:tabs>
              <w:rPr>
                <w:sz w:val="20"/>
                <w:szCs w:val="20"/>
              </w:rPr>
            </w:pPr>
            <w:r>
              <w:rPr>
                <w:sz w:val="20"/>
                <w:szCs w:val="20"/>
              </w:rPr>
              <w:t>88.3</w:t>
            </w:r>
          </w:p>
        </w:tc>
      </w:tr>
      <w:tr>
        <w:trPr/>
        <w:tc>
          <w:tcPr>
            <w:tcW w:w="2619" w:type="dxa"/>
            <w:tcBorders/>
          </w:tcPr>
          <w:p>
            <w:pPr>
              <w:pStyle w:val="Normal"/>
              <w:rPr>
                <w:sz w:val="20"/>
                <w:szCs w:val="20"/>
              </w:rPr>
            </w:pPr>
            <w:r>
              <w:rPr>
                <w:sz w:val="20"/>
                <w:szCs w:val="20"/>
              </w:rPr>
              <w:t>Jun 1998</w:t>
            </w:r>
          </w:p>
        </w:tc>
        <w:tc>
          <w:tcPr>
            <w:tcW w:w="2070" w:type="dxa"/>
            <w:tcBorders/>
          </w:tcPr>
          <w:p>
            <w:pPr>
              <w:pStyle w:val="Normal"/>
              <w:tabs>
                <w:tab w:val="clear" w:pos="720"/>
                <w:tab w:val="decimal" w:pos="522" w:leader="none"/>
              </w:tabs>
              <w:rPr>
                <w:sz w:val="20"/>
                <w:szCs w:val="20"/>
              </w:rPr>
            </w:pPr>
            <w:r>
              <w:rPr>
                <w:sz w:val="20"/>
                <w:szCs w:val="20"/>
              </w:rPr>
              <w:t xml:space="preserve">97.7 </w:t>
            </w:r>
          </w:p>
        </w:tc>
        <w:tc>
          <w:tcPr>
            <w:tcW w:w="2529" w:type="dxa"/>
            <w:tcBorders/>
          </w:tcPr>
          <w:p>
            <w:pPr>
              <w:pStyle w:val="Normal"/>
              <w:tabs>
                <w:tab w:val="clear" w:pos="720"/>
                <w:tab w:val="decimal" w:pos="1066" w:leader="none"/>
              </w:tabs>
              <w:rPr>
                <w:sz w:val="20"/>
                <w:szCs w:val="20"/>
              </w:rPr>
            </w:pPr>
            <w:r>
              <w:rPr>
                <w:sz w:val="20"/>
                <w:szCs w:val="20"/>
              </w:rPr>
              <w:t>86.6</w:t>
            </w:r>
          </w:p>
        </w:tc>
      </w:tr>
      <w:tr>
        <w:trPr/>
        <w:tc>
          <w:tcPr>
            <w:tcW w:w="2619" w:type="dxa"/>
            <w:tcBorders/>
          </w:tcPr>
          <w:p>
            <w:pPr>
              <w:pStyle w:val="Normal"/>
              <w:rPr>
                <w:sz w:val="20"/>
                <w:szCs w:val="20"/>
              </w:rPr>
            </w:pPr>
            <w:r>
              <w:rPr>
                <w:sz w:val="20"/>
                <w:szCs w:val="20"/>
              </w:rPr>
              <w:t xml:space="preserve">Jul 1998 </w:t>
            </w:r>
          </w:p>
        </w:tc>
        <w:tc>
          <w:tcPr>
            <w:tcW w:w="2070" w:type="dxa"/>
            <w:tcBorders/>
          </w:tcPr>
          <w:p>
            <w:pPr>
              <w:pStyle w:val="Normal"/>
              <w:tabs>
                <w:tab w:val="clear" w:pos="720"/>
                <w:tab w:val="decimal" w:pos="522" w:leader="none"/>
              </w:tabs>
              <w:rPr>
                <w:sz w:val="20"/>
                <w:szCs w:val="20"/>
              </w:rPr>
            </w:pPr>
            <w:r>
              <w:rPr>
                <w:sz w:val="20"/>
                <w:szCs w:val="20"/>
              </w:rPr>
              <w:t xml:space="preserve">92.3 </w:t>
            </w:r>
          </w:p>
        </w:tc>
        <w:tc>
          <w:tcPr>
            <w:tcW w:w="2529" w:type="dxa"/>
            <w:tcBorders/>
          </w:tcPr>
          <w:p>
            <w:pPr>
              <w:pStyle w:val="Normal"/>
              <w:tabs>
                <w:tab w:val="clear" w:pos="720"/>
                <w:tab w:val="decimal" w:pos="1066" w:leader="none"/>
              </w:tabs>
              <w:rPr>
                <w:sz w:val="20"/>
                <w:szCs w:val="20"/>
              </w:rPr>
            </w:pPr>
            <w:r>
              <w:rPr>
                <w:sz w:val="20"/>
                <w:szCs w:val="20"/>
              </w:rPr>
              <w:t>86.0</w:t>
            </w:r>
          </w:p>
        </w:tc>
      </w:tr>
      <w:tr>
        <w:trPr/>
        <w:tc>
          <w:tcPr>
            <w:tcW w:w="2619" w:type="dxa"/>
            <w:tcBorders/>
          </w:tcPr>
          <w:p>
            <w:pPr>
              <w:pStyle w:val="Normal"/>
              <w:rPr>
                <w:sz w:val="20"/>
                <w:szCs w:val="20"/>
              </w:rPr>
            </w:pPr>
            <w:r>
              <w:rPr>
                <w:sz w:val="20"/>
                <w:szCs w:val="20"/>
              </w:rPr>
              <w:t>Aug 1998</w:t>
            </w:r>
          </w:p>
        </w:tc>
        <w:tc>
          <w:tcPr>
            <w:tcW w:w="2070" w:type="dxa"/>
            <w:tcBorders/>
          </w:tcPr>
          <w:p>
            <w:pPr>
              <w:pStyle w:val="Normal"/>
              <w:tabs>
                <w:tab w:val="clear" w:pos="720"/>
                <w:tab w:val="decimal" w:pos="522" w:leader="none"/>
              </w:tabs>
              <w:rPr>
                <w:sz w:val="20"/>
                <w:szCs w:val="20"/>
              </w:rPr>
            </w:pPr>
            <w:r>
              <w:rPr>
                <w:sz w:val="20"/>
                <w:szCs w:val="20"/>
              </w:rPr>
              <w:t>92.1</w:t>
            </w:r>
          </w:p>
        </w:tc>
        <w:tc>
          <w:tcPr>
            <w:tcW w:w="2529" w:type="dxa"/>
            <w:tcBorders/>
          </w:tcPr>
          <w:p>
            <w:pPr>
              <w:pStyle w:val="Normal"/>
              <w:tabs>
                <w:tab w:val="clear" w:pos="720"/>
                <w:tab w:val="decimal" w:pos="1066" w:leader="none"/>
              </w:tabs>
              <w:rPr>
                <w:sz w:val="20"/>
                <w:szCs w:val="20"/>
              </w:rPr>
            </w:pPr>
            <w:r>
              <w:rPr>
                <w:sz w:val="20"/>
                <w:szCs w:val="20"/>
              </w:rPr>
              <w:t>76.6</w:t>
            </w:r>
          </w:p>
        </w:tc>
      </w:tr>
      <w:tr>
        <w:trPr/>
        <w:tc>
          <w:tcPr>
            <w:tcW w:w="2619" w:type="dxa"/>
            <w:tcBorders/>
          </w:tcPr>
          <w:p>
            <w:pPr>
              <w:pStyle w:val="Normal"/>
              <w:rPr>
                <w:sz w:val="20"/>
                <w:szCs w:val="20"/>
              </w:rPr>
            </w:pPr>
            <w:r>
              <w:rPr>
                <w:sz w:val="20"/>
                <w:szCs w:val="20"/>
              </w:rPr>
              <w:t>Sep 1998</w:t>
            </w:r>
          </w:p>
        </w:tc>
        <w:tc>
          <w:tcPr>
            <w:tcW w:w="2070" w:type="dxa"/>
            <w:tcBorders/>
          </w:tcPr>
          <w:p>
            <w:pPr>
              <w:pStyle w:val="Normal"/>
              <w:tabs>
                <w:tab w:val="clear" w:pos="720"/>
                <w:tab w:val="decimal" w:pos="522" w:leader="none"/>
              </w:tabs>
              <w:rPr>
                <w:sz w:val="20"/>
                <w:szCs w:val="20"/>
              </w:rPr>
            </w:pPr>
            <w:r>
              <w:rPr>
                <w:sz w:val="20"/>
                <w:szCs w:val="20"/>
              </w:rPr>
              <w:t xml:space="preserve">91.8 </w:t>
            </w:r>
          </w:p>
        </w:tc>
        <w:tc>
          <w:tcPr>
            <w:tcW w:w="2529" w:type="dxa"/>
            <w:tcBorders/>
          </w:tcPr>
          <w:p>
            <w:pPr>
              <w:pStyle w:val="Normal"/>
              <w:tabs>
                <w:tab w:val="clear" w:pos="720"/>
                <w:tab w:val="decimal" w:pos="1066" w:leader="none"/>
              </w:tabs>
              <w:rPr>
                <w:sz w:val="20"/>
                <w:szCs w:val="20"/>
              </w:rPr>
            </w:pPr>
            <w:r>
              <w:rPr>
                <w:sz w:val="20"/>
                <w:szCs w:val="20"/>
              </w:rPr>
              <w:t>76.6</w:t>
            </w:r>
          </w:p>
        </w:tc>
      </w:tr>
      <w:tr>
        <w:trPr/>
        <w:tc>
          <w:tcPr>
            <w:tcW w:w="2619" w:type="dxa"/>
            <w:tcBorders/>
          </w:tcPr>
          <w:p>
            <w:pPr>
              <w:pStyle w:val="Normal"/>
              <w:rPr>
                <w:sz w:val="20"/>
                <w:szCs w:val="20"/>
              </w:rPr>
            </w:pPr>
            <w:r>
              <w:rPr>
                <w:sz w:val="20"/>
                <w:szCs w:val="20"/>
              </w:rPr>
              <w:t xml:space="preserve">Oct 1998 </w:t>
            </w:r>
          </w:p>
        </w:tc>
        <w:tc>
          <w:tcPr>
            <w:tcW w:w="2070" w:type="dxa"/>
            <w:tcBorders/>
          </w:tcPr>
          <w:p>
            <w:pPr>
              <w:pStyle w:val="Normal"/>
              <w:tabs>
                <w:tab w:val="clear" w:pos="720"/>
                <w:tab w:val="decimal" w:pos="522" w:leader="none"/>
              </w:tabs>
              <w:rPr>
                <w:sz w:val="20"/>
                <w:szCs w:val="20"/>
              </w:rPr>
            </w:pPr>
            <w:r>
              <w:rPr>
                <w:sz w:val="20"/>
                <w:szCs w:val="20"/>
              </w:rPr>
              <w:t xml:space="preserve">84.9 </w:t>
            </w:r>
          </w:p>
        </w:tc>
        <w:tc>
          <w:tcPr>
            <w:tcW w:w="2529" w:type="dxa"/>
            <w:tcBorders/>
          </w:tcPr>
          <w:p>
            <w:pPr>
              <w:pStyle w:val="Normal"/>
              <w:tabs>
                <w:tab w:val="clear" w:pos="720"/>
                <w:tab w:val="decimal" w:pos="1066" w:leader="none"/>
              </w:tabs>
              <w:rPr>
                <w:sz w:val="20"/>
                <w:szCs w:val="20"/>
              </w:rPr>
            </w:pPr>
            <w:r>
              <w:rPr>
                <w:sz w:val="20"/>
                <w:szCs w:val="20"/>
              </w:rPr>
              <w:t>79.0</w:t>
            </w:r>
          </w:p>
        </w:tc>
      </w:tr>
      <w:tr>
        <w:trPr/>
        <w:tc>
          <w:tcPr>
            <w:tcW w:w="2619" w:type="dxa"/>
            <w:tcBorders/>
          </w:tcPr>
          <w:p>
            <w:pPr>
              <w:pStyle w:val="Normal"/>
              <w:rPr>
                <w:sz w:val="20"/>
                <w:szCs w:val="20"/>
              </w:rPr>
            </w:pPr>
            <w:r>
              <w:rPr>
                <w:sz w:val="20"/>
                <w:szCs w:val="20"/>
              </w:rPr>
              <w:t>Nov 1998</w:t>
            </w:r>
          </w:p>
        </w:tc>
        <w:tc>
          <w:tcPr>
            <w:tcW w:w="2070" w:type="dxa"/>
            <w:tcBorders/>
          </w:tcPr>
          <w:p>
            <w:pPr>
              <w:pStyle w:val="Normal"/>
              <w:tabs>
                <w:tab w:val="clear" w:pos="720"/>
                <w:tab w:val="decimal" w:pos="522" w:leader="none"/>
              </w:tabs>
              <w:rPr>
                <w:sz w:val="20"/>
                <w:szCs w:val="20"/>
              </w:rPr>
            </w:pPr>
            <w:r>
              <w:rPr>
                <w:sz w:val="20"/>
                <w:szCs w:val="20"/>
              </w:rPr>
              <w:t xml:space="preserve">80.0 </w:t>
            </w:r>
          </w:p>
        </w:tc>
        <w:tc>
          <w:tcPr>
            <w:tcW w:w="2529" w:type="dxa"/>
            <w:tcBorders/>
          </w:tcPr>
          <w:p>
            <w:pPr>
              <w:pStyle w:val="Normal"/>
              <w:tabs>
                <w:tab w:val="clear" w:pos="720"/>
                <w:tab w:val="decimal" w:pos="1066" w:leader="none"/>
              </w:tabs>
              <w:rPr>
                <w:sz w:val="20"/>
                <w:szCs w:val="20"/>
              </w:rPr>
            </w:pPr>
            <w:r>
              <w:rPr>
                <w:sz w:val="20"/>
                <w:szCs w:val="20"/>
              </w:rPr>
              <w:t>75.5</w:t>
            </w:r>
          </w:p>
        </w:tc>
      </w:tr>
      <w:tr>
        <w:trPr/>
        <w:tc>
          <w:tcPr>
            <w:tcW w:w="2619" w:type="dxa"/>
            <w:tcBorders/>
          </w:tcPr>
          <w:p>
            <w:pPr>
              <w:pStyle w:val="Normal"/>
              <w:rPr>
                <w:sz w:val="20"/>
                <w:szCs w:val="20"/>
              </w:rPr>
            </w:pPr>
            <w:r>
              <w:rPr>
                <w:sz w:val="20"/>
                <w:szCs w:val="20"/>
              </w:rPr>
              <w:t>Dec 1998</w:t>
            </w:r>
          </w:p>
        </w:tc>
        <w:tc>
          <w:tcPr>
            <w:tcW w:w="2070" w:type="dxa"/>
            <w:tcBorders/>
          </w:tcPr>
          <w:p>
            <w:pPr>
              <w:pStyle w:val="Normal"/>
              <w:tabs>
                <w:tab w:val="clear" w:pos="720"/>
                <w:tab w:val="decimal" w:pos="522" w:leader="none"/>
              </w:tabs>
              <w:rPr>
                <w:sz w:val="20"/>
                <w:szCs w:val="20"/>
              </w:rPr>
            </w:pPr>
            <w:r>
              <w:rPr>
                <w:sz w:val="20"/>
                <w:szCs w:val="20"/>
              </w:rPr>
              <w:t xml:space="preserve">79.4 </w:t>
            </w:r>
          </w:p>
        </w:tc>
        <w:tc>
          <w:tcPr>
            <w:tcW w:w="2529" w:type="dxa"/>
            <w:tcBorders/>
          </w:tcPr>
          <w:p>
            <w:pPr>
              <w:pStyle w:val="Normal"/>
              <w:tabs>
                <w:tab w:val="clear" w:pos="720"/>
                <w:tab w:val="decimal" w:pos="1066" w:leader="none"/>
              </w:tabs>
              <w:rPr>
                <w:sz w:val="20"/>
                <w:szCs w:val="20"/>
              </w:rPr>
            </w:pPr>
            <w:r>
              <w:rPr>
                <w:sz w:val="20"/>
                <w:szCs w:val="20"/>
              </w:rPr>
              <w:t>72.0</w:t>
            </w:r>
          </w:p>
        </w:tc>
      </w:tr>
    </w:tbl>
    <w:p>
      <w:pPr>
        <w:pStyle w:val="Normal"/>
        <w:ind w:hanging="360" w:start="1530" w:end="810"/>
        <w:rPr/>
      </w:pPr>
      <w:r>
        <w:rPr>
          <w:rFonts w:eastAsia="Symbol" w:cs="Symbol" w:ascii="Symbol" w:hAnsi="Symbol"/>
          <w:b/>
          <w:bCs/>
          <w:sz w:val="20"/>
          <w:szCs w:val="20"/>
        </w:rPr>
        <w:sym w:font="Symbol" w:char="a8"/>
      </w:r>
      <w:r>
        <w:rPr>
          <w:sz w:val="20"/>
          <w:szCs w:val="20"/>
        </w:rPr>
        <w:t xml:space="preserve">  Source:  Natural gas prices (BFr/Gj) and fuel oil prices (Bfr/metric ton) from</w:t>
      </w:r>
      <w:r>
        <w:rPr>
          <w:i/>
          <w:iCs/>
          <w:sz w:val="20"/>
          <w:szCs w:val="20"/>
        </w:rPr>
        <w:t xml:space="preserve"> World Gas</w:t>
      </w:r>
      <w:r>
        <w:rPr>
          <w:sz w:val="20"/>
          <w:szCs w:val="20"/>
        </w:rPr>
        <w:t xml:space="preserve"> </w:t>
      </w:r>
      <w:r>
        <w:rPr>
          <w:i/>
          <w:iCs/>
          <w:sz w:val="20"/>
          <w:szCs w:val="20"/>
        </w:rPr>
        <w:t>Intelligence</w:t>
      </w:r>
      <w:r>
        <w:rPr>
          <w:sz w:val="20"/>
          <w:szCs w:val="20"/>
        </w:rPr>
        <w:t xml:space="preserve"> (WGI).  Prices are monthly averages.</w:t>
      </w:r>
    </w:p>
    <w:p>
      <w:pPr>
        <w:pStyle w:val="Normal"/>
        <w:ind w:hanging="360" w:start="1530" w:end="900"/>
        <w:rPr/>
      </w:pPr>
      <w:r>
        <w:rPr>
          <w:rFonts w:eastAsia="Symbol" w:cs="Symbol" w:ascii="Symbol" w:hAnsi="Symbol"/>
          <w:b/>
          <w:bCs/>
          <w:sz w:val="20"/>
          <w:szCs w:val="20"/>
        </w:rPr>
        <w:sym w:font="Symbol" w:char="a8"/>
        <w:sym w:font="Symbol" w:char="a8"/>
      </w:r>
      <w:r>
        <w:rPr>
          <w:b/>
          <w:bCs/>
          <w:sz w:val="20"/>
          <w:szCs w:val="20"/>
        </w:rPr>
        <w:t xml:space="preserve"> </w:t>
      </w:r>
      <w:r>
        <w:rPr>
          <w:sz w:val="20"/>
          <w:szCs w:val="20"/>
        </w:rPr>
        <w:t>WGI fuel oil prices converted from BFr/metric ton to BFr/Gj using conversion factor of  42.74 Gj/metric ton.</w:t>
      </w:r>
    </w:p>
    <w:p>
      <w:pPr>
        <w:pStyle w:val="Normal"/>
        <w:rPr>
          <w:sz w:val="20"/>
          <w:szCs w:val="20"/>
        </w:rPr>
      </w:pPr>
      <w:r>
        <w:rPr>
          <w:sz w:val="20"/>
          <w:szCs w:val="20"/>
        </w:rPr>
      </w:r>
    </w:p>
    <w:p>
      <w:pPr>
        <w:pStyle w:val="Normal"/>
        <w:rPr/>
      </w:pPr>
      <w:r>
        <w:rPr/>
        <w:t>Generally, Electrabel makes its residual fuel oil purchases in the ARA (Amsterdam-Rotterdam-Antwerp) spot barge market.  Electrabel buys maximum 1.0 weight percent sulfur content heavy fuel oil (LSFO).</w:t>
      </w:r>
    </w:p>
    <w:p>
      <w:pPr>
        <w:pStyle w:val="Normal"/>
        <w:rPr/>
      </w:pPr>
      <w:r>
        <w:rPr/>
      </w:r>
    </w:p>
    <w:p>
      <w:pPr>
        <w:pStyle w:val="Normal"/>
        <w:rPr/>
      </w:pPr>
      <w:r>
        <w:rPr/>
        <w:t xml:space="preserve">More recently the economic balance began shifting in favor of natural gas versus heavy fuel oil.  According to data published by WGI, the price of natural gas at the Belgian border in January 1999 was approximately BFr 72.1/Gj, while the average monthly spot price of LSFO was about BFr 76/Gj.  In January, European LSFO prices got a boost from substantial spot buying by Italian utility Enel (see </w:t>
      </w:r>
      <w:r>
        <w:rPr>
          <w:i/>
          <w:iCs/>
        </w:rPr>
        <w:t>Fuel Oil in World Markets</w:t>
      </w:r>
      <w:r>
        <w:rPr/>
        <w:t xml:space="preserve">, January 1999, p. 22), as well as stronger LSFO demand into Spain (see </w:t>
      </w:r>
      <w:r>
        <w:rPr>
          <w:i/>
          <w:iCs/>
        </w:rPr>
        <w:t>Fuel Oil in World Markets</w:t>
      </w:r>
      <w:r>
        <w:rPr/>
        <w:t>, January 1999, pp. 4-5), while natural gas prices dipped on relatively weak weather-related demand in northern Europe.</w:t>
      </w:r>
    </w:p>
    <w:p>
      <w:pPr>
        <w:pStyle w:val="Normal"/>
        <w:rPr/>
      </w:pPr>
      <w:r>
        <w:rPr/>
      </w:r>
    </w:p>
    <w:p>
      <w:pPr>
        <w:pStyle w:val="Normal"/>
        <w:rPr/>
      </w:pPr>
      <w:r>
        <w:rPr/>
        <w:t>With Enel having scaled back its buying by end-January, spot ARA LSFO barge prices fell into the mid-fifty US dollar per metric ton range by mid-February versus having been in the mid-sixty to low-seventy US dollar per metric ton range in January, making LSFO a more economically attractive option for Electrabel.</w:t>
      </w:r>
    </w:p>
    <w:p>
      <w:pPr>
        <w:pStyle w:val="Normal"/>
        <w:rPr/>
      </w:pPr>
      <w:r>
        <w:rPr/>
      </w:r>
    </w:p>
    <w:p>
      <w:pPr>
        <w:pStyle w:val="Normal"/>
        <w:rPr/>
      </w:pPr>
      <w:r>
        <w:rPr/>
        <w:t xml:space="preserve">In the latter part of February, spot LSFO ARA barge prices have once again rallied, and preliminary indications are Electrabel may reduce its spot purchases of residual fuel oil in March, and concurrently increase its spot natural gas purchases.   </w:t>
      </w:r>
    </w:p>
    <w:p>
      <w:pPr>
        <w:pStyle w:val="Normal"/>
        <w:rPr/>
      </w:pPr>
      <w:r>
        <w:rPr/>
      </w:r>
    </w:p>
    <w:p>
      <w:pPr>
        <w:pStyle w:val="Normal"/>
        <w:rPr/>
      </w:pPr>
      <w:r>
        <w:rPr/>
        <w:t xml:space="preserve">Sources indicate that notwithstanding recent low prices for LSFO in northern Europe, Electrabel has not found it economically attractive to increase heavy fuel oil consumption at the direct expense of coal consumption. </w:t>
      </w:r>
    </w:p>
    <w:p>
      <w:pPr>
        <w:pStyle w:val="Heading3"/>
        <w:ind w:hanging="0" w:start="0"/>
        <w:rPr/>
      </w:pPr>
      <w:r>
        <w:rPr/>
        <w:t xml:space="preserve">Enel Agrees to Buy Orimulsion for One Plant </w:t>
      </w:r>
      <w:r>
        <w:rPr>
          <w:rFonts w:eastAsia="Symbol" w:cs="Symbol" w:ascii="Symbol" w:hAnsi="Symbol"/>
        </w:rPr>
        <w:sym w:font="Symbol" w:char="be"/>
      </w:r>
      <w:r>
        <w:rPr/>
        <w:t xml:space="preserve"> Plans Test at Another</w:t>
      </w:r>
    </w:p>
    <w:p>
      <w:pPr>
        <w:pStyle w:val="Normal"/>
        <w:rPr/>
      </w:pPr>
      <w:r>
        <w:rPr/>
        <w:t>After having concluded pilot plant tests and full-scale plant tests, Italian utility, Enel, is satisfied that Orimulsion can be added to the roster of fuels used at one at one of its plants.  Italian government regulatory agencies, which monitored emissions data during the full-scale plant tests, have given the necessary approvals to use the fuel at the utility’s Brindisi South generating station.</w:t>
      </w:r>
    </w:p>
    <w:p>
      <w:pPr>
        <w:pStyle w:val="Normal"/>
        <w:rPr/>
      </w:pPr>
      <w:r>
        <w:rPr/>
      </w:r>
    </w:p>
    <w:p>
      <w:pPr>
        <w:pStyle w:val="Normal"/>
        <w:rPr/>
      </w:pPr>
      <w:r>
        <w:rPr/>
        <w:t xml:space="preserve">Enel concluded testing Orimulsion at a specially-built small plant in 1996. The results of this pilot-plant test were promising enough to prompt Enel to consider a test program at one of its commercial installations.  Enel and Bitor Europe Ltd., a subsidiary of Bitor Energy Plc (Bitor), entered into an agreement, whereby Bitor agreed to supply approximately 500,000 tons of Orimulsion to the utility’s Brindisi South generating plant.  Brindisi South is one of Enel’s newer plants.  The first of the four units at Brindisi went into commercial operation in 1997. The Brindisi South Orimulsion test program began in February 1998 and concluded this past autumn.  </w:t>
      </w:r>
    </w:p>
    <w:p>
      <w:pPr>
        <w:pStyle w:val="Normal"/>
        <w:rPr/>
      </w:pPr>
      <w:r>
        <w:rPr/>
      </w:r>
    </w:p>
    <w:p>
      <w:pPr>
        <w:pStyle w:val="Normal"/>
        <w:rPr/>
      </w:pPr>
      <w:r>
        <w:rPr/>
        <w:t>Brindisi South consists of four 660 MW generating units.  The plant is part of Enel’s baseload power supply and was designed to run imported coal as its primary fuel.  In order to meet increasingly stringent Italian emission standards, Enel equipped each of Brindisi South’s four units with electrostatic precipitators (ESPs) and flue gas desulfurization (FGD).  The ESP and FGD equipment at Brindi South made this a logical site for Enel to conduct a full-scale Orimulsion test.  Enel made some mechanical modifications to one of the four units at the site, to allow burning Orimulsion, as well as coal.  Brindisi South also has the advantage of being situated on the coast.  The plant is capable of receiving 100,000 DWT ocean-going vessels.  Bitor reportedly delivered about 80,000 tons of Orimulsion to Brindisi South, for test-purposes, on a vessel approximately this size.</w:t>
      </w:r>
    </w:p>
    <w:p>
      <w:pPr>
        <w:pStyle w:val="Normal"/>
        <w:rPr/>
      </w:pPr>
      <w:r>
        <w:rPr/>
      </w:r>
    </w:p>
    <w:p>
      <w:pPr>
        <w:pStyle w:val="Normal"/>
        <w:rPr/>
      </w:pPr>
      <w:r>
        <w:rPr/>
        <w:t xml:space="preserve">According to sources, Bitor has made at least one delivery of Orimulsion to Brindisi South under a one year contract with Enel, which took effect at the beginning of this year.  Reportedly, however, the contract has at least one unique feature.  While the contract specifies a one year time period, it does not require Enel to take a fixed quantity of Orimulsion over the course of the year.  </w:t>
      </w:r>
    </w:p>
    <w:p>
      <w:pPr>
        <w:pStyle w:val="Normal"/>
        <w:rPr/>
      </w:pPr>
      <w:r>
        <w:rPr/>
      </w:r>
    </w:p>
    <w:p>
      <w:pPr>
        <w:pStyle w:val="Normal"/>
        <w:rPr/>
      </w:pPr>
      <w:r>
        <w:rPr/>
        <w:t xml:space="preserve">If this is report is accurate, it provides Enel with substantial fuel switching capability at Brindisi South.  Presently only one unit at this location can burn Orimulsion.  However, all four Brindisi South units are not only capable of burning coal, but can burn residual fuel oil and natural gas, as well.  Presently, natural gas is not commercially available to Brindisi South, so this fuel switching option is only theoretical, at this time.  Burning residual fuel oil, however, is a genuine option.  </w:t>
      </w:r>
    </w:p>
    <w:p>
      <w:pPr>
        <w:pStyle w:val="Normal"/>
        <w:rPr/>
      </w:pPr>
      <w:r>
        <w:rPr/>
      </w:r>
    </w:p>
    <w:p>
      <w:pPr>
        <w:pStyle w:val="Normal"/>
        <w:rPr/>
      </w:pPr>
      <w:r>
        <w:rPr/>
        <w:t>Recently unconfirmed reports surfaced that Enel may have purchased 80,000 tons of Middle East-origin high-sulfur fuel oil (HSFO) in late-January or early-February.  Given Brindisi South’s marine capabilities, a cargo this size could have been delivered to this location.  In addition, burning HSFO at this location would pose no environmental problems for Enel since the plant is outfitted with ESP and FGD.</w:t>
      </w:r>
    </w:p>
    <w:p>
      <w:pPr>
        <w:pStyle w:val="Normal"/>
        <w:spacing w:before="240" w:after="0"/>
        <w:rPr/>
      </w:pPr>
      <w:r>
        <w:rPr/>
        <w:t xml:space="preserve">Enel appears adequately satisfied with the outcome of the Brindisi South situation to consider burning Orimulsion at another of its generating stations.  Enel plans a full-scale plant test at its 960 MW Fiume Santo station in Sardinia.  Like Brindisi South, Fiume Santo is multi-fuel capable; the plant is equipped with ESP and FGD.  The station can burn coal, residual fuel oil or natural gas. Similar to Brindisi South, natural gas is only a theoretical option at Fiume Santo at this time.  </w:t>
      </w:r>
    </w:p>
    <w:p>
      <w:pPr>
        <w:pStyle w:val="Normal"/>
        <w:rPr/>
      </w:pPr>
      <w:r>
        <w:rPr/>
      </w:r>
    </w:p>
    <w:p>
      <w:pPr>
        <w:pStyle w:val="Normal"/>
        <w:rPr/>
      </w:pPr>
      <w:r>
        <w:rPr/>
        <w:t>One of three 320 MW units at Fiume Santo has been mechanically modified to allow Orimulsion to be burned.  Reportedly, Bitor will supply approximately 250,000 tons of Orimulsion to Enel, which the utility will use to run a test burn program in Sardinia.  The Orimulsion test program will begin after Enel receives the requisite approvals from local officials in Sardinia, which are expected in the not too distant future.</w:t>
      </w:r>
    </w:p>
    <w:p>
      <w:pPr>
        <w:pStyle w:val="Heading3"/>
        <w:ind w:hanging="0" w:start="0"/>
        <w:rPr/>
      </w:pPr>
      <w:r>
        <w:rPr/>
        <w:t>Saras of Italy Selling High-Viscosity Fuel Oil to Bunker Supplier Chemoil</w:t>
      </w:r>
    </w:p>
    <w:p>
      <w:pPr>
        <w:pStyle w:val="Normal"/>
        <w:ind w:end="-180"/>
        <w:rPr/>
      </w:pPr>
      <w:r>
        <w:rPr/>
        <w:t xml:space="preserve">Under a flexible supply arrangement, Saras of Italy is selling high-sulfur, high-viscosity fuel oil to bunker supplier Chemoil.  Since June 1998, Saras has sold at least four 45,000 ton cargoes of the high-viscosity fuel oil (specifically, visbroken tar) to California-based Chemoil.  The 3.5%S Saras resid has viscosity of 2,000 cSt at 50°C.  The Saras cargoes are being purchased on an FOB basis, with prices tied to FOB Mediterranean HSFO quotations.  In the recent past, Chemoil has also purchased fuel oil from another European refiner — Petronor of Spain (see </w:t>
      </w:r>
      <w:r>
        <w:rPr>
          <w:i/>
          <w:iCs/>
        </w:rPr>
        <w:t>Fuel Oil in World Markets</w:t>
      </w:r>
      <w:r>
        <w:rPr/>
        <w:t>, March 1998, p. 7).</w:t>
      </w:r>
    </w:p>
    <w:p>
      <w:pPr>
        <w:pStyle w:val="Normal"/>
        <w:rPr/>
      </w:pPr>
      <w:r>
        <w:rPr/>
      </w:r>
    </w:p>
    <w:p>
      <w:pPr>
        <w:pStyle w:val="Normal"/>
        <w:rPr/>
      </w:pPr>
      <w:r>
        <w:rPr/>
        <w:t xml:space="preserve">To date, Chemoil has moved most of the Saras resid to the US East Coast for use in bunkering operations in New York and Philadelphia.  Some of Chemoil’s Saras material — perhaps 30 percent — has been resold for use in the Mediterranean.  As yet none of the Saras resid has been moved to Rotterdam for use in Chemoil’s new bunkering operation in Rotterdam (see </w:t>
      </w:r>
      <w:r>
        <w:rPr>
          <w:i/>
          <w:iCs/>
        </w:rPr>
        <w:t>Fuel Oil in World Markets,</w:t>
      </w:r>
      <w:r>
        <w:rPr/>
        <w:t xml:space="preserve"> November 1998, p. 8).  Depending on Chemoil’s purchase requirements, Saras could potentially supply as much as one cargo a month to the bunker company.</w:t>
      </w:r>
    </w:p>
    <w:p>
      <w:pPr>
        <w:pStyle w:val="Normal"/>
        <w:rPr>
          <w:b/>
          <w:bCs/>
        </w:rPr>
      </w:pPr>
      <w:r>
        <w:rPr>
          <w:b/>
          <w:bCs/>
        </w:rPr>
      </w:r>
    </w:p>
    <w:p>
      <w:pPr>
        <w:pStyle w:val="Normal"/>
        <w:rPr/>
      </w:pPr>
      <w:r>
        <w:rPr/>
        <w:t>The 320,000 b/d Saras refinery at Sarroch in Sardinia, which is being operated at fully capacity, has five processing tenants.  On an aggregate basis, the tenants account for about half of the refinery’s capacity.  For its own account, Saras uses the remaining 50 percent of crude capacity.  Saras markets all fuel oil produced at the refinery.</w:t>
      </w:r>
    </w:p>
    <w:p>
      <w:pPr>
        <w:pStyle w:val="Normal"/>
        <w:rPr/>
      </w:pPr>
      <w:r>
        <w:rPr/>
      </w:r>
    </w:p>
    <w:p>
      <w:pPr>
        <w:pStyle w:val="Normal"/>
        <w:rPr/>
      </w:pPr>
      <w:r>
        <w:rPr/>
        <w:t>The Saras plant produces low-, medium-, and high-sulfur fuel oil.  Production of both the low- and medium-sulfur fuel oil amounts to about 50,000 tons a month.  HSFO production runs about 240,000 tons per month.  The low- and medium- sulfur fuel oil is used domestically and the HSFO is generally exported.</w:t>
      </w:r>
    </w:p>
    <w:p>
      <w:pPr>
        <w:pStyle w:val="Normal"/>
        <w:rPr/>
      </w:pPr>
      <w:r>
        <w:rPr/>
      </w:r>
    </w:p>
    <w:p>
      <w:pPr>
        <w:pStyle w:val="Normal"/>
        <w:rPr/>
      </w:pPr>
      <w:r>
        <w:rPr/>
        <w:t>Meanwhile, work is proceeding on the installation of a gasification complex at the Saras plant.  The gasification complex, using Texaco technology, will consume approximately 3,500 tons a day of visbroken tar.  As a result, Saras’s fuel oil production will decline by as much as half.  The gasification complex is scheduled to begin operation in early 2000.</w:t>
      </w:r>
      <w:r>
        <w:br w:type="page"/>
      </w:r>
    </w:p>
    <w:p>
      <w:pPr>
        <w:pStyle w:val="Heading4"/>
        <w:ind w:hanging="0" w:start="0"/>
        <w:rPr/>
      </w:pPr>
      <w:r>
        <w:rPr/>
        <w:t>Table I-A:  Fuel Oil Cargo Prices</w:t>
        <w:br/>
        <w:t>(US$/Barrel)</w:t>
      </w:r>
    </w:p>
    <w:p>
      <w:pPr>
        <w:pStyle w:val="Normal"/>
        <w:rPr/>
      </w:pPr>
      <w:r>
        <w:rPr/>
      </w:r>
    </w:p>
    <w:p>
      <w:pPr>
        <w:sectPr>
          <w:headerReference w:type="default" r:id="rId6"/>
          <w:footerReference w:type="default" r:id="rId7"/>
          <w:footerReference w:type="first" r:id="rId8"/>
          <w:type w:val="nextPage"/>
          <w:pgSz w:w="12240" w:h="15840"/>
          <w:pgMar w:left="1440" w:right="1440" w:gutter="0" w:header="576" w:top="1152" w:footer="576" w:bottom="1152"/>
          <w:pgNumType w:start="1" w:fmt="decimal"/>
          <w:formProt w:val="false"/>
          <w:textDirection w:val="lrTb"/>
        </w:sectPr>
      </w:pPr>
    </w:p>
    <w:p>
      <w:pPr>
        <w:pStyle w:val="left-1ab"/>
        <w:rPr>
          <w:b/>
          <w:bCs/>
        </w:rPr>
      </w:pPr>
      <w:r>
        <w:rPr>
          <w:b/>
          <w:bCs/>
        </w:rPr>
        <w:t>Location</w:t>
      </w:r>
    </w:p>
    <w:p>
      <w:pPr>
        <w:pStyle w:val="left-1ab"/>
        <w:rPr/>
      </w:pPr>
      <w:r>
        <w:rPr/>
        <w:t>Grade of Resid</w:t>
        <w:br/>
        <w:br/>
      </w:r>
      <w:r>
        <w:rPr>
          <w:b/>
          <w:bCs/>
        </w:rPr>
        <w:t>New York Harbor</w:t>
      </w:r>
      <w:r>
        <w:rPr/>
        <w:br/>
        <w:t>No. 6 0.3%S HiPr</w:t>
        <w:br/>
        <w:t>No. 6 0.3%S LoPr</w:t>
        <w:br/>
        <w:t>No. 6 0.7%S Max</w:t>
        <w:br/>
        <w:t>No. 6 1.0%S Max</w:t>
        <w:br/>
        <w:t>No. 6 2.2%S Max</w:t>
        <w:br/>
        <w:t>No. 6 3.0%S Max</w:t>
        <w:br/>
        <w:br/>
      </w:r>
      <w:r>
        <w:rPr>
          <w:b/>
          <w:bCs/>
        </w:rPr>
        <w:t>Caribbean (FOB)</w:t>
      </w:r>
      <w:r>
        <w:rPr/>
        <w:br/>
        <w:t>No. 6 2.0%S</w:t>
        <w:br/>
        <w:t>No. 6 2.8%S</w:t>
        <w:br/>
        <w:br/>
      </w:r>
      <w:r>
        <w:rPr>
          <w:b/>
          <w:bCs/>
        </w:rPr>
        <w:t>US Gulf Coast</w:t>
      </w:r>
      <w:r>
        <w:rPr/>
        <w:br/>
        <w:t>No. 6 0.7%S</w:t>
        <w:br/>
        <w:t>No. 6 1.0%S 8 API</w:t>
        <w:br/>
        <w:t>No. 6 1.0%S 10.5 API</w:t>
        <w:br/>
        <w:t>No. 6 3.0%S</w:t>
        <w:br/>
        <w:br/>
      </w:r>
      <w:r>
        <w:rPr>
          <w:b/>
          <w:bCs/>
        </w:rPr>
        <w:t>Northwest Europe (FOB)</w:t>
      </w:r>
      <w:r>
        <w:rPr/>
        <w:br/>
        <w:t>0.5 - 0.7% Straight Run</w:t>
      </w:r>
      <w:r>
        <w:rPr>
          <w:vertAlign w:val="superscript"/>
        </w:rPr>
        <w:t>a</w:t>
      </w:r>
      <w:r>
        <w:rPr/>
        <w:br/>
        <w:t>1.0% Fuel Oil</w:t>
      </w:r>
      <w:r>
        <w:rPr>
          <w:vertAlign w:val="superscript"/>
        </w:rPr>
        <w:t>b</w:t>
      </w:r>
      <w:r>
        <w:rPr/>
        <w:br/>
        <w:t>3.0% Fuel Oil</w:t>
      </w:r>
      <w:r>
        <w:rPr>
          <w:vertAlign w:val="superscript"/>
        </w:rPr>
        <w:t>c</w:t>
      </w:r>
      <w:r>
        <w:rPr/>
        <w:br/>
        <w:t>3.5% Fuel Oil</w:t>
      </w:r>
      <w:r>
        <w:rPr>
          <w:vertAlign w:val="superscript"/>
        </w:rPr>
        <w:t>c</w:t>
      </w:r>
      <w:r>
        <w:rPr/>
        <w:br/>
        <w:t>E4 Premium (CIF NWE)</w:t>
      </w:r>
      <w:r>
        <w:rPr>
          <w:vertAlign w:val="superscript"/>
        </w:rPr>
        <w:t>d</w:t>
      </w:r>
      <w:r>
        <w:rPr/>
        <w:br/>
        <w:br/>
      </w:r>
      <w:r>
        <w:rPr>
          <w:b/>
          <w:bCs/>
        </w:rPr>
        <w:t>Italy (FOB)</w:t>
      </w:r>
      <w:r>
        <w:rPr/>
        <w:br/>
        <w:t>1.0% Fuel Oil</w:t>
      </w:r>
      <w:r>
        <w:rPr>
          <w:vertAlign w:val="superscript"/>
        </w:rPr>
        <w:t>b</w:t>
      </w:r>
      <w:r>
        <w:rPr/>
        <w:br/>
        <w:t>3.5% Fuel Oil</w:t>
      </w:r>
      <w:r>
        <w:rPr>
          <w:vertAlign w:val="superscript"/>
        </w:rPr>
        <w:t>c</w:t>
        <w:br/>
      </w:r>
      <w:r>
        <w:rPr/>
        <w:t>M-40 Premium (CIF Med)</w:t>
      </w:r>
      <w:r>
        <w:rPr>
          <w:vertAlign w:val="superscript"/>
        </w:rPr>
        <w:t>d</w:t>
      </w:r>
      <w:r>
        <w:rPr/>
        <w:br/>
        <w:br/>
      </w:r>
      <w:r>
        <w:rPr>
          <w:b/>
          <w:bCs/>
        </w:rPr>
        <w:t>Arab Gulf (FOB)</w:t>
      </w:r>
      <w:r>
        <w:rPr/>
        <w:br/>
        <w:t>HSFO 180 cSt</w:t>
      </w:r>
      <w:r>
        <w:rPr>
          <w:vertAlign w:val="superscript"/>
        </w:rPr>
        <w:t>e</w:t>
      </w:r>
      <w:r>
        <w:rPr/>
        <w:br/>
        <w:br/>
      </w:r>
      <w:r>
        <w:rPr>
          <w:b/>
          <w:bCs/>
        </w:rPr>
        <w:t>Singapore</w:t>
      </w:r>
      <w:r>
        <w:rPr/>
        <w:br/>
        <w:t>HSFO 180 cSt</w:t>
      </w:r>
      <w:r>
        <w:rPr>
          <w:vertAlign w:val="superscript"/>
        </w:rPr>
        <w:t>e</w:t>
      </w:r>
      <w:r>
        <w:rPr/>
        <w:br/>
        <w:t>HSFO 380 cSt</w:t>
      </w:r>
      <w:r>
        <w:rPr>
          <w:vertAlign w:val="superscript"/>
        </w:rPr>
        <w:t>e</w:t>
      </w:r>
      <w:r>
        <w:rPr/>
        <w:br/>
        <w:t>LSWR Mixed/Cracked</w:t>
      </w:r>
    </w:p>
    <w:p>
      <w:pPr>
        <w:pStyle w:val="right-1ab"/>
        <w:rPr/>
      </w:pPr>
      <w:r>
        <w:rPr/>
      </w:r>
    </w:p>
    <w:p>
      <w:pPr>
        <w:pStyle w:val="right-1ab"/>
        <w:rPr/>
      </w:pPr>
      <w:r>
        <w:br w:type="column"/>
      </w:r>
      <w:r>
        <w:rPr/>
      </w:r>
    </w:p>
    <w:p>
      <w:pPr>
        <w:pStyle w:val="right-1ab"/>
        <w:rPr/>
      </w:pPr>
      <w:r>
        <w:rPr/>
        <w:tab/>
        <w:t xml:space="preserve">26-Jan-99 </w:t>
        <w:tab/>
        <w:t xml:space="preserve">02-Feb-99 </w:t>
        <w:tab/>
        <w:t xml:space="preserve">09-Feb-99 </w:t>
        <w:tab/>
        <w:t xml:space="preserve">16-Feb-99 </w:t>
        <w:tab/>
        <w:t xml:space="preserve">23-Feb-99 </w:t>
      </w:r>
    </w:p>
    <w:p>
      <w:pPr>
        <w:pStyle w:val="right-1ab"/>
        <w:rPr/>
      </w:pPr>
      <w:r>
        <w:rPr/>
        <w:tab/>
        <w:tab/>
        <w:tab/>
        <w:tab/>
        <w:tab/>
      </w:r>
    </w:p>
    <w:p>
      <w:pPr>
        <w:pStyle w:val="right-1ab"/>
        <w:rPr/>
      </w:pPr>
      <w:r>
        <w:rPr/>
        <w:tab/>
        <w:tab/>
        <w:tab/>
        <w:tab/>
        <w:tab/>
      </w:r>
    </w:p>
    <w:p>
      <w:pPr>
        <w:pStyle w:val="right-1ab"/>
        <w:rPr/>
      </w:pPr>
      <w:r>
        <w:rPr/>
        <w:tab/>
        <w:t xml:space="preserve">11.23 </w:t>
        <w:tab/>
        <w:t xml:space="preserve">10.53 </w:t>
        <w:tab/>
        <w:t xml:space="preserve">10.18 </w:t>
        <w:tab/>
        <w:t xml:space="preserve">9.78 </w:t>
        <w:tab/>
        <w:t xml:space="preserve">10.23 </w:t>
      </w:r>
    </w:p>
    <w:p>
      <w:pPr>
        <w:pStyle w:val="right-1ab"/>
        <w:rPr/>
      </w:pPr>
      <w:r>
        <w:rPr/>
        <w:tab/>
        <w:t xml:space="preserve">12.28 </w:t>
        <w:tab/>
        <w:t xml:space="preserve">11.38 </w:t>
        <w:tab/>
        <w:t xml:space="preserve">11.60 </w:t>
        <w:tab/>
        <w:t xml:space="preserve">11.13 </w:t>
        <w:tab/>
        <w:t xml:space="preserve">11.33 </w:t>
      </w:r>
    </w:p>
    <w:p>
      <w:pPr>
        <w:pStyle w:val="right-1ab"/>
        <w:rPr/>
      </w:pPr>
      <w:r>
        <w:rPr/>
        <w:tab/>
        <w:t xml:space="preserve">10.78 </w:t>
        <w:tab/>
        <w:t xml:space="preserve">9.78 </w:t>
        <w:tab/>
        <w:t xml:space="preserve">9.13 </w:t>
        <w:tab/>
        <w:t xml:space="preserve">8.38 </w:t>
        <w:tab/>
        <w:t xml:space="preserve">9.03 </w:t>
      </w:r>
    </w:p>
    <w:p>
      <w:pPr>
        <w:pStyle w:val="right-1ab"/>
        <w:rPr/>
      </w:pPr>
      <w:r>
        <w:rPr/>
        <w:tab/>
        <w:t xml:space="preserve">10.38 </w:t>
        <w:tab/>
        <w:t xml:space="preserve">9.40 </w:t>
        <w:tab/>
        <w:t xml:space="preserve">8.68 </w:t>
        <w:tab/>
        <w:t xml:space="preserve">7.90 </w:t>
        <w:tab/>
        <w:t xml:space="preserve">8.68 </w:t>
      </w:r>
    </w:p>
    <w:p>
      <w:pPr>
        <w:pStyle w:val="right-1ab"/>
        <w:rPr/>
      </w:pPr>
      <w:r>
        <w:rPr/>
        <w:tab/>
        <w:t xml:space="preserve">9.48 </w:t>
        <w:tab/>
        <w:t xml:space="preserve">9.18 </w:t>
        <w:tab/>
        <w:t xml:space="preserve">8.18 </w:t>
        <w:tab/>
        <w:t xml:space="preserve">7.53 </w:t>
        <w:tab/>
        <w:t xml:space="preserve">8.23 </w:t>
      </w:r>
    </w:p>
    <w:p>
      <w:pPr>
        <w:pStyle w:val="right-1ab"/>
        <w:rPr/>
      </w:pPr>
      <w:r>
        <w:rPr/>
        <w:tab/>
        <w:t xml:space="preserve">8.88 </w:t>
        <w:tab/>
        <w:t xml:space="preserve">8.63 </w:t>
        <w:tab/>
        <w:t xml:space="preserve">7.63 </w:t>
        <w:tab/>
        <w:t xml:space="preserve">7.30 </w:t>
        <w:tab/>
        <w:t xml:space="preserve">7.48 </w:t>
      </w:r>
    </w:p>
    <w:p>
      <w:pPr>
        <w:pStyle w:val="right-1ab"/>
        <w:rPr/>
      </w:pPr>
      <w:r>
        <w:rPr/>
        <w:tab/>
        <w:tab/>
        <w:tab/>
        <w:tab/>
        <w:tab/>
      </w:r>
    </w:p>
    <w:p>
      <w:pPr>
        <w:pStyle w:val="right-1ab"/>
        <w:rPr/>
      </w:pPr>
      <w:r>
        <w:rPr/>
        <w:tab/>
        <w:tab/>
        <w:tab/>
        <w:tab/>
        <w:tab/>
      </w:r>
    </w:p>
    <w:p>
      <w:pPr>
        <w:pStyle w:val="right-1ab"/>
        <w:rPr/>
      </w:pPr>
      <w:r>
        <w:rPr/>
        <w:tab/>
        <w:t xml:space="preserve">8.58 </w:t>
        <w:tab/>
        <w:t xml:space="preserve">8.28 </w:t>
        <w:tab/>
        <w:t xml:space="preserve">7.28 </w:t>
        <w:tab/>
        <w:t xml:space="preserve">6.63 </w:t>
        <w:tab/>
        <w:t xml:space="preserve">7.33 </w:t>
      </w:r>
    </w:p>
    <w:p>
      <w:pPr>
        <w:pStyle w:val="right-1ab"/>
        <w:rPr/>
      </w:pPr>
      <w:r>
        <w:rPr/>
        <w:tab/>
        <w:t xml:space="preserve">7.78 </w:t>
        <w:tab/>
        <w:t xml:space="preserve">7.53 </w:t>
        <w:tab/>
        <w:t xml:space="preserve">6.53 </w:t>
        <w:tab/>
        <w:t xml:space="preserve">6.20 </w:t>
        <w:tab/>
        <w:t xml:space="preserve">6.38 </w:t>
      </w:r>
    </w:p>
    <w:p>
      <w:pPr>
        <w:pStyle w:val="right-1ab"/>
        <w:rPr/>
      </w:pPr>
      <w:r>
        <w:rPr/>
        <w:tab/>
        <w:tab/>
        <w:tab/>
        <w:tab/>
        <w:tab/>
      </w:r>
    </w:p>
    <w:p>
      <w:pPr>
        <w:pStyle w:val="right-1ab"/>
        <w:rPr/>
      </w:pPr>
      <w:r>
        <w:rPr/>
        <w:tab/>
        <w:tab/>
        <w:tab/>
        <w:tab/>
        <w:tab/>
      </w:r>
    </w:p>
    <w:p>
      <w:pPr>
        <w:pStyle w:val="right-1ab"/>
        <w:rPr/>
      </w:pPr>
      <w:r>
        <w:rPr/>
        <w:tab/>
        <w:t xml:space="preserve">11.10 </w:t>
        <w:tab/>
        <w:t xml:space="preserve">10.65 </w:t>
        <w:tab/>
        <w:t xml:space="preserve">9.45 </w:t>
        <w:tab/>
        <w:t xml:space="preserve">9.15 </w:t>
        <w:tab/>
        <w:t xml:space="preserve">9.80 </w:t>
      </w:r>
    </w:p>
    <w:p>
      <w:pPr>
        <w:pStyle w:val="right-1ab"/>
        <w:rPr/>
      </w:pPr>
      <w:r>
        <w:rPr/>
        <w:tab/>
        <w:t xml:space="preserve">10.25 </w:t>
        <w:tab/>
        <w:t xml:space="preserve">9.85 </w:t>
        <w:tab/>
        <w:t xml:space="preserve">8.65 </w:t>
        <w:tab/>
        <w:t xml:space="preserve">8.35 </w:t>
        <w:tab/>
        <w:t xml:space="preserve">9.00 </w:t>
      </w:r>
    </w:p>
    <w:p>
      <w:pPr>
        <w:pStyle w:val="right-1ab"/>
        <w:rPr/>
      </w:pPr>
      <w:r>
        <w:rPr/>
        <w:tab/>
        <w:t xml:space="preserve">10.25 </w:t>
        <w:tab/>
        <w:t xml:space="preserve">9.85 </w:t>
        <w:tab/>
        <w:t xml:space="preserve">8.65 </w:t>
        <w:tab/>
        <w:t xml:space="preserve">8.35 </w:t>
        <w:tab/>
        <w:t xml:space="preserve">9.00 </w:t>
      </w:r>
    </w:p>
    <w:p>
      <w:pPr>
        <w:pStyle w:val="right-1ab"/>
        <w:rPr/>
      </w:pPr>
      <w:r>
        <w:rPr/>
        <w:tab/>
        <w:t xml:space="preserve">7.53 </w:t>
        <w:tab/>
        <w:t xml:space="preserve">7.15 </w:t>
        <w:tab/>
        <w:t xml:space="preserve">7.15 </w:t>
        <w:tab/>
        <w:t xml:space="preserve">6.65 </w:t>
        <w:tab/>
        <w:t xml:space="preserve">7.88 </w:t>
      </w:r>
    </w:p>
    <w:p>
      <w:pPr>
        <w:pStyle w:val="right-1ab"/>
        <w:rPr/>
      </w:pPr>
      <w:r>
        <w:rPr/>
        <w:tab/>
        <w:tab/>
        <w:tab/>
        <w:tab/>
        <w:tab/>
      </w:r>
    </w:p>
    <w:p>
      <w:pPr>
        <w:pStyle w:val="right-1ab"/>
        <w:rPr/>
      </w:pPr>
      <w:r>
        <w:rPr/>
        <w:tab/>
        <w:tab/>
        <w:tab/>
        <w:tab/>
        <w:tab/>
      </w:r>
    </w:p>
    <w:p>
      <w:pPr>
        <w:pStyle w:val="right-1ab"/>
        <w:rPr/>
      </w:pPr>
      <w:r>
        <w:rPr/>
        <w:tab/>
        <w:t xml:space="preserve">10.04 </w:t>
        <w:tab/>
        <w:t xml:space="preserve">9.38 </w:t>
        <w:tab/>
        <w:t xml:space="preserve">8.71 </w:t>
        <w:tab/>
        <w:t xml:space="preserve">8.20 </w:t>
        <w:tab/>
        <w:t xml:space="preserve">8.34 </w:t>
      </w:r>
    </w:p>
    <w:p>
      <w:pPr>
        <w:pStyle w:val="right-1ab"/>
        <w:rPr/>
      </w:pPr>
      <w:r>
        <w:rPr/>
        <w:tab/>
        <w:t xml:space="preserve">9.63 </w:t>
        <w:tab/>
        <w:t xml:space="preserve">9.24 </w:t>
        <w:tab/>
        <w:t xml:space="preserve">8.54 </w:t>
        <w:tab/>
        <w:t xml:space="preserve">8.31 </w:t>
        <w:tab/>
        <w:t xml:space="preserve">8.31 </w:t>
      </w:r>
    </w:p>
    <w:p>
      <w:pPr>
        <w:pStyle w:val="right-1ab"/>
        <w:rPr/>
      </w:pPr>
      <w:r>
        <w:rPr/>
        <w:tab/>
        <w:t xml:space="preserve">8.77 </w:t>
        <w:tab/>
        <w:t xml:space="preserve">8.38 </w:t>
        <w:tab/>
        <w:t xml:space="preserve">7.75 </w:t>
        <w:tab/>
        <w:t xml:space="preserve">7.59 </w:t>
        <w:tab/>
        <w:t xml:space="preserve">7.59 </w:t>
      </w:r>
    </w:p>
    <w:p>
      <w:pPr>
        <w:pStyle w:val="right-1ab"/>
        <w:rPr/>
      </w:pPr>
      <w:r>
        <w:rPr/>
        <w:tab/>
        <w:t xml:space="preserve">8.77 </w:t>
        <w:tab/>
        <w:t xml:space="preserve">8.38 </w:t>
        <w:tab/>
        <w:t xml:space="preserve">7.75 </w:t>
        <w:tab/>
        <w:t xml:space="preserve">7.59 </w:t>
        <w:tab/>
        <w:t xml:space="preserve">7.59 </w:t>
      </w:r>
    </w:p>
    <w:p>
      <w:pPr>
        <w:pStyle w:val="right-1ab"/>
        <w:rPr/>
      </w:pPr>
      <w:r>
        <w:rPr/>
        <w:tab/>
        <w:t xml:space="preserve">0.22 </w:t>
        <w:tab/>
        <w:t xml:space="preserve">0.22 </w:t>
        <w:tab/>
        <w:t xml:space="preserve">0.22 </w:t>
        <w:tab/>
        <w:t xml:space="preserve">0.22 </w:t>
        <w:tab/>
        <w:t xml:space="preserve">0.22 </w:t>
      </w:r>
    </w:p>
    <w:p>
      <w:pPr>
        <w:pStyle w:val="right-1ab"/>
        <w:rPr/>
      </w:pPr>
      <w:r>
        <w:rPr/>
        <w:tab/>
        <w:tab/>
        <w:tab/>
        <w:tab/>
        <w:tab/>
      </w:r>
    </w:p>
    <w:p>
      <w:pPr>
        <w:pStyle w:val="right-1ab"/>
        <w:rPr/>
      </w:pPr>
      <w:r>
        <w:rPr/>
        <w:tab/>
        <w:tab/>
        <w:tab/>
        <w:tab/>
        <w:tab/>
      </w:r>
    </w:p>
    <w:p>
      <w:pPr>
        <w:pStyle w:val="right-1ab"/>
        <w:rPr/>
      </w:pPr>
      <w:r>
        <w:rPr/>
        <w:tab/>
        <w:t xml:space="preserve">9.48 </w:t>
        <w:tab/>
        <w:t xml:space="preserve">8.62 </w:t>
        <w:tab/>
        <w:t xml:space="preserve">8.39 </w:t>
        <w:tab/>
        <w:t xml:space="preserve">8.39 </w:t>
        <w:tab/>
        <w:t xml:space="preserve">8.47 </w:t>
      </w:r>
    </w:p>
    <w:p>
      <w:pPr>
        <w:pStyle w:val="right-1ab"/>
        <w:rPr/>
      </w:pPr>
      <w:r>
        <w:rPr/>
        <w:tab/>
        <w:t xml:space="preserve">8.30 </w:t>
        <w:tab/>
        <w:t xml:space="preserve">7.98 </w:t>
        <w:tab/>
        <w:t xml:space="preserve">7.59 </w:t>
        <w:tab/>
        <w:t xml:space="preserve">7.59 </w:t>
        <w:tab/>
        <w:t xml:space="preserve">7.59 </w:t>
      </w:r>
    </w:p>
    <w:p>
      <w:pPr>
        <w:pStyle w:val="right-1ab"/>
        <w:rPr/>
      </w:pPr>
      <w:r>
        <w:rPr/>
        <w:tab/>
        <w:t xml:space="preserve">1.27 </w:t>
        <w:tab/>
        <w:t xml:space="preserve">1.27 </w:t>
        <w:tab/>
        <w:t xml:space="preserve">1.27 </w:t>
        <w:tab/>
        <w:t xml:space="preserve">1.27 </w:t>
        <w:tab/>
        <w:t xml:space="preserve">0.97 </w:t>
      </w:r>
    </w:p>
    <w:p>
      <w:pPr>
        <w:pStyle w:val="right-1ab"/>
        <w:rPr/>
      </w:pPr>
      <w:r>
        <w:rPr/>
        <w:tab/>
        <w:tab/>
        <w:tab/>
        <w:tab/>
        <w:tab/>
      </w:r>
    </w:p>
    <w:p>
      <w:pPr>
        <w:pStyle w:val="right-1ab"/>
        <w:rPr/>
      </w:pPr>
      <w:r>
        <w:rPr/>
        <w:tab/>
        <w:tab/>
        <w:tab/>
        <w:tab/>
        <w:tab/>
      </w:r>
    </w:p>
    <w:p>
      <w:pPr>
        <w:pStyle w:val="right-1ab"/>
        <w:rPr/>
      </w:pPr>
      <w:r>
        <w:rPr/>
        <w:tab/>
        <w:t xml:space="preserve">9.16 </w:t>
        <w:tab/>
        <w:t xml:space="preserve">8.57 </w:t>
        <w:tab/>
        <w:t xml:space="preserve">7.76 </w:t>
        <w:tab/>
        <w:t>n/a</w:t>
        <w:tab/>
        <w:t xml:space="preserve">7.95 </w:t>
      </w:r>
    </w:p>
    <w:p>
      <w:pPr>
        <w:pStyle w:val="right-1ab"/>
        <w:rPr/>
      </w:pPr>
      <w:r>
        <w:rPr/>
        <w:tab/>
        <w:tab/>
        <w:tab/>
        <w:tab/>
        <w:tab/>
      </w:r>
    </w:p>
    <w:p>
      <w:pPr>
        <w:pStyle w:val="right-1ab"/>
        <w:rPr/>
      </w:pPr>
      <w:r>
        <w:rPr/>
        <w:tab/>
        <w:tab/>
        <w:tab/>
        <w:tab/>
        <w:tab/>
      </w:r>
    </w:p>
    <w:p>
      <w:pPr>
        <w:pStyle w:val="right-1ab"/>
        <w:rPr/>
      </w:pPr>
      <w:r>
        <w:rPr/>
        <w:tab/>
        <w:t xml:space="preserve">10.13 </w:t>
        <w:tab/>
        <w:t xml:space="preserve">9.47 </w:t>
        <w:tab/>
        <w:t xml:space="preserve">8.61 </w:t>
        <w:tab/>
        <w:t>n/a</w:t>
        <w:tab/>
        <w:t xml:space="preserve">8.96 </w:t>
      </w:r>
    </w:p>
    <w:p>
      <w:pPr>
        <w:pStyle w:val="right-1ab"/>
        <w:rPr/>
      </w:pPr>
      <w:r>
        <w:rPr/>
        <w:tab/>
        <w:t xml:space="preserve">9.59 </w:t>
        <w:tab/>
        <w:t xml:space="preserve">9.04 </w:t>
        <w:tab/>
        <w:t xml:space="preserve">7.99 </w:t>
        <w:tab/>
        <w:t>n/a</w:t>
        <w:tab/>
        <w:t xml:space="preserve">8.42 </w:t>
      </w:r>
    </w:p>
    <w:p>
      <w:pPr>
        <w:pStyle w:val="right-1ab"/>
        <w:rPr/>
      </w:pPr>
      <w:r>
        <w:rPr/>
        <w:tab/>
        <w:t xml:space="preserve">9.80 </w:t>
        <w:tab/>
        <w:t xml:space="preserve">9.38 </w:t>
        <w:tab/>
        <w:t xml:space="preserve">8.90 </w:t>
        <w:tab/>
        <w:t>n/a</w:t>
        <w:tab/>
        <w:t>9.00</w:t>
      </w:r>
    </w:p>
    <w:p>
      <w:pPr>
        <w:sectPr>
          <w:type w:val="continuous"/>
          <w:pgSz w:w="12240" w:h="15840"/>
          <w:pgMar w:left="1440" w:right="1440" w:gutter="0" w:header="576" w:top="1152" w:footer="576" w:bottom="1152"/>
          <w:cols w:num="2" w:equalWidth="false" w:sep="false">
            <w:col w:w="2448" w:space="346"/>
            <w:col w:w="6566"/>
          </w:cols>
          <w:formProt w:val="false"/>
          <w:textDirection w:val="lrTb"/>
        </w:sectPr>
      </w:pPr>
    </w:p>
    <w:p>
      <w:pPr>
        <w:pStyle w:val="footnotesfortables"/>
        <w:rPr/>
      </w:pPr>
      <w:r>
        <w:rPr/>
        <w:t>Factors for converting to barrels from metric tons:</w:t>
      </w:r>
    </w:p>
    <w:p>
      <w:pPr>
        <w:pStyle w:val="footnotesfortables"/>
        <w:rPr/>
      </w:pPr>
      <w:r>
        <w:rPr/>
        <w:t>a</w:t>
        <w:tab/>
        <w:t>6.77</w:t>
        <w:tab/>
        <w:t>c</w:t>
        <w:tab/>
        <w:t>6.33</w:t>
        <w:tab/>
        <w:t>e</w:t>
        <w:tab/>
        <w:t>6.41</w:t>
        <w:br/>
        <w:t>b</w:t>
        <w:tab/>
        <w:t>6.44</w:t>
        <w:tab/>
        <w:t>d</w:t>
        <w:tab/>
        <w:t>6.70</w:t>
        <w:tab/>
        <w:br/>
      </w:r>
    </w:p>
    <w:p>
      <w:pPr>
        <w:pStyle w:val="footnotesfortables"/>
        <w:rPr/>
      </w:pPr>
      <w:r>
        <w:rPr/>
        <w:t>n/a = not available</w:t>
        <w:br/>
        <w:t xml:space="preserve">Source:  </w:t>
      </w:r>
      <w:r>
        <w:rPr>
          <w:i/>
          <w:iCs/>
        </w:rPr>
        <w:t>Platt’s Oilgram Price Report</w:t>
      </w:r>
      <w:r>
        <w:rPr/>
        <w:t>.  Prices are means of the range for the effective date.</w:t>
      </w:r>
      <w:r>
        <w:br w:type="page"/>
      </w:r>
    </w:p>
    <w:p>
      <w:pPr>
        <w:pStyle w:val="Heading4"/>
        <w:ind w:hanging="0" w:start="0"/>
        <w:rPr/>
      </w:pPr>
      <w:r>
        <w:rPr/>
        <w:t>Table I-B:  Fuel Oil Cargo Prices</w:t>
        <w:br/>
        <w:t>(US$/Metric Tons)</w:t>
      </w:r>
    </w:p>
    <w:p>
      <w:pPr>
        <w:pStyle w:val="Normal"/>
        <w:rPr/>
      </w:pPr>
      <w:r>
        <w:rPr/>
      </w:r>
    </w:p>
    <w:p>
      <w:pPr>
        <w:sectPr>
          <w:type w:val="continuous"/>
          <w:pgSz w:w="12240" w:h="15840"/>
          <w:pgMar w:left="1440" w:right="1440" w:gutter="0" w:header="576" w:top="1152" w:footer="576" w:bottom="1152"/>
          <w:formProt w:val="false"/>
          <w:textDirection w:val="lrTb"/>
        </w:sectPr>
      </w:pPr>
    </w:p>
    <w:p>
      <w:pPr>
        <w:pStyle w:val="left-1ab"/>
        <w:rPr>
          <w:b/>
          <w:bCs/>
        </w:rPr>
      </w:pPr>
      <w:r>
        <w:rPr>
          <w:b/>
          <w:bCs/>
        </w:rPr>
        <w:t>Location</w:t>
      </w:r>
    </w:p>
    <w:p>
      <w:pPr>
        <w:pStyle w:val="left-1ab"/>
        <w:rPr/>
      </w:pPr>
      <w:r>
        <w:rPr/>
        <w:t>Grade of Resid</w:t>
        <w:br/>
        <w:br/>
      </w:r>
      <w:r>
        <w:rPr>
          <w:b/>
          <w:bCs/>
        </w:rPr>
        <w:t>New York Harbor</w:t>
      </w:r>
      <w:r>
        <w:rPr/>
        <w:br/>
        <w:t>No. 6 0.3%S HiPr</w:t>
      </w:r>
      <w:r>
        <w:rPr>
          <w:vertAlign w:val="superscript"/>
        </w:rPr>
        <w:t>a</w:t>
      </w:r>
      <w:r>
        <w:rPr/>
        <w:br/>
        <w:t>No. 6 0.3%S LoPr</w:t>
      </w:r>
      <w:r>
        <w:rPr>
          <w:vertAlign w:val="superscript"/>
        </w:rPr>
        <w:t>a</w:t>
      </w:r>
      <w:r>
        <w:rPr/>
        <w:br/>
        <w:t>No. 6 0.7%S Max</w:t>
      </w:r>
      <w:r>
        <w:rPr>
          <w:vertAlign w:val="superscript"/>
        </w:rPr>
        <w:t>b</w:t>
      </w:r>
      <w:r>
        <w:rPr/>
        <w:br/>
        <w:t>No. 6 1.0%S Max</w:t>
      </w:r>
      <w:r>
        <w:rPr>
          <w:vertAlign w:val="superscript"/>
        </w:rPr>
        <w:t>b</w:t>
      </w:r>
      <w:r>
        <w:rPr/>
        <w:br/>
        <w:t>No. 6 2.2%S Max</w:t>
      </w:r>
      <w:r>
        <w:rPr>
          <w:vertAlign w:val="superscript"/>
        </w:rPr>
        <w:t>b</w:t>
      </w:r>
      <w:r>
        <w:rPr/>
        <w:br/>
        <w:t>No. 6 3.0%S Max</w:t>
      </w:r>
      <w:r>
        <w:rPr>
          <w:vertAlign w:val="superscript"/>
        </w:rPr>
        <w:t>b</w:t>
      </w:r>
      <w:r>
        <w:rPr/>
        <w:br/>
        <w:br/>
      </w:r>
      <w:r>
        <w:rPr>
          <w:b/>
          <w:bCs/>
        </w:rPr>
        <w:t>Caribbean (FOB</w:t>
      </w:r>
      <w:r>
        <w:rPr/>
        <w:t>)</w:t>
        <w:br/>
        <w:t>No. 6 2.0%S</w:t>
      </w:r>
      <w:r>
        <w:rPr>
          <w:vertAlign w:val="superscript"/>
        </w:rPr>
        <w:t>b</w:t>
      </w:r>
      <w:r>
        <w:rPr/>
        <w:br/>
        <w:t>No. 6 2.8%S</w:t>
      </w:r>
      <w:r>
        <w:rPr>
          <w:vertAlign w:val="superscript"/>
        </w:rPr>
        <w:t>b</w:t>
      </w:r>
      <w:r>
        <w:rPr/>
        <w:br/>
        <w:br/>
      </w:r>
      <w:r>
        <w:rPr>
          <w:b/>
          <w:bCs/>
        </w:rPr>
        <w:t>US Gulf Coast</w:t>
      </w:r>
      <w:r>
        <w:rPr/>
        <w:br/>
        <w:t>No. 6 0.7%S</w:t>
      </w:r>
      <w:r>
        <w:rPr>
          <w:vertAlign w:val="superscript"/>
        </w:rPr>
        <w:t>c</w:t>
      </w:r>
      <w:r>
        <w:rPr/>
        <w:br/>
        <w:t>No. 6 1.0%S 8 API</w:t>
      </w:r>
      <w:r>
        <w:rPr>
          <w:vertAlign w:val="superscript"/>
        </w:rPr>
        <w:t>d</w:t>
      </w:r>
      <w:r>
        <w:rPr/>
        <w:br/>
        <w:t>No. 6 1.0%S 10.5 API</w:t>
      </w:r>
      <w:r>
        <w:rPr>
          <w:vertAlign w:val="superscript"/>
        </w:rPr>
        <w:t>c</w:t>
      </w:r>
      <w:r>
        <w:rPr/>
        <w:br/>
        <w:t>No. 6 3.0%S</w:t>
      </w:r>
      <w:r>
        <w:rPr>
          <w:vertAlign w:val="superscript"/>
        </w:rPr>
        <w:t>c</w:t>
      </w:r>
      <w:r>
        <w:rPr/>
        <w:br/>
        <w:br/>
      </w:r>
      <w:r>
        <w:rPr>
          <w:b/>
          <w:bCs/>
        </w:rPr>
        <w:t>Northwest Europe (FOB)</w:t>
      </w:r>
      <w:r>
        <w:rPr/>
        <w:br/>
        <w:t>0.5 - 0.7% Straight Run</w:t>
        <w:br/>
        <w:t>1.0% Fuel Oil</w:t>
        <w:br/>
        <w:t>3.0% Fuel Oil</w:t>
        <w:br/>
        <w:t>3.5% Fuel Oil</w:t>
        <w:br/>
        <w:t>E4 Premium (CIF NWE)</w:t>
        <w:br/>
        <w:br/>
      </w:r>
      <w:r>
        <w:rPr>
          <w:b/>
          <w:bCs/>
        </w:rPr>
        <w:t>Italy (FOB)</w:t>
      </w:r>
      <w:r>
        <w:rPr/>
        <w:br/>
        <w:t>1.0% Fuel Oil</w:t>
        <w:br/>
        <w:t>3.5% Fuel Oil</w:t>
        <w:br/>
        <w:t>M-40 Premium (CIF Med)</w:t>
        <w:br/>
        <w:br/>
      </w:r>
      <w:r>
        <w:rPr>
          <w:b/>
          <w:bCs/>
        </w:rPr>
        <w:t>Arab Gulf (FOB)</w:t>
      </w:r>
      <w:r>
        <w:rPr/>
        <w:br/>
        <w:t>HSFO 180 cSt</w:t>
        <w:br/>
        <w:br/>
      </w:r>
      <w:r>
        <w:rPr>
          <w:b/>
          <w:bCs/>
        </w:rPr>
        <w:t>Singapore</w:t>
      </w:r>
      <w:r>
        <w:rPr/>
        <w:br/>
        <w:t>HSFO 180 cSt</w:t>
        <w:br/>
        <w:t>HSFO 380 cSt</w:t>
        <w:br/>
        <w:t>LSWR Mixed/Cracked</w:t>
      </w:r>
      <w:r>
        <w:rPr>
          <w:vertAlign w:val="superscript"/>
        </w:rPr>
        <w:t>e</w:t>
      </w:r>
      <w:r>
        <w:rPr/>
        <w:br/>
      </w:r>
    </w:p>
    <w:p>
      <w:pPr>
        <w:pStyle w:val="right-1ab"/>
        <w:rPr/>
      </w:pPr>
      <w:r>
        <w:br w:type="column"/>
      </w:r>
      <w:r>
        <w:rPr/>
      </w:r>
    </w:p>
    <w:p>
      <w:pPr>
        <w:pStyle w:val="right-1ab"/>
        <w:rPr/>
      </w:pPr>
      <w:r>
        <w:rPr/>
        <w:tab/>
        <w:t xml:space="preserve">26-Jan-99 </w:t>
        <w:tab/>
        <w:t xml:space="preserve">02-Feb-99 </w:t>
        <w:tab/>
        <w:t xml:space="preserve">09-Feb-99 </w:t>
        <w:tab/>
        <w:t xml:space="preserve">16-Feb-99 </w:t>
        <w:tab/>
        <w:t xml:space="preserve">23-Feb-99 </w:t>
      </w:r>
    </w:p>
    <w:p>
      <w:pPr>
        <w:pStyle w:val="right-1ab"/>
        <w:rPr/>
      </w:pPr>
      <w:r>
        <w:rPr/>
        <w:tab/>
        <w:tab/>
        <w:tab/>
        <w:tab/>
        <w:tab/>
      </w:r>
    </w:p>
    <w:p>
      <w:pPr>
        <w:pStyle w:val="right-1ab"/>
        <w:rPr/>
      </w:pPr>
      <w:r>
        <w:rPr/>
        <w:tab/>
        <w:tab/>
        <w:tab/>
        <w:tab/>
        <w:tab/>
      </w:r>
    </w:p>
    <w:p>
      <w:pPr>
        <w:pStyle w:val="right-1ab"/>
        <w:rPr/>
      </w:pPr>
      <w:r>
        <w:rPr/>
        <w:tab/>
        <w:t xml:space="preserve">76.29 </w:t>
        <w:tab/>
        <w:t xml:space="preserve">71.53 </w:t>
        <w:tab/>
        <w:t xml:space="preserve">69.15 </w:t>
        <w:tab/>
        <w:t xml:space="preserve">66.44 </w:t>
        <w:tab/>
        <w:t xml:space="preserve">69.49 </w:t>
      </w:r>
    </w:p>
    <w:p>
      <w:pPr>
        <w:pStyle w:val="right-1ab"/>
        <w:rPr/>
      </w:pPr>
      <w:r>
        <w:rPr/>
        <w:tab/>
        <w:t xml:space="preserve">83.42 </w:t>
        <w:tab/>
        <w:t xml:space="preserve">77.31 </w:t>
        <w:tab/>
        <w:t xml:space="preserve">78.80 </w:t>
        <w:tab/>
        <w:t xml:space="preserve">75.61 </w:t>
        <w:tab/>
        <w:t xml:space="preserve">76.97 </w:t>
      </w:r>
    </w:p>
    <w:p>
      <w:pPr>
        <w:pStyle w:val="right-1ab"/>
        <w:rPr/>
      </w:pPr>
      <w:r>
        <w:rPr/>
        <w:tab/>
        <w:t xml:space="preserve">68.91 </w:t>
        <w:tab/>
        <w:t xml:space="preserve">62.51 </w:t>
        <w:tab/>
        <w:t xml:space="preserve">58.36 </w:t>
        <w:tab/>
        <w:t xml:space="preserve">53.56 </w:t>
        <w:tab/>
        <w:t xml:space="preserve">57.72 </w:t>
      </w:r>
    </w:p>
    <w:p>
      <w:pPr>
        <w:pStyle w:val="right-1ab"/>
        <w:rPr/>
      </w:pPr>
      <w:r>
        <w:rPr/>
        <w:tab/>
        <w:t xml:space="preserve">66.35 </w:t>
        <w:tab/>
        <w:t xml:space="preserve">60.08 </w:t>
        <w:tab/>
        <w:t xml:space="preserve">55.48 </w:t>
        <w:tab/>
        <w:t xml:space="preserve">50.50 </w:t>
        <w:tab/>
        <w:t xml:space="preserve">55.48 </w:t>
      </w:r>
    </w:p>
    <w:p>
      <w:pPr>
        <w:pStyle w:val="right-1ab"/>
        <w:rPr/>
      </w:pPr>
      <w:r>
        <w:rPr/>
        <w:tab/>
        <w:t xml:space="preserve">60.60 </w:t>
        <w:tab/>
        <w:t xml:space="preserve">58.68 </w:t>
        <w:tab/>
        <w:t xml:space="preserve">52.29 </w:t>
        <w:tab/>
        <w:t xml:space="preserve">48.13 </w:t>
        <w:tab/>
        <w:t xml:space="preserve">52.61 </w:t>
      </w:r>
    </w:p>
    <w:p>
      <w:pPr>
        <w:pStyle w:val="right-1ab"/>
        <w:rPr/>
      </w:pPr>
      <w:r>
        <w:rPr/>
        <w:tab/>
        <w:t xml:space="preserve">56.76 </w:t>
        <w:tab/>
        <w:t xml:space="preserve">55.16 </w:t>
        <w:tab/>
        <w:t xml:space="preserve">48.77 </w:t>
        <w:tab/>
        <w:t xml:space="preserve">46.66 </w:t>
        <w:tab/>
        <w:t xml:space="preserve">47.81 </w:t>
      </w:r>
    </w:p>
    <w:p>
      <w:pPr>
        <w:pStyle w:val="right-1ab"/>
        <w:rPr/>
      </w:pPr>
      <w:r>
        <w:rPr/>
        <w:tab/>
        <w:tab/>
        <w:tab/>
        <w:tab/>
        <w:tab/>
      </w:r>
    </w:p>
    <w:p>
      <w:pPr>
        <w:pStyle w:val="right-1ab"/>
        <w:rPr/>
      </w:pPr>
      <w:r>
        <w:rPr/>
        <w:tab/>
        <w:tab/>
        <w:tab/>
        <w:tab/>
        <w:tab/>
      </w:r>
    </w:p>
    <w:p>
      <w:pPr>
        <w:pStyle w:val="right-1ab"/>
        <w:rPr/>
      </w:pPr>
      <w:r>
        <w:rPr/>
        <w:tab/>
        <w:t xml:space="preserve">54.84 </w:t>
        <w:tab/>
        <w:t xml:space="preserve">52.93 </w:t>
        <w:tab/>
        <w:t xml:space="preserve">46.53 </w:t>
        <w:tab/>
        <w:t xml:space="preserve">42.38 </w:t>
        <w:tab/>
        <w:t xml:space="preserve">46.85 </w:t>
      </w:r>
    </w:p>
    <w:p>
      <w:pPr>
        <w:pStyle w:val="right-1ab"/>
        <w:rPr/>
      </w:pPr>
      <w:r>
        <w:rPr/>
        <w:tab/>
        <w:t xml:space="preserve">49.73 </w:t>
        <w:tab/>
        <w:t xml:space="preserve">48.13 </w:t>
        <w:tab/>
        <w:t xml:space="preserve">41.74 </w:t>
        <w:tab/>
        <w:t xml:space="preserve">39.63 </w:t>
        <w:tab/>
        <w:t xml:space="preserve">40.78 </w:t>
      </w:r>
    </w:p>
    <w:p>
      <w:pPr>
        <w:pStyle w:val="right-1ab"/>
        <w:rPr/>
      </w:pPr>
      <w:r>
        <w:rPr/>
        <w:tab/>
        <w:tab/>
        <w:tab/>
        <w:tab/>
        <w:tab/>
      </w:r>
    </w:p>
    <w:p>
      <w:pPr>
        <w:pStyle w:val="right-1ab"/>
        <w:rPr/>
      </w:pPr>
      <w:r>
        <w:rPr/>
        <w:tab/>
        <w:tab/>
        <w:tab/>
        <w:tab/>
        <w:tab/>
      </w:r>
    </w:p>
    <w:p>
      <w:pPr>
        <w:pStyle w:val="right-1ab"/>
        <w:rPr/>
      </w:pPr>
      <w:r>
        <w:rPr/>
        <w:tab/>
        <w:t xml:space="preserve">70.21 </w:t>
        <w:tab/>
        <w:t xml:space="preserve">67.36 </w:t>
        <w:tab/>
        <w:t xml:space="preserve">59.77 </w:t>
        <w:tab/>
        <w:t xml:space="preserve">57.87 </w:t>
        <w:tab/>
        <w:t xml:space="preserve">61.99 </w:t>
      </w:r>
    </w:p>
    <w:p>
      <w:pPr>
        <w:pStyle w:val="right-1ab"/>
        <w:rPr/>
      </w:pPr>
      <w:r>
        <w:rPr/>
        <w:tab/>
        <w:t xml:space="preserve">63.68 </w:t>
        <w:tab/>
        <w:t xml:space="preserve">61.20 </w:t>
        <w:tab/>
        <w:t xml:space="preserve">53.74 </w:t>
        <w:tab/>
        <w:t xml:space="preserve">51.88 </w:t>
        <w:tab/>
        <w:t xml:space="preserve">55.92 </w:t>
      </w:r>
    </w:p>
    <w:p>
      <w:pPr>
        <w:pStyle w:val="right-1ab"/>
        <w:rPr/>
      </w:pPr>
      <w:r>
        <w:rPr/>
        <w:tab/>
        <w:t xml:space="preserve">64.83 </w:t>
        <w:tab/>
        <w:t xml:space="preserve">62.30 </w:t>
        <w:tab/>
        <w:t xml:space="preserve">54.71 </w:t>
        <w:tab/>
        <w:t xml:space="preserve">52.81 </w:t>
        <w:tab/>
        <w:t xml:space="preserve">56.93 </w:t>
      </w:r>
    </w:p>
    <w:p>
      <w:pPr>
        <w:pStyle w:val="right-1ab"/>
        <w:rPr/>
      </w:pPr>
      <w:r>
        <w:rPr/>
        <w:tab/>
        <w:t xml:space="preserve">47.66 </w:t>
        <w:tab/>
        <w:t xml:space="preserve">45.26 </w:t>
        <w:tab/>
        <w:t xml:space="preserve">45.26 </w:t>
        <w:tab/>
        <w:t xml:space="preserve">42.09 </w:t>
        <w:tab/>
        <w:t xml:space="preserve">49.88 </w:t>
      </w:r>
    </w:p>
    <w:p>
      <w:pPr>
        <w:pStyle w:val="right-1ab"/>
        <w:rPr/>
      </w:pPr>
      <w:r>
        <w:rPr/>
        <w:tab/>
        <w:tab/>
        <w:tab/>
        <w:tab/>
        <w:tab/>
      </w:r>
    </w:p>
    <w:p>
      <w:pPr>
        <w:pStyle w:val="right-1ab"/>
        <w:rPr/>
      </w:pPr>
      <w:r>
        <w:rPr/>
        <w:tab/>
        <w:tab/>
        <w:tab/>
        <w:tab/>
        <w:tab/>
      </w:r>
    </w:p>
    <w:p>
      <w:pPr>
        <w:pStyle w:val="right-1ab"/>
        <w:rPr/>
      </w:pPr>
      <w:r>
        <w:rPr/>
        <w:tab/>
        <w:t xml:space="preserve">68.00 </w:t>
        <w:tab/>
        <w:t xml:space="preserve">63.50 </w:t>
        <w:tab/>
        <w:t xml:space="preserve">59.00 </w:t>
        <w:tab/>
        <w:t xml:space="preserve">55.50 </w:t>
        <w:tab/>
        <w:t xml:space="preserve">56.50 </w:t>
      </w:r>
    </w:p>
    <w:p>
      <w:pPr>
        <w:pStyle w:val="right-1ab"/>
        <w:rPr/>
      </w:pPr>
      <w:r>
        <w:rPr/>
        <w:tab/>
        <w:t xml:space="preserve">62.00 </w:t>
        <w:tab/>
        <w:t xml:space="preserve">59.50 </w:t>
        <w:tab/>
        <w:t xml:space="preserve">55.00 </w:t>
        <w:tab/>
        <w:t xml:space="preserve">53.50 </w:t>
        <w:tab/>
        <w:t xml:space="preserve">53.50 </w:t>
      </w:r>
    </w:p>
    <w:p>
      <w:pPr>
        <w:pStyle w:val="right-1ab"/>
        <w:rPr/>
      </w:pPr>
      <w:r>
        <w:rPr/>
        <w:tab/>
        <w:t xml:space="preserve">55.50 </w:t>
        <w:tab/>
        <w:t xml:space="preserve">53.00 </w:t>
        <w:tab/>
        <w:t xml:space="preserve">49.00 </w:t>
        <w:tab/>
        <w:t xml:space="preserve">48.00 </w:t>
        <w:tab/>
        <w:t xml:space="preserve">48.00 </w:t>
      </w:r>
    </w:p>
    <w:p>
      <w:pPr>
        <w:pStyle w:val="right-1ab"/>
        <w:rPr/>
      </w:pPr>
      <w:r>
        <w:rPr/>
        <w:tab/>
        <w:t xml:space="preserve">55.50 </w:t>
        <w:tab/>
        <w:t xml:space="preserve">53.00 </w:t>
        <w:tab/>
        <w:t xml:space="preserve">49.00 </w:t>
        <w:tab/>
        <w:t xml:space="preserve">48.00 </w:t>
        <w:tab/>
        <w:t xml:space="preserve">48.00 </w:t>
      </w:r>
    </w:p>
    <w:p>
      <w:pPr>
        <w:pStyle w:val="right-1ab"/>
        <w:rPr/>
      </w:pPr>
      <w:r>
        <w:rPr/>
        <w:tab/>
        <w:t xml:space="preserve">1.50 </w:t>
        <w:tab/>
        <w:t xml:space="preserve">1.50 </w:t>
        <w:tab/>
        <w:t xml:space="preserve">1.50 </w:t>
        <w:tab/>
        <w:t xml:space="preserve">1.50 </w:t>
        <w:tab/>
        <w:t xml:space="preserve">1.50 </w:t>
      </w:r>
    </w:p>
    <w:p>
      <w:pPr>
        <w:pStyle w:val="right-1ab"/>
        <w:rPr/>
      </w:pPr>
      <w:r>
        <w:rPr/>
        <w:tab/>
        <w:tab/>
        <w:tab/>
        <w:tab/>
        <w:tab/>
      </w:r>
    </w:p>
    <w:p>
      <w:pPr>
        <w:pStyle w:val="right-1ab"/>
        <w:rPr/>
      </w:pPr>
      <w:r>
        <w:rPr/>
        <w:tab/>
        <w:tab/>
        <w:tab/>
        <w:tab/>
        <w:tab/>
      </w:r>
    </w:p>
    <w:p>
      <w:pPr>
        <w:pStyle w:val="right-1ab"/>
        <w:rPr/>
      </w:pPr>
      <w:r>
        <w:rPr/>
        <w:tab/>
        <w:t xml:space="preserve">63.50 </w:t>
        <w:tab/>
        <w:t xml:space="preserve">61.00 </w:t>
        <w:tab/>
        <w:t xml:space="preserve">55.50 </w:t>
        <w:tab/>
        <w:t xml:space="preserve">54.00 </w:t>
        <w:tab/>
        <w:t xml:space="preserve">54.50 </w:t>
      </w:r>
    </w:p>
    <w:p>
      <w:pPr>
        <w:pStyle w:val="right-1ab"/>
        <w:rPr/>
      </w:pPr>
      <w:r>
        <w:rPr/>
        <w:tab/>
        <w:t xml:space="preserve">54.00 </w:t>
        <w:tab/>
        <w:t xml:space="preserve">52.50 </w:t>
        <w:tab/>
        <w:t xml:space="preserve">50.50 </w:t>
        <w:tab/>
        <w:t xml:space="preserve">48.00 </w:t>
        <w:tab/>
        <w:t xml:space="preserve">48.00 </w:t>
      </w:r>
    </w:p>
    <w:p>
      <w:pPr>
        <w:pStyle w:val="right-1ab"/>
        <w:rPr/>
      </w:pPr>
      <w:r>
        <w:rPr/>
        <w:tab/>
        <w:t xml:space="preserve">9.50 </w:t>
        <w:tab/>
        <w:t xml:space="preserve">8.50 </w:t>
        <w:tab/>
        <w:t xml:space="preserve">8.50 </w:t>
        <w:tab/>
        <w:t xml:space="preserve">8.50 </w:t>
        <w:tab/>
        <w:t xml:space="preserve">6.50 </w:t>
      </w:r>
    </w:p>
    <w:p>
      <w:pPr>
        <w:pStyle w:val="right-1ab"/>
        <w:rPr/>
      </w:pPr>
      <w:r>
        <w:rPr/>
        <w:tab/>
        <w:tab/>
        <w:tab/>
        <w:tab/>
        <w:tab/>
      </w:r>
    </w:p>
    <w:p>
      <w:pPr>
        <w:pStyle w:val="right-1ab"/>
        <w:rPr/>
      </w:pPr>
      <w:r>
        <w:rPr/>
        <w:tab/>
        <w:tab/>
        <w:tab/>
        <w:tab/>
        <w:tab/>
      </w:r>
    </w:p>
    <w:p>
      <w:pPr>
        <w:pStyle w:val="right-1ab"/>
        <w:rPr/>
      </w:pPr>
      <w:r>
        <w:rPr/>
        <w:tab/>
        <w:t xml:space="preserve">58.75 </w:t>
        <w:tab/>
        <w:t xml:space="preserve">55.00 </w:t>
        <w:tab/>
        <w:t xml:space="preserve">49.75 </w:t>
        <w:tab/>
        <w:t>n/a</w:t>
        <w:tab/>
        <w:t xml:space="preserve">51.00 </w:t>
      </w:r>
    </w:p>
    <w:p>
      <w:pPr>
        <w:pStyle w:val="right-1ab"/>
        <w:rPr/>
      </w:pPr>
      <w:r>
        <w:rPr/>
        <w:tab/>
        <w:tab/>
        <w:tab/>
        <w:tab/>
        <w:tab/>
      </w:r>
    </w:p>
    <w:p>
      <w:pPr>
        <w:pStyle w:val="right-1ab"/>
        <w:rPr/>
      </w:pPr>
      <w:r>
        <w:rPr/>
        <w:tab/>
        <w:tab/>
        <w:tab/>
        <w:tab/>
        <w:tab/>
      </w:r>
    </w:p>
    <w:p>
      <w:pPr>
        <w:pStyle w:val="right-1ab"/>
        <w:rPr/>
      </w:pPr>
      <w:r>
        <w:rPr/>
        <w:tab/>
        <w:t xml:space="preserve">65.00 </w:t>
        <w:tab/>
        <w:t xml:space="preserve">60.75 </w:t>
        <w:tab/>
        <w:t xml:space="preserve">55.25 </w:t>
        <w:tab/>
        <w:t>n/a</w:t>
        <w:tab/>
        <w:t xml:space="preserve">57.50 </w:t>
      </w:r>
    </w:p>
    <w:p>
      <w:pPr>
        <w:pStyle w:val="right-1ab"/>
        <w:rPr/>
      </w:pPr>
      <w:r>
        <w:rPr/>
        <w:tab/>
        <w:t xml:space="preserve">61.50 </w:t>
        <w:tab/>
        <w:t xml:space="preserve">58.00 </w:t>
        <w:tab/>
        <w:t xml:space="preserve">51.25 </w:t>
        <w:tab/>
        <w:t>n/a</w:t>
        <w:tab/>
        <w:t xml:space="preserve">54.00 </w:t>
      </w:r>
    </w:p>
    <w:p>
      <w:pPr>
        <w:pStyle w:val="right-1ab"/>
        <w:rPr/>
      </w:pPr>
      <w:r>
        <w:rPr/>
        <w:tab/>
        <w:t xml:space="preserve">67.62 </w:t>
        <w:tab/>
        <w:t xml:space="preserve">64.72 </w:t>
        <w:tab/>
        <w:t xml:space="preserve">61.41 </w:t>
        <w:tab/>
        <w:t>n/a</w:t>
        <w:tab/>
        <w:t>62.10</w:t>
      </w:r>
    </w:p>
    <w:p>
      <w:pPr>
        <w:pStyle w:val="right-1ab"/>
        <w:rPr/>
      </w:pPr>
      <w:r>
        <w:rPr/>
      </w:r>
    </w:p>
    <w:p>
      <w:pPr>
        <w:sectPr>
          <w:type w:val="continuous"/>
          <w:pgSz w:w="12240" w:h="15840"/>
          <w:pgMar w:left="1440" w:right="1440" w:gutter="0" w:header="576" w:top="1152" w:footer="576" w:bottom="1152"/>
          <w:cols w:num="2" w:equalWidth="false" w:sep="false">
            <w:col w:w="2448" w:space="346"/>
            <w:col w:w="6566"/>
          </w:cols>
          <w:formProt w:val="false"/>
          <w:textDirection w:val="lrTb"/>
        </w:sectPr>
      </w:pPr>
    </w:p>
    <w:p>
      <w:pPr>
        <w:pStyle w:val="footnotesfortables"/>
        <w:rPr/>
      </w:pPr>
      <w:r>
        <w:rPr/>
        <w:t>Factors for converting to metric tons from barrels:</w:t>
      </w:r>
    </w:p>
    <w:p>
      <w:pPr>
        <w:pStyle w:val="footnotesfortables"/>
        <w:rPr/>
      </w:pPr>
      <w:r>
        <w:rPr/>
        <w:t>a</w:t>
        <w:tab/>
        <w:t>6.79</w:t>
        <w:tab/>
        <w:t>c</w:t>
        <w:tab/>
        <w:t>6.33</w:t>
        <w:tab/>
        <w:t>e</w:t>
        <w:tab/>
        <w:t>7.00</w:t>
        <w:br/>
        <w:t>b</w:t>
        <w:tab/>
        <w:t>6.39</w:t>
        <w:tab/>
        <w:t>d</w:t>
        <w:tab/>
        <w:t>6.21</w:t>
      </w:r>
    </w:p>
    <w:p>
      <w:pPr>
        <w:pStyle w:val="footnotesfortables"/>
        <w:rPr/>
      </w:pPr>
      <w:r>
        <w:rPr/>
      </w:r>
    </w:p>
    <w:p>
      <w:pPr>
        <w:pStyle w:val="footnotesfortables"/>
        <w:rPr/>
      </w:pPr>
      <w:r>
        <w:rPr/>
        <w:t>n/a = not available</w:t>
        <w:br/>
        <w:t xml:space="preserve">Source:  </w:t>
      </w:r>
      <w:r>
        <w:rPr>
          <w:i/>
          <w:iCs/>
        </w:rPr>
        <w:t>Platt’s Oilgram Price Report</w:t>
      </w:r>
      <w:r>
        <w:rPr/>
        <w:t>.  Prices are means of the range for the effective date.</w:t>
      </w:r>
    </w:p>
    <w:p>
      <w:pPr>
        <w:sectPr>
          <w:type w:val="continuous"/>
          <w:pgSz w:w="12240" w:h="15840"/>
          <w:pgMar w:left="1440" w:right="1440" w:gutter="0" w:header="576" w:top="1152" w:footer="576" w:bottom="1152"/>
          <w:formProt w:val="false"/>
          <w:textDirection w:val="lrTb"/>
        </w:sectPr>
      </w:pPr>
    </w:p>
    <w:p>
      <w:pPr>
        <w:pStyle w:val="Heading4"/>
        <w:ind w:hanging="0" w:start="0"/>
        <w:rPr/>
      </w:pPr>
      <w:r>
        <w:rPr/>
        <w:t>Table I-C:  Recent Spot 380 cSt Bunker Prices</w:t>
        <w:br/>
        <w:t>(US$/Metric Ton)</w:t>
      </w:r>
    </w:p>
    <w:p>
      <w:pPr>
        <w:pStyle w:val="Normal"/>
        <w:rPr>
          <w:sz w:val="16"/>
          <w:szCs w:val="16"/>
        </w:rPr>
      </w:pPr>
      <w:r>
        <w:rPr>
          <w:sz w:val="16"/>
          <w:szCs w:val="16"/>
        </w:rPr>
      </w:r>
    </w:p>
    <w:p>
      <w:pPr>
        <w:sectPr>
          <w:type w:val="nextPage"/>
          <w:pgSz w:w="12240" w:h="15840"/>
          <w:pgMar w:left="1440" w:right="1440" w:gutter="0" w:header="0" w:top="1152" w:footer="0" w:bottom="1152"/>
          <w:pgNumType w:fmt="decimal"/>
          <w:formProt w:val="false"/>
          <w:textDirection w:val="lrTb"/>
        </w:sectPr>
      </w:pPr>
    </w:p>
    <w:p>
      <w:pPr>
        <w:pStyle w:val="left-1ab"/>
        <w:rPr/>
      </w:pPr>
      <w:r>
        <w:rPr>
          <w:b/>
          <w:bCs/>
        </w:rPr>
        <w:t>Location</w:t>
      </w:r>
      <w:r>
        <w:rPr/>
        <w:br/>
        <w:br/>
      </w:r>
      <w:r>
        <w:rPr>
          <w:b/>
          <w:bCs/>
        </w:rPr>
        <w:t>US West Coast</w:t>
      </w:r>
      <w:r>
        <w:rPr/>
        <w:br/>
        <w:t>Los Angeles</w:t>
      </w:r>
      <w:r>
        <w:rPr>
          <w:vertAlign w:val="superscript"/>
        </w:rPr>
        <w:t>a</w:t>
      </w:r>
      <w:r>
        <w:rPr/>
        <w:br/>
        <w:t>Seattle</w:t>
      </w:r>
      <w:r>
        <w:rPr>
          <w:vertAlign w:val="superscript"/>
        </w:rPr>
        <w:t>a</w:t>
      </w:r>
      <w:r>
        <w:rPr/>
        <w:br/>
        <w:br/>
      </w:r>
      <w:r>
        <w:rPr>
          <w:b/>
          <w:bCs/>
        </w:rPr>
        <w:t>US Gulf Coast</w:t>
      </w:r>
      <w:r>
        <w:rPr/>
        <w:br/>
        <w:t>Houston</w:t>
      </w:r>
      <w:r>
        <w:rPr>
          <w:vertAlign w:val="superscript"/>
        </w:rPr>
        <w:t>a</w:t>
      </w:r>
      <w:r>
        <w:rPr/>
        <w:br/>
        <w:t>New Orleans</w:t>
      </w:r>
      <w:r>
        <w:rPr>
          <w:vertAlign w:val="superscript"/>
        </w:rPr>
        <w:t>a</w:t>
      </w:r>
      <w:r>
        <w:rPr/>
        <w:br/>
        <w:br/>
      </w:r>
      <w:r>
        <w:rPr>
          <w:b/>
          <w:bCs/>
        </w:rPr>
        <w:t>US Atlantic Coast</w:t>
        <w:br/>
      </w:r>
      <w:r>
        <w:rPr/>
        <w:t>New York</w:t>
      </w:r>
      <w:r>
        <w:rPr>
          <w:vertAlign w:val="superscript"/>
        </w:rPr>
        <w:t>a</w:t>
      </w:r>
      <w:r>
        <w:rPr/>
        <w:br/>
        <w:t>Philadelphia</w:t>
      </w:r>
      <w:r>
        <w:rPr>
          <w:vertAlign w:val="superscript"/>
        </w:rPr>
        <w:t>a</w:t>
      </w:r>
      <w:r>
        <w:rPr/>
        <w:br/>
        <w:br/>
      </w:r>
      <w:r>
        <w:rPr>
          <w:b/>
          <w:bCs/>
        </w:rPr>
        <w:t>Canada</w:t>
      </w:r>
      <w:r>
        <w:rPr/>
        <w:br/>
        <w:t>Montreal</w:t>
      </w:r>
      <w:r>
        <w:rPr>
          <w:vertAlign w:val="superscript"/>
        </w:rPr>
        <w:t>a</w:t>
      </w:r>
      <w:r>
        <w:rPr/>
        <w:br/>
        <w:t>Vancouver</w:t>
      </w:r>
      <w:r>
        <w:rPr>
          <w:vertAlign w:val="superscript"/>
        </w:rPr>
        <w:t>a</w:t>
        <w:br/>
      </w:r>
      <w:r>
        <w:rPr/>
        <w:br/>
      </w:r>
      <w:r>
        <w:rPr>
          <w:b/>
          <w:bCs/>
        </w:rPr>
        <w:t>Central America/Caribbean</w:t>
      </w:r>
      <w:r>
        <w:rPr/>
        <w:br/>
        <w:t>Cristobal/Balboa</w:t>
      </w:r>
      <w:r>
        <w:rPr>
          <w:vertAlign w:val="superscript"/>
        </w:rPr>
        <w:t>a</w:t>
      </w:r>
      <w:r>
        <w:rPr/>
        <w:br/>
        <w:t>St. Eustatius</w:t>
      </w:r>
      <w:r>
        <w:rPr>
          <w:vertAlign w:val="superscript"/>
        </w:rPr>
        <w:t>b</w:t>
      </w:r>
      <w:r>
        <w:rPr/>
        <w:br/>
        <w:br/>
      </w:r>
      <w:r>
        <w:rPr>
          <w:b/>
          <w:bCs/>
        </w:rPr>
        <w:t>South America</w:t>
      </w:r>
      <w:r>
        <w:rPr/>
        <w:br/>
        <w:t>Venezuela</w:t>
      </w:r>
      <w:r>
        <w:rPr>
          <w:vertAlign w:val="superscript"/>
        </w:rPr>
        <w:t>a</w:t>
      </w:r>
      <w:r>
        <w:rPr/>
        <w:br/>
        <w:t>Rio de Janeiro</w:t>
      </w:r>
      <w:r>
        <w:rPr>
          <w:vertAlign w:val="superscript"/>
        </w:rPr>
        <w:t>b</w:t>
      </w:r>
      <w:r>
        <w:rPr/>
        <w:br/>
        <w:br/>
      </w:r>
      <w:r>
        <w:rPr>
          <w:b/>
          <w:bCs/>
        </w:rPr>
        <w:t>Europe</w:t>
      </w:r>
      <w:r>
        <w:rPr/>
        <w:br/>
        <w:t>Rotterdam/Amsterdam</w:t>
      </w:r>
      <w:r>
        <w:rPr>
          <w:vertAlign w:val="superscript"/>
        </w:rPr>
        <w:t>b</w:t>
      </w:r>
      <w:r>
        <w:rPr/>
        <w:br/>
        <w:t>Hamburg</w:t>
      </w:r>
      <w:r>
        <w:rPr>
          <w:vertAlign w:val="superscript"/>
        </w:rPr>
        <w:t>b</w:t>
      </w:r>
      <w:r>
        <w:rPr/>
        <w:br/>
        <w:t>Le Havre</w:t>
      </w:r>
      <w:r>
        <w:rPr>
          <w:vertAlign w:val="superscript"/>
        </w:rPr>
        <w:t>a</w:t>
      </w:r>
      <w:r>
        <w:rPr/>
        <w:br/>
        <w:br/>
      </w:r>
      <w:r>
        <w:rPr>
          <w:b/>
          <w:bCs/>
        </w:rPr>
        <w:t>Gibraltar Straits</w:t>
      </w:r>
      <w:r>
        <w:rPr/>
        <w:br/>
        <w:t>Gibraltar</w:t>
      </w:r>
      <w:r>
        <w:rPr>
          <w:vertAlign w:val="superscript"/>
        </w:rPr>
        <w:t>a</w:t>
      </w:r>
      <w:r>
        <w:rPr/>
        <w:br/>
        <w:br/>
      </w:r>
      <w:r>
        <w:rPr>
          <w:b/>
          <w:bCs/>
        </w:rPr>
        <w:t>Mediterranean</w:t>
      </w:r>
      <w:r>
        <w:rPr/>
        <w:br/>
        <w:t>Augusta</w:t>
      </w:r>
      <w:r>
        <w:rPr>
          <w:vertAlign w:val="superscript"/>
        </w:rPr>
        <w:t>a</w:t>
      </w:r>
      <w:r>
        <w:rPr/>
        <w:br/>
        <w:t>Genoa</w:t>
      </w:r>
      <w:r>
        <w:rPr>
          <w:vertAlign w:val="superscript"/>
        </w:rPr>
        <w:t>a</w:t>
      </w:r>
      <w:r>
        <w:rPr/>
        <w:br/>
        <w:br/>
      </w:r>
      <w:r>
        <w:rPr>
          <w:b/>
          <w:bCs/>
        </w:rPr>
        <w:t>Africa</w:t>
      </w:r>
      <w:r>
        <w:rPr/>
        <w:br/>
        <w:t>Durban</w:t>
      </w:r>
      <w:r>
        <w:rPr>
          <w:vertAlign w:val="superscript"/>
        </w:rPr>
        <w:t>a</w:t>
      </w:r>
      <w:r>
        <w:rPr/>
        <w:br/>
        <w:t>Las Palmas</w:t>
      </w:r>
      <w:r>
        <w:rPr>
          <w:vertAlign w:val="superscript"/>
        </w:rPr>
        <w:t>a</w:t>
      </w:r>
      <w:r>
        <w:rPr/>
        <w:br/>
        <w:br/>
      </w:r>
      <w:r>
        <w:rPr>
          <w:b/>
          <w:bCs/>
        </w:rPr>
        <w:t>Middle East</w:t>
      </w:r>
      <w:r>
        <w:rPr/>
        <w:br/>
        <w:t>Suez Canal</w:t>
      </w:r>
      <w:r>
        <w:rPr>
          <w:vertAlign w:val="superscript"/>
        </w:rPr>
        <w:t>b</w:t>
      </w:r>
      <w:r>
        <w:rPr/>
        <w:br/>
        <w:t>Fujairah/Khor Fakkan</w:t>
      </w:r>
      <w:r>
        <w:rPr>
          <w:vertAlign w:val="superscript"/>
        </w:rPr>
        <w:t>b</w:t>
      </w:r>
      <w:r>
        <w:rPr/>
        <w:br/>
        <w:br/>
      </w:r>
      <w:r>
        <w:rPr>
          <w:b/>
          <w:bCs/>
        </w:rPr>
        <w:t>Asia</w:t>
      </w:r>
      <w:r>
        <w:rPr/>
        <w:br/>
        <w:t>Singapore</w:t>
      </w:r>
      <w:r>
        <w:rPr>
          <w:vertAlign w:val="superscript"/>
        </w:rPr>
        <w:t>b</w:t>
      </w:r>
      <w:r>
        <w:rPr/>
        <w:br/>
        <w:t>Korea</w:t>
      </w:r>
      <w:r>
        <w:rPr>
          <w:vertAlign w:val="superscript"/>
        </w:rPr>
        <w:t>b</w:t>
      </w:r>
      <w:r>
        <w:rPr/>
        <w:br/>
        <w:t>Japan</w:t>
      </w:r>
      <w:r>
        <w:rPr>
          <w:vertAlign w:val="superscript"/>
        </w:rPr>
        <w:t>b</w:t>
      </w:r>
    </w:p>
    <w:p>
      <w:pPr>
        <w:pStyle w:val="right-1ab"/>
        <w:rPr/>
      </w:pPr>
      <w:r>
        <w:br w:type="column"/>
      </w:r>
      <w:r>
        <w:rPr/>
        <w:tab/>
        <w:t xml:space="preserve">26-Jan-99 </w:t>
        <w:tab/>
        <w:t xml:space="preserve">02-Feb-99 </w:t>
        <w:tab/>
        <w:t xml:space="preserve">09-Feb-99 </w:t>
        <w:tab/>
        <w:t xml:space="preserve">16-Feb-99 </w:t>
        <w:tab/>
        <w:t xml:space="preserve">23-Feb-99 </w:t>
      </w:r>
    </w:p>
    <w:p>
      <w:pPr>
        <w:pStyle w:val="right-1ab"/>
        <w:rPr/>
      </w:pPr>
      <w:r>
        <w:rPr/>
        <w:tab/>
        <w:tab/>
        <w:tab/>
        <w:tab/>
        <w:tab/>
      </w:r>
    </w:p>
    <w:p>
      <w:pPr>
        <w:pStyle w:val="right-1ab"/>
        <w:rPr/>
      </w:pPr>
      <w:r>
        <w:rPr/>
        <w:tab/>
        <w:tab/>
        <w:tab/>
        <w:tab/>
        <w:tab/>
      </w:r>
    </w:p>
    <w:p>
      <w:pPr>
        <w:pStyle w:val="right-1ab"/>
        <w:rPr/>
      </w:pPr>
      <w:r>
        <w:rPr/>
        <w:tab/>
        <w:t xml:space="preserve">61.00 </w:t>
        <w:tab/>
        <w:t xml:space="preserve">58.00 </w:t>
        <w:tab/>
        <w:t xml:space="preserve">55.00 </w:t>
        <w:tab/>
        <w:t xml:space="preserve">54.00 </w:t>
        <w:tab/>
        <w:t xml:space="preserve">55.00 </w:t>
      </w:r>
    </w:p>
    <w:p>
      <w:pPr>
        <w:pStyle w:val="right-1ab"/>
        <w:rPr/>
      </w:pPr>
      <w:r>
        <w:rPr/>
        <w:tab/>
        <w:t xml:space="preserve">58.00 </w:t>
        <w:tab/>
        <w:t xml:space="preserve">59.50 </w:t>
        <w:tab/>
        <w:t xml:space="preserve">59.00 </w:t>
        <w:tab/>
        <w:t xml:space="preserve">60.00 </w:t>
        <w:tab/>
        <w:t xml:space="preserve">59.00 </w:t>
      </w:r>
    </w:p>
    <w:p>
      <w:pPr>
        <w:pStyle w:val="right-1ab"/>
        <w:rPr/>
      </w:pPr>
      <w:r>
        <w:rPr/>
        <w:tab/>
        <w:tab/>
        <w:tab/>
        <w:tab/>
        <w:tab/>
      </w:r>
    </w:p>
    <w:p>
      <w:pPr>
        <w:pStyle w:val="right-1ab"/>
        <w:rPr/>
      </w:pPr>
      <w:r>
        <w:rPr/>
        <w:tab/>
        <w:tab/>
        <w:tab/>
        <w:tab/>
        <w:tab/>
      </w:r>
    </w:p>
    <w:p>
      <w:pPr>
        <w:pStyle w:val="right-1ab"/>
        <w:rPr/>
      </w:pPr>
      <w:r>
        <w:rPr/>
        <w:tab/>
        <w:t xml:space="preserve">54.50 </w:t>
        <w:tab/>
        <w:t xml:space="preserve">51.50 </w:t>
        <w:tab/>
        <w:t xml:space="preserve">53.00 </w:t>
        <w:tab/>
        <w:t xml:space="preserve">49.50 </w:t>
        <w:tab/>
        <w:t xml:space="preserve">52.50 </w:t>
      </w:r>
    </w:p>
    <w:p>
      <w:pPr>
        <w:pStyle w:val="right-1ab"/>
        <w:rPr/>
      </w:pPr>
      <w:r>
        <w:rPr/>
        <w:tab/>
        <w:t xml:space="preserve">55.50 </w:t>
        <w:tab/>
        <w:t xml:space="preserve">54.00 </w:t>
        <w:tab/>
        <w:t xml:space="preserve">52.00 </w:t>
        <w:tab/>
        <w:t xml:space="preserve">50.50 </w:t>
        <w:tab/>
        <w:t xml:space="preserve">51.50 </w:t>
      </w:r>
    </w:p>
    <w:p>
      <w:pPr>
        <w:pStyle w:val="right-1ab"/>
        <w:rPr/>
      </w:pPr>
      <w:r>
        <w:rPr/>
        <w:tab/>
        <w:tab/>
        <w:tab/>
        <w:tab/>
        <w:tab/>
      </w:r>
    </w:p>
    <w:p>
      <w:pPr>
        <w:pStyle w:val="right-1ab"/>
        <w:rPr/>
      </w:pPr>
      <w:r>
        <w:rPr/>
        <w:tab/>
        <w:tab/>
        <w:tab/>
        <w:tab/>
        <w:tab/>
      </w:r>
    </w:p>
    <w:p>
      <w:pPr>
        <w:pStyle w:val="right-1ab"/>
        <w:rPr/>
      </w:pPr>
      <w:r>
        <w:rPr/>
        <w:tab/>
        <w:t xml:space="preserve">68.50 </w:t>
        <w:tab/>
        <w:t xml:space="preserve">64.00 </w:t>
        <w:tab/>
        <w:t xml:space="preserve">58.50 </w:t>
        <w:tab/>
        <w:t xml:space="preserve">51.50 </w:t>
        <w:tab/>
        <w:t xml:space="preserve">52.25 </w:t>
      </w:r>
    </w:p>
    <w:p>
      <w:pPr>
        <w:pStyle w:val="right-1ab"/>
        <w:rPr/>
      </w:pPr>
      <w:r>
        <w:rPr/>
        <w:tab/>
        <w:t xml:space="preserve">68.00 </w:t>
        <w:tab/>
        <w:t xml:space="preserve">65.00 </w:t>
        <w:tab/>
        <w:t xml:space="preserve">58.50 </w:t>
        <w:tab/>
        <w:t xml:space="preserve">51.50 </w:t>
        <w:tab/>
        <w:t xml:space="preserve">52.50 </w:t>
      </w:r>
    </w:p>
    <w:p>
      <w:pPr>
        <w:pStyle w:val="right-1ab"/>
        <w:rPr/>
      </w:pPr>
      <w:r>
        <w:rPr/>
        <w:tab/>
        <w:tab/>
        <w:tab/>
        <w:tab/>
        <w:tab/>
      </w:r>
    </w:p>
    <w:p>
      <w:pPr>
        <w:pStyle w:val="right-1ab"/>
        <w:rPr/>
      </w:pPr>
      <w:r>
        <w:rPr/>
        <w:tab/>
        <w:tab/>
        <w:tab/>
        <w:tab/>
        <w:tab/>
      </w:r>
    </w:p>
    <w:p>
      <w:pPr>
        <w:pStyle w:val="right-1ab"/>
        <w:rPr/>
      </w:pPr>
      <w:r>
        <w:rPr/>
        <w:tab/>
        <w:t xml:space="preserve">70.00 </w:t>
        <w:tab/>
        <w:t xml:space="preserve">70.00 </w:t>
        <w:tab/>
        <w:t xml:space="preserve">69.50 </w:t>
        <w:tab/>
        <w:t xml:space="preserve">67.50 </w:t>
        <w:tab/>
        <w:t xml:space="preserve">64.50 </w:t>
      </w:r>
    </w:p>
    <w:p>
      <w:pPr>
        <w:pStyle w:val="right-1ab"/>
        <w:rPr/>
      </w:pPr>
      <w:r>
        <w:rPr/>
        <w:tab/>
        <w:t xml:space="preserve">67.25 </w:t>
        <w:tab/>
        <w:t xml:space="preserve">67.50 </w:t>
        <w:tab/>
        <w:t xml:space="preserve">70.25 </w:t>
        <w:tab/>
        <w:t xml:space="preserve">69.00 </w:t>
        <w:tab/>
        <w:t xml:space="preserve">75.50 </w:t>
      </w:r>
    </w:p>
    <w:p>
      <w:pPr>
        <w:pStyle w:val="right-1ab"/>
        <w:rPr/>
      </w:pPr>
      <w:r>
        <w:rPr/>
        <w:tab/>
        <w:tab/>
        <w:tab/>
        <w:tab/>
        <w:tab/>
      </w:r>
    </w:p>
    <w:p>
      <w:pPr>
        <w:pStyle w:val="right-1ab"/>
        <w:rPr/>
      </w:pPr>
      <w:r>
        <w:rPr/>
        <w:tab/>
        <w:tab/>
        <w:tab/>
        <w:tab/>
        <w:tab/>
      </w:r>
    </w:p>
    <w:p>
      <w:pPr>
        <w:pStyle w:val="right-1ab"/>
        <w:rPr/>
      </w:pPr>
      <w:r>
        <w:rPr/>
        <w:tab/>
        <w:t xml:space="preserve">63.00 </w:t>
        <w:tab/>
        <w:t xml:space="preserve">60.00 </w:t>
        <w:tab/>
        <w:t xml:space="preserve">60.00 </w:t>
        <w:tab/>
        <w:t xml:space="preserve">58.25 </w:t>
        <w:tab/>
        <w:t xml:space="preserve">58.00 </w:t>
      </w:r>
    </w:p>
    <w:p>
      <w:pPr>
        <w:pStyle w:val="right-1ab"/>
        <w:rPr/>
      </w:pPr>
      <w:r>
        <w:rPr/>
        <w:tab/>
        <w:t xml:space="preserve">72.00 </w:t>
        <w:tab/>
        <w:t xml:space="preserve">70.00 </w:t>
        <w:tab/>
        <w:t xml:space="preserve">69.00 </w:t>
        <w:tab/>
        <w:t xml:space="preserve">68.50 </w:t>
        <w:tab/>
        <w:t xml:space="preserve">69.00 </w:t>
      </w:r>
    </w:p>
    <w:p>
      <w:pPr>
        <w:pStyle w:val="right-1ab"/>
        <w:rPr/>
      </w:pPr>
      <w:r>
        <w:rPr/>
        <w:tab/>
        <w:tab/>
        <w:tab/>
        <w:tab/>
        <w:tab/>
      </w:r>
    </w:p>
    <w:p>
      <w:pPr>
        <w:pStyle w:val="right-1ab"/>
        <w:rPr/>
      </w:pPr>
      <w:r>
        <w:rPr/>
        <w:tab/>
        <w:tab/>
        <w:tab/>
        <w:tab/>
        <w:tab/>
      </w:r>
    </w:p>
    <w:p>
      <w:pPr>
        <w:pStyle w:val="right-1ab"/>
        <w:rPr/>
      </w:pPr>
      <w:r>
        <w:rPr/>
        <w:tab/>
        <w:t xml:space="preserve">67.25 </w:t>
        <w:tab/>
        <w:t xml:space="preserve">65.25 </w:t>
        <w:tab/>
        <w:t xml:space="preserve">61.00 </w:t>
        <w:tab/>
        <w:t xml:space="preserve">54.00 </w:t>
        <w:tab/>
        <w:t xml:space="preserve">55.00 </w:t>
      </w:r>
    </w:p>
    <w:p>
      <w:pPr>
        <w:pStyle w:val="right-1ab"/>
        <w:rPr/>
      </w:pPr>
      <w:r>
        <w:rPr/>
        <w:tab/>
        <w:t xml:space="preserve">66.25 </w:t>
        <w:tab/>
        <w:t xml:space="preserve">63.25 </w:t>
        <w:tab/>
        <w:t xml:space="preserve">61.25 </w:t>
        <w:tab/>
        <w:t xml:space="preserve">59.25 </w:t>
        <w:tab/>
        <w:t xml:space="preserve">59.25 </w:t>
      </w:r>
    </w:p>
    <w:p>
      <w:pPr>
        <w:pStyle w:val="right-1ab"/>
        <w:rPr/>
      </w:pPr>
      <w:r>
        <w:rPr/>
        <w:tab/>
        <w:tab/>
        <w:tab/>
        <w:tab/>
        <w:tab/>
      </w:r>
    </w:p>
    <w:p>
      <w:pPr>
        <w:pStyle w:val="right-1ab"/>
        <w:rPr/>
      </w:pPr>
      <w:r>
        <w:rPr/>
        <w:tab/>
        <w:tab/>
        <w:tab/>
        <w:tab/>
        <w:tab/>
      </w:r>
    </w:p>
    <w:p>
      <w:pPr>
        <w:pStyle w:val="right-1ab"/>
        <w:rPr/>
      </w:pPr>
      <w:r>
        <w:rPr/>
        <w:tab/>
        <w:t xml:space="preserve">59.50 </w:t>
        <w:tab/>
        <w:t xml:space="preserve">59.50 </w:t>
        <w:tab/>
        <w:t xml:space="preserve">55.00 </w:t>
        <w:tab/>
        <w:t xml:space="preserve">56.75 </w:t>
        <w:tab/>
        <w:t xml:space="preserve">59.00 </w:t>
      </w:r>
    </w:p>
    <w:p>
      <w:pPr>
        <w:pStyle w:val="right-1ab"/>
        <w:rPr/>
      </w:pPr>
      <w:r>
        <w:rPr/>
        <w:tab/>
        <w:t xml:space="preserve">67.00 </w:t>
        <w:tab/>
        <w:t xml:space="preserve">64.00 </w:t>
        <w:tab/>
        <w:t xml:space="preserve">61.00 </w:t>
        <w:tab/>
        <w:t xml:space="preserve">60.00 </w:t>
        <w:tab/>
        <w:t xml:space="preserve">61.00 </w:t>
      </w:r>
    </w:p>
    <w:p>
      <w:pPr>
        <w:pStyle w:val="right-1ab"/>
        <w:rPr/>
      </w:pPr>
      <w:r>
        <w:rPr/>
        <w:tab/>
        <w:t xml:space="preserve">79.00 </w:t>
        <w:tab/>
        <w:t xml:space="preserve">74.00 </w:t>
        <w:tab/>
        <w:t xml:space="preserve">72.00 </w:t>
        <w:tab/>
        <w:t xml:space="preserve">69.00 </w:t>
        <w:tab/>
        <w:t xml:space="preserve">67.00 </w:t>
      </w:r>
    </w:p>
    <w:p>
      <w:pPr>
        <w:pStyle w:val="right-1ab"/>
        <w:rPr/>
      </w:pPr>
      <w:r>
        <w:rPr/>
        <w:tab/>
        <w:tab/>
        <w:tab/>
        <w:tab/>
        <w:tab/>
      </w:r>
    </w:p>
    <w:p>
      <w:pPr>
        <w:pStyle w:val="right-1ab"/>
        <w:rPr/>
      </w:pPr>
      <w:r>
        <w:rPr/>
        <w:tab/>
        <w:tab/>
        <w:tab/>
        <w:tab/>
        <w:tab/>
      </w:r>
    </w:p>
    <w:p>
      <w:pPr>
        <w:pStyle w:val="right-1ab"/>
        <w:rPr/>
      </w:pPr>
      <w:r>
        <w:rPr/>
        <w:tab/>
        <w:t xml:space="preserve">63.25 </w:t>
        <w:tab/>
        <w:t xml:space="preserve">60.00 </w:t>
        <w:tab/>
        <w:t xml:space="preserve">57.00 </w:t>
        <w:tab/>
        <w:t xml:space="preserve">56.00 </w:t>
        <w:tab/>
        <w:t xml:space="preserve">56.00 </w:t>
      </w:r>
    </w:p>
    <w:p>
      <w:pPr>
        <w:pStyle w:val="right-1ab"/>
        <w:rPr/>
      </w:pPr>
      <w:r>
        <w:rPr/>
        <w:tab/>
        <w:tab/>
        <w:tab/>
        <w:tab/>
        <w:tab/>
      </w:r>
    </w:p>
    <w:p>
      <w:pPr>
        <w:pStyle w:val="right-1ab"/>
        <w:rPr/>
      </w:pPr>
      <w:r>
        <w:rPr/>
        <w:tab/>
        <w:tab/>
        <w:tab/>
        <w:tab/>
        <w:tab/>
      </w:r>
    </w:p>
    <w:p>
      <w:pPr>
        <w:pStyle w:val="right-1ab"/>
        <w:rPr/>
      </w:pPr>
      <w:r>
        <w:rPr/>
        <w:tab/>
        <w:t xml:space="preserve">74.00 </w:t>
        <w:tab/>
        <w:t xml:space="preserve">71.00 </w:t>
        <w:tab/>
        <w:t xml:space="preserve">66.00 </w:t>
        <w:tab/>
        <w:t xml:space="preserve">65.00 </w:t>
        <w:tab/>
        <w:t xml:space="preserve">63.00 </w:t>
      </w:r>
    </w:p>
    <w:p>
      <w:pPr>
        <w:pStyle w:val="right-1ab"/>
        <w:rPr/>
      </w:pPr>
      <w:r>
        <w:rPr/>
        <w:tab/>
        <w:t xml:space="preserve">78.00 </w:t>
        <w:tab/>
        <w:t xml:space="preserve">76.00 </w:t>
        <w:tab/>
        <w:t xml:space="preserve">72.00 </w:t>
        <w:tab/>
        <w:t xml:space="preserve">70.00 </w:t>
        <w:tab/>
        <w:t xml:space="preserve">70.00 </w:t>
      </w:r>
    </w:p>
    <w:p>
      <w:pPr>
        <w:pStyle w:val="right-1ab"/>
        <w:rPr/>
      </w:pPr>
      <w:r>
        <w:rPr/>
        <w:tab/>
        <w:tab/>
        <w:tab/>
        <w:tab/>
        <w:tab/>
      </w:r>
    </w:p>
    <w:p>
      <w:pPr>
        <w:pStyle w:val="right-1ab"/>
        <w:rPr/>
      </w:pPr>
      <w:r>
        <w:rPr/>
        <w:tab/>
        <w:tab/>
        <w:tab/>
        <w:tab/>
        <w:tab/>
      </w:r>
    </w:p>
    <w:p>
      <w:pPr>
        <w:pStyle w:val="right-1ab"/>
        <w:rPr/>
      </w:pPr>
      <w:r>
        <w:rPr/>
        <w:tab/>
        <w:t xml:space="preserve">69.50 </w:t>
        <w:tab/>
        <w:t xml:space="preserve">72.00 </w:t>
        <w:tab/>
        <w:t xml:space="preserve">72.00 </w:t>
        <w:tab/>
        <w:t xml:space="preserve">72.00 </w:t>
        <w:tab/>
        <w:t xml:space="preserve">66.50 </w:t>
      </w:r>
    </w:p>
    <w:p>
      <w:pPr>
        <w:pStyle w:val="right-1ab"/>
        <w:rPr/>
      </w:pPr>
      <w:r>
        <w:rPr/>
        <w:tab/>
        <w:t xml:space="preserve">79.00 </w:t>
        <w:tab/>
        <w:t xml:space="preserve">85.00 </w:t>
        <w:tab/>
        <w:t xml:space="preserve">71.00 </w:t>
        <w:tab/>
        <w:t xml:space="preserve">70.00 </w:t>
        <w:tab/>
        <w:t xml:space="preserve">63.00 </w:t>
      </w:r>
    </w:p>
    <w:p>
      <w:pPr>
        <w:pStyle w:val="right-1ab"/>
        <w:rPr/>
      </w:pPr>
      <w:r>
        <w:rPr/>
        <w:tab/>
        <w:tab/>
        <w:tab/>
        <w:tab/>
        <w:tab/>
      </w:r>
    </w:p>
    <w:p>
      <w:pPr>
        <w:pStyle w:val="right-1ab"/>
        <w:rPr/>
      </w:pPr>
      <w:r>
        <w:rPr/>
        <w:tab/>
        <w:tab/>
        <w:tab/>
        <w:tab/>
        <w:tab/>
      </w:r>
    </w:p>
    <w:p>
      <w:pPr>
        <w:pStyle w:val="right-1ab"/>
        <w:rPr/>
      </w:pPr>
      <w:r>
        <w:rPr/>
        <w:tab/>
        <w:t xml:space="preserve">79.00 </w:t>
        <w:tab/>
        <w:t xml:space="preserve">79.00 </w:t>
        <w:tab/>
        <w:t xml:space="preserve">73.00 </w:t>
        <w:tab/>
        <w:t xml:space="preserve">64.00 </w:t>
        <w:tab/>
        <w:t xml:space="preserve">58.00 </w:t>
      </w:r>
    </w:p>
    <w:p>
      <w:pPr>
        <w:pStyle w:val="right-1ab"/>
        <w:rPr/>
      </w:pPr>
      <w:r>
        <w:rPr/>
        <w:tab/>
        <w:t xml:space="preserve">60.00 </w:t>
        <w:tab/>
        <w:t xml:space="preserve">58.00 </w:t>
        <w:tab/>
        <w:t xml:space="preserve">55.00 </w:t>
        <w:tab/>
        <w:t xml:space="preserve">56.00 </w:t>
        <w:tab/>
        <w:t xml:space="preserve">53.00 </w:t>
      </w:r>
    </w:p>
    <w:p>
      <w:pPr>
        <w:pStyle w:val="right-1ab"/>
        <w:rPr/>
      </w:pPr>
      <w:r>
        <w:rPr/>
        <w:tab/>
        <w:tab/>
        <w:tab/>
        <w:tab/>
        <w:tab/>
      </w:r>
    </w:p>
    <w:p>
      <w:pPr>
        <w:pStyle w:val="right-1ab"/>
        <w:rPr/>
      </w:pPr>
      <w:r>
        <w:rPr/>
        <w:tab/>
        <w:tab/>
        <w:tab/>
        <w:tab/>
        <w:tab/>
      </w:r>
    </w:p>
    <w:p>
      <w:pPr>
        <w:pStyle w:val="right-1ab"/>
        <w:rPr/>
      </w:pPr>
      <w:r>
        <w:rPr/>
        <w:tab/>
        <w:t xml:space="preserve">65.00 </w:t>
        <w:tab/>
        <w:t xml:space="preserve">61.00 </w:t>
        <w:tab/>
        <w:t xml:space="preserve">56.00 </w:t>
        <w:tab/>
        <w:t xml:space="preserve">59.00 </w:t>
        <w:tab/>
        <w:t xml:space="preserve">57.75 </w:t>
      </w:r>
    </w:p>
    <w:p>
      <w:pPr>
        <w:pStyle w:val="right-1ab"/>
        <w:rPr/>
      </w:pPr>
      <w:r>
        <w:rPr/>
        <w:tab/>
        <w:t xml:space="preserve">74.00 </w:t>
        <w:tab/>
        <w:t xml:space="preserve">67.50 </w:t>
        <w:tab/>
        <w:t xml:space="preserve">61.00 </w:t>
        <w:tab/>
        <w:t xml:space="preserve">64.00 </w:t>
        <w:tab/>
        <w:t xml:space="preserve">61.00 </w:t>
      </w:r>
    </w:p>
    <w:p>
      <w:pPr>
        <w:pStyle w:val="right-1ab"/>
        <w:rPr/>
      </w:pPr>
      <w:r>
        <w:rPr/>
        <w:tab/>
        <w:t xml:space="preserve">84.00 </w:t>
        <w:tab/>
        <w:t xml:space="preserve">84.00 </w:t>
        <w:tab/>
        <w:t xml:space="preserve">82.00 </w:t>
        <w:tab/>
        <w:t xml:space="preserve">77.50 </w:t>
        <w:tab/>
        <w:t>78.00</w:t>
      </w:r>
    </w:p>
    <w:p>
      <w:pPr>
        <w:sectPr>
          <w:type w:val="continuous"/>
          <w:pgSz w:w="12240" w:h="15840"/>
          <w:pgMar w:left="1440" w:right="1440" w:gutter="0" w:header="0" w:top="1152" w:footer="0" w:bottom="1152"/>
          <w:cols w:num="2" w:equalWidth="false" w:sep="false">
            <w:col w:w="2610" w:space="184"/>
            <w:col w:w="6566"/>
          </w:cols>
          <w:formProt w:val="false"/>
          <w:textDirection w:val="lrTb"/>
        </w:sectPr>
      </w:pPr>
    </w:p>
    <w:p>
      <w:pPr>
        <w:pStyle w:val="footnotesfortables"/>
        <w:tabs>
          <w:tab w:val="clear" w:pos="360"/>
          <w:tab w:val="clear" w:pos="1440"/>
          <w:tab w:val="clear" w:pos="1800"/>
          <w:tab w:val="clear" w:pos="2880"/>
          <w:tab w:val="clear" w:pos="3240"/>
          <w:tab w:val="clear" w:pos="4320"/>
          <w:tab w:val="clear" w:pos="4680"/>
          <w:tab w:val="clear" w:pos="5760"/>
          <w:tab w:val="clear" w:pos="6120"/>
        </w:tabs>
        <w:rPr>
          <w:sz w:val="12"/>
          <w:szCs w:val="12"/>
        </w:rPr>
      </w:pPr>
      <w:r>
        <w:rPr>
          <w:sz w:val="12"/>
          <w:szCs w:val="12"/>
        </w:rPr>
      </w:r>
    </w:p>
    <w:p>
      <w:pPr>
        <w:sectPr>
          <w:type w:val="continuous"/>
          <w:pgSz w:w="12240" w:h="15840"/>
          <w:pgMar w:left="1440" w:right="1440" w:gutter="0" w:header="0" w:top="1152" w:footer="0" w:bottom="1152"/>
          <w:formProt w:val="false"/>
          <w:textDirection w:val="lrTb"/>
        </w:sectPr>
        <w:pStyle w:val="footnotesfortables"/>
        <w:tabs>
          <w:tab w:val="clear" w:pos="360"/>
          <w:tab w:val="clear" w:pos="1440"/>
          <w:tab w:val="clear" w:pos="1800"/>
          <w:tab w:val="clear" w:pos="2880"/>
          <w:tab w:val="clear" w:pos="3240"/>
          <w:tab w:val="clear" w:pos="4320"/>
          <w:tab w:val="clear" w:pos="4680"/>
          <w:tab w:val="clear" w:pos="5760"/>
          <w:tab w:val="clear" w:pos="6120"/>
        </w:tabs>
        <w:rPr/>
      </w:pPr>
      <w:r>
        <w:rPr/>
        <w:t xml:space="preserve">Source:  </w:t>
      </w:r>
      <w:r>
        <w:rPr>
          <w:i/>
          <w:iCs/>
        </w:rPr>
        <w:t>Bunkerfuels Report</w:t>
      </w:r>
      <w:r>
        <w:rPr/>
        <w:t>.  Prices are means of the range</w:t>
        <w:br/>
        <w:t>a Ex wharf</w:t>
        <w:tab/>
        <w:t>b Delivered.</w:t>
        <w:tab/>
        <w:t>n/a - not available</w:t>
      </w:r>
      <w:r>
        <w:br w:type="page"/>
      </w:r>
    </w:p>
    <w:p>
      <w:pPr>
        <w:pStyle w:val="Heading4"/>
        <w:ind w:hanging="0" w:start="0"/>
        <w:rPr/>
      </w:pPr>
      <w:r>
        <w:rPr/>
        <w:t>Table I-D:  Recent Spot Freight Costs of Fuel Oil</w:t>
      </w:r>
    </w:p>
    <w:p>
      <w:pPr>
        <w:pStyle w:val="Normal"/>
        <w:rPr/>
      </w:pPr>
      <w:r>
        <w:rPr/>
      </w:r>
    </w:p>
    <w:p>
      <w:pPr>
        <w:pStyle w:val="RIGHT1D"/>
        <w:tabs>
          <w:tab w:val="clear" w:pos="1260"/>
          <w:tab w:val="clear" w:pos="2700"/>
          <w:tab w:val="clear" w:pos="4050"/>
          <w:tab w:val="clear" w:pos="5310"/>
          <w:tab w:val="center" w:pos="5220" w:leader="none"/>
          <w:tab w:val="center" w:pos="7920" w:leader="none"/>
        </w:tabs>
        <w:rPr/>
      </w:pPr>
      <w:r>
        <w:rPr/>
        <w:tab/>
        <w:t xml:space="preserve">Worldscale Percentage or </w:t>
        <w:tab/>
      </w:r>
    </w:p>
    <w:p>
      <w:pPr>
        <w:pStyle w:val="RIGHT1D"/>
        <w:tabs>
          <w:tab w:val="clear" w:pos="1260"/>
          <w:tab w:val="clear" w:pos="2700"/>
          <w:tab w:val="clear" w:pos="4050"/>
          <w:tab w:val="clear" w:pos="5310"/>
          <w:tab w:val="center" w:pos="5220" w:leader="none"/>
          <w:tab w:val="center" w:pos="7920" w:leader="none"/>
        </w:tabs>
        <w:rPr/>
      </w:pPr>
      <w:r>
        <w:rPr/>
        <w:tab/>
      </w:r>
      <w:r>
        <w:rPr>
          <w:u w:val="single"/>
        </w:rPr>
        <w:t>Lump Sum in 000's US$</w:t>
      </w:r>
      <w:r>
        <w:rPr/>
        <w:tab/>
      </w:r>
      <w:r>
        <w:rPr>
          <w:u w:val="single"/>
        </w:rPr>
        <w:t>US$/Metric Ton</w:t>
      </w:r>
    </w:p>
    <w:p>
      <w:pPr>
        <w:sectPr>
          <w:headerReference w:type="default" r:id="rId9"/>
          <w:footerReference w:type="default" r:id="rId10"/>
          <w:type w:val="nextPage"/>
          <w:pgSz w:w="12240" w:h="15840"/>
          <w:pgMar w:left="1440" w:right="1440" w:gutter="0" w:header="576" w:top="1152" w:footer="576" w:bottom="1152"/>
          <w:pgNumType w:fmt="decimal"/>
          <w:formProt w:val="false"/>
          <w:textDirection w:val="lrTb"/>
        </w:sectPr>
      </w:pPr>
    </w:p>
    <w:p>
      <w:pPr>
        <w:pStyle w:val="LEFT1D"/>
        <w:tabs>
          <w:tab w:val="clear" w:pos="2970"/>
          <w:tab w:val="left" w:pos="1440" w:leader="none"/>
          <w:tab w:val="center" w:pos="3060" w:leader="none"/>
        </w:tabs>
        <w:rPr>
          <w:sz w:val="8"/>
          <w:szCs w:val="8"/>
          <w:u w:val="single"/>
        </w:rPr>
      </w:pPr>
      <w:r>
        <w:rPr>
          <w:sz w:val="8"/>
          <w:szCs w:val="8"/>
          <w:u w:val="single"/>
        </w:rPr>
      </w:r>
    </w:p>
    <w:p>
      <w:pPr>
        <w:pStyle w:val="LEFT1D"/>
        <w:tabs>
          <w:tab w:val="clear" w:pos="2970"/>
          <w:tab w:val="left" w:pos="1440" w:leader="none"/>
          <w:tab w:val="center" w:pos="3060" w:leader="none"/>
        </w:tabs>
        <w:rPr/>
      </w:pPr>
      <w:r>
        <w:rPr/>
        <w:t>Voyage:</w:t>
        <w:tab/>
        <w:tab/>
        <w:t>Cargo Size</w:t>
        <w:br/>
      </w:r>
      <w:r>
        <w:rPr>
          <w:u w:val="single"/>
        </w:rPr>
        <w:t>From</w:t>
      </w:r>
      <w:r>
        <w:rPr/>
        <w:tab/>
      </w:r>
      <w:r>
        <w:rPr>
          <w:u w:val="single"/>
        </w:rPr>
        <w:t>To</w:t>
      </w:r>
      <w:r>
        <w:rPr/>
        <w:tab/>
      </w:r>
      <w:r>
        <w:rPr>
          <w:u w:val="single"/>
        </w:rPr>
        <w:t>(000's MT)</w:t>
        <w:br/>
      </w:r>
      <w:r>
        <w:rPr/>
        <w:tab/>
        <w:tab/>
        <w:br/>
        <w:t>Caribbean</w:t>
        <w:tab/>
        <w:t xml:space="preserve">USEC </w:t>
        <w:tab/>
        <w:t xml:space="preserve">50 </w:t>
        <w:br/>
        <w:tab/>
        <w:t>NWE</w:t>
        <w:tab/>
        <w:t xml:space="preserve">50 </w:t>
        <w:br/>
        <w:tab/>
        <w:t>Italy</w:t>
        <w:tab/>
        <w:t xml:space="preserve">50 </w:t>
        <w:br/>
        <w:tab/>
        <w:t>Singapore</w:t>
        <w:tab/>
        <w:t xml:space="preserve">80 </w:t>
        <w:br/>
        <w:tab/>
        <w:tab/>
        <w:br/>
        <w:t>USGC</w:t>
        <w:tab/>
        <w:t>USEC</w:t>
      </w:r>
      <w:r>
        <w:rPr>
          <w:vertAlign w:val="superscript"/>
        </w:rPr>
        <w:t>a</w:t>
      </w:r>
      <w:r>
        <w:rPr/>
        <w:tab/>
        <w:t xml:space="preserve">50 </w:t>
        <w:br/>
        <w:tab/>
        <w:t>NWE</w:t>
        <w:tab/>
        <w:t xml:space="preserve">50 </w:t>
        <w:br/>
        <w:tab/>
        <w:t>Italy</w:t>
        <w:tab/>
        <w:t xml:space="preserve">50 </w:t>
        <w:br/>
        <w:tab/>
        <w:t>Singapore</w:t>
        <w:tab/>
        <w:t xml:space="preserve">80 </w:t>
        <w:br/>
        <w:tab/>
        <w:tab/>
        <w:br/>
        <w:t>NWE</w:t>
        <w:tab/>
        <w:t>Italy</w:t>
        <w:tab/>
        <w:t xml:space="preserve">50 </w:t>
        <w:br/>
        <w:tab/>
        <w:t>USEC</w:t>
        <w:tab/>
        <w:t xml:space="preserve">50 </w:t>
        <w:br/>
        <w:tab/>
        <w:t>Singapore</w:t>
      </w:r>
      <w:r>
        <w:rPr>
          <w:vertAlign w:val="superscript"/>
        </w:rPr>
        <w:t>b</w:t>
      </w:r>
      <w:r>
        <w:rPr/>
        <w:tab/>
        <w:t xml:space="preserve">80 </w:t>
        <w:br/>
        <w:tab/>
        <w:tab/>
        <w:br/>
        <w:t>Italy</w:t>
        <w:tab/>
        <w:t>NWE</w:t>
        <w:tab/>
        <w:t xml:space="preserve">50 </w:t>
        <w:br/>
        <w:tab/>
        <w:t>USEC</w:t>
        <w:tab/>
        <w:t xml:space="preserve">50 </w:t>
        <w:br/>
        <w:tab/>
        <w:t>Singapore</w:t>
      </w:r>
      <w:r>
        <w:rPr>
          <w:vertAlign w:val="superscript"/>
        </w:rPr>
        <w:t>b</w:t>
      </w:r>
      <w:r>
        <w:rPr/>
        <w:tab/>
        <w:t xml:space="preserve">80 </w:t>
        <w:br/>
        <w:tab/>
        <w:tab/>
        <w:br/>
        <w:t>Mideast Gulf</w:t>
        <w:tab/>
        <w:t>Fujairah</w:t>
        <w:tab/>
        <w:t xml:space="preserve">80 </w:t>
        <w:br/>
        <w:tab/>
        <w:t>Singapore</w:t>
        <w:tab/>
        <w:t xml:space="preserve">80 </w:t>
        <w:br/>
        <w:tab/>
        <w:t>NWE</w:t>
      </w:r>
      <w:r>
        <w:rPr>
          <w:vertAlign w:val="superscript"/>
        </w:rPr>
        <w:t>b</w:t>
      </w:r>
      <w:r>
        <w:rPr/>
        <w:tab/>
        <w:t xml:space="preserve">80 </w:t>
        <w:br/>
        <w:tab/>
        <w:t>Italy</w:t>
      </w:r>
      <w:r>
        <w:rPr>
          <w:vertAlign w:val="superscript"/>
        </w:rPr>
        <w:t>b</w:t>
      </w:r>
      <w:r>
        <w:rPr/>
        <w:tab/>
        <w:t xml:space="preserve">80 </w:t>
        <w:br/>
        <w:tab/>
        <w:t>USEC</w:t>
      </w:r>
      <w:r>
        <w:rPr>
          <w:vertAlign w:val="superscript"/>
        </w:rPr>
        <w:t>b</w:t>
      </w:r>
      <w:r>
        <w:rPr/>
        <w:tab/>
        <w:t xml:space="preserve">80 </w:t>
        <w:br/>
        <w:tab/>
        <w:t>USGC</w:t>
      </w:r>
      <w:r>
        <w:rPr>
          <w:vertAlign w:val="superscript"/>
        </w:rPr>
        <w:t>b</w:t>
      </w:r>
      <w:r>
        <w:rPr/>
        <w:tab/>
        <w:t xml:space="preserve">80 </w:t>
        <w:br/>
        <w:tab/>
        <w:tab/>
        <w:br/>
        <w:t>Singapore</w:t>
        <w:tab/>
        <w:t>Japan</w:t>
        <w:tab/>
        <w:t xml:space="preserve">80 </w:t>
        <w:br/>
        <w:tab/>
        <w:t>Taiwan</w:t>
        <w:tab/>
        <w:t xml:space="preserve">80 </w:t>
        <w:br/>
        <w:tab/>
        <w:t>South Korea</w:t>
        <w:tab/>
        <w:t xml:space="preserve">80 </w:t>
        <w:br/>
        <w:tab/>
        <w:t>USWC</w:t>
        <w:tab/>
        <w:t xml:space="preserve">80 </w:t>
        <w:br/>
        <w:tab/>
        <w:t>USEC</w:t>
        <w:tab/>
        <w:t xml:space="preserve">80 </w:t>
        <w:br/>
        <w:tab/>
        <w:t>USGC</w:t>
        <w:tab/>
        <w:t xml:space="preserve">80 </w:t>
        <w:br/>
        <w:tab/>
        <w:tab/>
        <w:br/>
        <w:t>USWC</w:t>
        <w:tab/>
        <w:t>Japan</w:t>
        <w:tab/>
        <w:t xml:space="preserve">80 </w:t>
        <w:br/>
        <w:tab/>
        <w:t>Taiwan</w:t>
        <w:tab/>
        <w:t xml:space="preserve">80 </w:t>
        <w:br/>
        <w:tab/>
        <w:t>South Korea</w:t>
        <w:tab/>
        <w:t xml:space="preserve">80 </w:t>
        <w:br/>
        <w:tab/>
        <w:t>Singapore</w:t>
        <w:tab/>
        <w:t>80</w:t>
        <w:br/>
      </w:r>
    </w:p>
    <w:p>
      <w:pPr>
        <w:pStyle w:val="RIGHT1D"/>
        <w:rPr/>
      </w:pPr>
      <w:r>
        <w:br w:type="column"/>
      </w:r>
      <w:r>
        <w:rPr/>
        <w:tab/>
        <w:t>lst Week</w:t>
        <w:tab/>
        <w:t>lst Week</w:t>
        <w:tab/>
        <w:t>lst Week</w:t>
        <w:tab/>
        <w:t>lst Week</w:t>
      </w:r>
    </w:p>
    <w:p>
      <w:pPr>
        <w:pStyle w:val="RIGHT1D"/>
        <w:rPr/>
      </w:pPr>
      <w:r>
        <w:rPr/>
        <w:tab/>
        <w:t xml:space="preserve">January </w:t>
        <w:tab/>
        <w:t>February</w:t>
        <w:tab/>
        <w:t xml:space="preserve">January </w:t>
        <w:tab/>
        <w:t>February</w:t>
      </w:r>
    </w:p>
    <w:p>
      <w:pPr>
        <w:pStyle w:val="RIGHT1D"/>
        <w:rPr/>
      </w:pPr>
      <w:r>
        <w:rPr/>
        <w:tab/>
      </w:r>
      <w:r>
        <w:rPr>
          <w:u w:val="single"/>
        </w:rPr>
        <w:t xml:space="preserve">1999 </w:t>
        <w:tab/>
        <w:t xml:space="preserve">1999 </w:t>
        <w:tab/>
        <w:t>1999</w:t>
        <w:tab/>
        <w:t>1999</w:t>
      </w:r>
    </w:p>
    <w:p>
      <w:pPr>
        <w:pStyle w:val="RIGHT1D"/>
        <w:rPr/>
      </w:pPr>
      <w:r>
        <w:rPr/>
        <w:tab/>
        <w:tab/>
        <w:tab/>
        <w:tab/>
      </w:r>
    </w:p>
    <w:p>
      <w:pPr>
        <w:pStyle w:val="RIGHT1D"/>
        <w:rPr/>
      </w:pPr>
      <w:r>
        <w:rPr/>
        <w:tab/>
        <w:t xml:space="preserve">158 </w:t>
        <w:tab/>
        <w:t xml:space="preserve">118 </w:t>
        <w:tab/>
        <w:t xml:space="preserve">6.06 </w:t>
        <w:tab/>
        <w:t xml:space="preserve">4.52 </w:t>
      </w:r>
    </w:p>
    <w:p>
      <w:pPr>
        <w:pStyle w:val="RIGHT1D"/>
        <w:rPr/>
      </w:pPr>
      <w:r>
        <w:rPr/>
        <w:tab/>
        <w:t xml:space="preserve">125 </w:t>
        <w:tab/>
        <w:t xml:space="preserve">110 </w:t>
        <w:tab/>
        <w:t xml:space="preserve">9.51 </w:t>
        <w:tab/>
        <w:t xml:space="preserve">8.37 </w:t>
      </w:r>
    </w:p>
    <w:p>
      <w:pPr>
        <w:pStyle w:val="RIGHT1D"/>
        <w:rPr/>
      </w:pPr>
      <w:r>
        <w:rPr/>
        <w:tab/>
        <w:t xml:space="preserve">120 </w:t>
        <w:tab/>
        <w:t xml:space="preserve">110 </w:t>
        <w:tab/>
        <w:t xml:space="preserve">9.66 </w:t>
        <w:tab/>
        <w:t xml:space="preserve">8.86 </w:t>
      </w:r>
    </w:p>
    <w:p>
      <w:pPr>
        <w:pStyle w:val="RIGHT1D"/>
        <w:rPr/>
      </w:pPr>
      <w:r>
        <w:rPr/>
        <w:tab/>
        <w:t xml:space="preserve">$1,250 </w:t>
        <w:tab/>
        <w:t xml:space="preserve">$1,100 </w:t>
        <w:tab/>
        <w:t xml:space="preserve">15.63 </w:t>
        <w:tab/>
        <w:t xml:space="preserve">13.75 </w:t>
      </w:r>
    </w:p>
    <w:p>
      <w:pPr>
        <w:pStyle w:val="RIGHT1D"/>
        <w:rPr/>
      </w:pPr>
      <w:r>
        <w:rPr/>
        <w:tab/>
        <w:tab/>
        <w:tab/>
        <w:tab/>
      </w:r>
    </w:p>
    <w:p>
      <w:pPr>
        <w:pStyle w:val="RIGHT1D"/>
        <w:rPr/>
      </w:pPr>
      <w:r>
        <w:rPr/>
        <w:tab/>
        <w:t xml:space="preserve">160 </w:t>
        <w:tab/>
        <w:t xml:space="preserve">160 </w:t>
        <w:tab/>
        <w:t xml:space="preserve">8.94 </w:t>
        <w:tab/>
        <w:t xml:space="preserve">8.94 </w:t>
      </w:r>
    </w:p>
    <w:p>
      <w:pPr>
        <w:pStyle w:val="RIGHT1D"/>
        <w:rPr/>
      </w:pPr>
      <w:r>
        <w:rPr/>
        <w:tab/>
        <w:t xml:space="preserve">120 </w:t>
        <w:tab/>
        <w:t xml:space="preserve">105 </w:t>
        <w:tab/>
        <w:t xml:space="preserve">10.26 </w:t>
        <w:tab/>
        <w:t xml:space="preserve">8.98 </w:t>
      </w:r>
    </w:p>
    <w:p>
      <w:pPr>
        <w:pStyle w:val="RIGHT1D"/>
        <w:rPr/>
      </w:pPr>
      <w:r>
        <w:rPr/>
        <w:tab/>
        <w:t xml:space="preserve">120 </w:t>
        <w:tab/>
        <w:t xml:space="preserve">105 </w:t>
        <w:tab/>
        <w:t xml:space="preserve">11.20 </w:t>
        <w:tab/>
        <w:t xml:space="preserve">9.80 </w:t>
      </w:r>
    </w:p>
    <w:p>
      <w:pPr>
        <w:pStyle w:val="RIGHT1D"/>
        <w:rPr/>
      </w:pPr>
      <w:r>
        <w:rPr/>
        <w:tab/>
        <w:t xml:space="preserve">$1,200 </w:t>
        <w:tab/>
        <w:t xml:space="preserve">$1,050 </w:t>
        <w:tab/>
        <w:t xml:space="preserve">15.00 </w:t>
        <w:tab/>
        <w:t xml:space="preserve">13.13 </w:t>
      </w:r>
    </w:p>
    <w:p>
      <w:pPr>
        <w:pStyle w:val="RIGHT1D"/>
        <w:rPr/>
      </w:pPr>
      <w:r>
        <w:rPr/>
        <w:tab/>
        <w:tab/>
        <w:tab/>
        <w:tab/>
      </w:r>
    </w:p>
    <w:p>
      <w:pPr>
        <w:pStyle w:val="RIGHT1D"/>
        <w:rPr/>
      </w:pPr>
      <w:r>
        <w:rPr/>
        <w:tab/>
        <w:t xml:space="preserve">135 </w:t>
        <w:tab/>
        <w:t xml:space="preserve">120 </w:t>
        <w:tab/>
        <w:t xml:space="preserve">7.49 </w:t>
        <w:tab/>
        <w:t xml:space="preserve">6.66 </w:t>
      </w:r>
    </w:p>
    <w:p>
      <w:pPr>
        <w:pStyle w:val="RIGHT1D"/>
        <w:rPr/>
      </w:pPr>
      <w:r>
        <w:rPr/>
        <w:tab/>
        <w:t xml:space="preserve">143 </w:t>
        <w:tab/>
        <w:t xml:space="preserve">115 </w:t>
        <w:tab/>
        <w:t xml:space="preserve">9.36 </w:t>
        <w:tab/>
        <w:t xml:space="preserve">7.56 </w:t>
      </w:r>
    </w:p>
    <w:p>
      <w:pPr>
        <w:pStyle w:val="RIGHT1D"/>
        <w:rPr/>
      </w:pPr>
      <w:r>
        <w:rPr/>
        <w:tab/>
        <w:t xml:space="preserve">$1,100 </w:t>
        <w:tab/>
        <w:t xml:space="preserve">$1,000 </w:t>
        <w:tab/>
        <w:t xml:space="preserve">13.75 </w:t>
        <w:tab/>
        <w:t xml:space="preserve">12.50 </w:t>
      </w:r>
    </w:p>
    <w:p>
      <w:pPr>
        <w:pStyle w:val="RIGHT1D"/>
        <w:rPr/>
      </w:pPr>
      <w:r>
        <w:rPr/>
        <w:tab/>
        <w:tab/>
        <w:tab/>
        <w:tab/>
      </w:r>
    </w:p>
    <w:p>
      <w:pPr>
        <w:pStyle w:val="RIGHT1D"/>
        <w:rPr/>
      </w:pPr>
      <w:r>
        <w:rPr/>
        <w:tab/>
        <w:t xml:space="preserve">138 </w:t>
        <w:tab/>
        <w:t xml:space="preserve">123 </w:t>
        <w:tab/>
        <w:t xml:space="preserve">7.63 </w:t>
        <w:tab/>
        <w:t xml:space="preserve">6.80 </w:t>
      </w:r>
    </w:p>
    <w:p>
      <w:pPr>
        <w:pStyle w:val="RIGHT1D"/>
        <w:rPr/>
      </w:pPr>
      <w:r>
        <w:rPr/>
        <w:tab/>
        <w:t xml:space="preserve">140 </w:t>
        <w:tab/>
        <w:t xml:space="preserve">118 </w:t>
        <w:tab/>
        <w:t xml:space="preserve">10.46 </w:t>
        <w:tab/>
        <w:t xml:space="preserve">8.78 </w:t>
      </w:r>
    </w:p>
    <w:p>
      <w:pPr>
        <w:pStyle w:val="RIGHT1D"/>
        <w:rPr/>
      </w:pPr>
      <w:r>
        <w:rPr/>
        <w:tab/>
        <w:t xml:space="preserve">$1,000 </w:t>
        <w:tab/>
        <w:t xml:space="preserve">$950 </w:t>
        <w:tab/>
        <w:t xml:space="preserve">12.50 </w:t>
        <w:tab/>
        <w:t xml:space="preserve">11.88 </w:t>
      </w:r>
    </w:p>
    <w:p>
      <w:pPr>
        <w:pStyle w:val="RIGHT1D"/>
        <w:rPr/>
      </w:pPr>
      <w:r>
        <w:rPr/>
        <w:tab/>
        <w:tab/>
        <w:tab/>
        <w:tab/>
      </w:r>
    </w:p>
    <w:p>
      <w:pPr>
        <w:pStyle w:val="RIGHT1D"/>
        <w:rPr/>
      </w:pPr>
      <w:r>
        <w:rPr/>
        <w:tab/>
        <w:t xml:space="preserve">$210 </w:t>
        <w:tab/>
        <w:t xml:space="preserve">$170 </w:t>
        <w:tab/>
        <w:t xml:space="preserve">2.63 </w:t>
        <w:tab/>
        <w:t xml:space="preserve">2.13 </w:t>
      </w:r>
    </w:p>
    <w:p>
      <w:pPr>
        <w:pStyle w:val="RIGHT1D"/>
        <w:rPr/>
      </w:pPr>
      <w:r>
        <w:rPr/>
        <w:tab/>
        <w:t xml:space="preserve">90 </w:t>
        <w:tab/>
        <w:t xml:space="preserve">95 </w:t>
        <w:tab/>
        <w:t xml:space="preserve">5.34 </w:t>
        <w:tab/>
        <w:t xml:space="preserve">5.63 </w:t>
      </w:r>
    </w:p>
    <w:p>
      <w:pPr>
        <w:pStyle w:val="RIGHT1D"/>
        <w:rPr/>
      </w:pPr>
      <w:r>
        <w:rPr/>
        <w:tab/>
        <w:t xml:space="preserve">88 </w:t>
        <w:tab/>
        <w:t xml:space="preserve">90 </w:t>
        <w:tab/>
        <w:t xml:space="preserve">13.27 </w:t>
        <w:tab/>
        <w:t xml:space="preserve">13.53 </w:t>
      </w:r>
    </w:p>
    <w:p>
      <w:pPr>
        <w:pStyle w:val="RIGHT1D"/>
        <w:rPr/>
      </w:pPr>
      <w:r>
        <w:rPr/>
        <w:tab/>
        <w:t xml:space="preserve">95 </w:t>
        <w:tab/>
        <w:t xml:space="preserve">98 </w:t>
        <w:tab/>
        <w:t xml:space="preserve">11.82 </w:t>
        <w:tab/>
        <w:t xml:space="preserve">12.03 </w:t>
      </w:r>
    </w:p>
    <w:p>
      <w:pPr>
        <w:pStyle w:val="RIGHT1D"/>
        <w:rPr/>
      </w:pPr>
      <w:r>
        <w:rPr/>
        <w:tab/>
        <w:t xml:space="preserve">90 </w:t>
        <w:tab/>
        <w:t xml:space="preserve">88 </w:t>
        <w:tab/>
        <w:t xml:space="preserve">15.30 </w:t>
        <w:tab/>
        <w:t xml:space="preserve">14.98 </w:t>
      </w:r>
    </w:p>
    <w:p>
      <w:pPr>
        <w:pStyle w:val="RIGHT1D"/>
        <w:rPr/>
      </w:pPr>
      <w:r>
        <w:rPr/>
        <w:tab/>
        <w:t xml:space="preserve">85 </w:t>
        <w:tab/>
        <w:t xml:space="preserve">85 </w:t>
        <w:tab/>
        <w:t xml:space="preserve">16.27 </w:t>
        <w:tab/>
        <w:t xml:space="preserve">16.27 </w:t>
      </w:r>
    </w:p>
    <w:p>
      <w:pPr>
        <w:pStyle w:val="RIGHT1D"/>
        <w:rPr/>
      </w:pPr>
      <w:r>
        <w:rPr/>
        <w:tab/>
        <w:tab/>
        <w:tab/>
        <w:tab/>
      </w:r>
    </w:p>
    <w:p>
      <w:pPr>
        <w:pStyle w:val="RIGHT1D"/>
        <w:rPr/>
      </w:pPr>
      <w:r>
        <w:rPr/>
        <w:tab/>
        <w:t xml:space="preserve">103 </w:t>
        <w:tab/>
        <w:t xml:space="preserve">103 </w:t>
        <w:tab/>
        <w:t xml:space="preserve">5.58 </w:t>
        <w:tab/>
        <w:t xml:space="preserve">5.58 </w:t>
      </w:r>
    </w:p>
    <w:p>
      <w:pPr>
        <w:pStyle w:val="RIGHT1D"/>
        <w:rPr/>
      </w:pPr>
      <w:r>
        <w:rPr/>
        <w:tab/>
        <w:t xml:space="preserve">100 </w:t>
        <w:tab/>
        <w:t xml:space="preserve">105 </w:t>
        <w:tab/>
        <w:t xml:space="preserve">3.33 </w:t>
        <w:tab/>
        <w:t xml:space="preserve">3.50 </w:t>
      </w:r>
    </w:p>
    <w:p>
      <w:pPr>
        <w:pStyle w:val="RIGHT1D"/>
        <w:rPr/>
      </w:pPr>
      <w:r>
        <w:rPr/>
        <w:tab/>
        <w:t xml:space="preserve">103 </w:t>
        <w:tab/>
        <w:t xml:space="preserve">103 </w:t>
        <w:tab/>
        <w:t xml:space="preserve">4.53 </w:t>
        <w:tab/>
        <w:t xml:space="preserve">4.53 </w:t>
      </w:r>
    </w:p>
    <w:p>
      <w:pPr>
        <w:pStyle w:val="RIGHT1D"/>
        <w:rPr/>
      </w:pPr>
      <w:r>
        <w:rPr/>
        <w:tab/>
        <w:t xml:space="preserve">$900 </w:t>
        <w:tab/>
        <w:t xml:space="preserve">$850 </w:t>
        <w:tab/>
        <w:t xml:space="preserve">11.25 </w:t>
        <w:tab/>
        <w:t xml:space="preserve">10.63 </w:t>
      </w:r>
    </w:p>
    <w:p>
      <w:pPr>
        <w:pStyle w:val="RIGHT1D"/>
        <w:rPr/>
      </w:pPr>
      <w:r>
        <w:rPr/>
        <w:tab/>
        <w:t xml:space="preserve">$1,200 </w:t>
        <w:tab/>
        <w:t xml:space="preserve">$1,100 </w:t>
        <w:tab/>
        <w:t xml:space="preserve">15.00 </w:t>
        <w:tab/>
        <w:t xml:space="preserve">13.75 </w:t>
      </w:r>
    </w:p>
    <w:p>
      <w:pPr>
        <w:pStyle w:val="RIGHT1D"/>
        <w:rPr/>
      </w:pPr>
      <w:r>
        <w:rPr/>
        <w:tab/>
        <w:t xml:space="preserve">$1,300 </w:t>
        <w:tab/>
        <w:t xml:space="preserve">$1,150 </w:t>
        <w:tab/>
        <w:t xml:space="preserve">16.25 </w:t>
        <w:tab/>
        <w:t xml:space="preserve">14.38 </w:t>
      </w:r>
    </w:p>
    <w:p>
      <w:pPr>
        <w:pStyle w:val="RIGHT1D"/>
        <w:rPr/>
      </w:pPr>
      <w:r>
        <w:rPr/>
        <w:tab/>
        <w:tab/>
        <w:tab/>
        <w:tab/>
      </w:r>
    </w:p>
    <w:p>
      <w:pPr>
        <w:pStyle w:val="RIGHT1D"/>
        <w:rPr/>
      </w:pPr>
      <w:r>
        <w:rPr/>
        <w:tab/>
        <w:t xml:space="preserve">$950 </w:t>
        <w:tab/>
        <w:t xml:space="preserve">$850 </w:t>
        <w:tab/>
        <w:t xml:space="preserve">11.88 </w:t>
        <w:tab/>
        <w:t xml:space="preserve">10.63 </w:t>
      </w:r>
    </w:p>
    <w:p>
      <w:pPr>
        <w:pStyle w:val="RIGHT1D"/>
        <w:rPr/>
      </w:pPr>
      <w:r>
        <w:rPr/>
        <w:tab/>
        <w:t xml:space="preserve">$950 </w:t>
        <w:tab/>
        <w:t xml:space="preserve">$900 </w:t>
        <w:tab/>
        <w:t xml:space="preserve">11.88 </w:t>
        <w:tab/>
        <w:t xml:space="preserve">11.25 </w:t>
      </w:r>
    </w:p>
    <w:p>
      <w:pPr>
        <w:pStyle w:val="RIGHT1D"/>
        <w:rPr/>
      </w:pPr>
      <w:r>
        <w:rPr/>
        <w:tab/>
        <w:t xml:space="preserve">$1,000 </w:t>
        <w:tab/>
        <w:t xml:space="preserve">$875 </w:t>
        <w:tab/>
        <w:t xml:space="preserve">12.50 </w:t>
        <w:tab/>
        <w:t xml:space="preserve">10.94 </w:t>
      </w:r>
    </w:p>
    <w:p>
      <w:pPr>
        <w:pStyle w:val="RIGHT1D"/>
        <w:rPr/>
      </w:pPr>
      <w:r>
        <w:rPr/>
        <w:tab/>
        <w:t xml:space="preserve">$1,150 </w:t>
        <w:tab/>
        <w:t xml:space="preserve">$950 </w:t>
        <w:tab/>
        <w:t xml:space="preserve">14.38 </w:t>
        <w:tab/>
        <w:t xml:space="preserve">11.88 </w:t>
      </w:r>
    </w:p>
    <w:p>
      <w:pPr>
        <w:pStyle w:val="RIGHT1D"/>
        <w:rPr/>
      </w:pPr>
      <w:r>
        <w:rPr/>
        <w:tab/>
        <w:tab/>
        <w:tab/>
        <w:tab/>
      </w:r>
    </w:p>
    <w:p>
      <w:pPr>
        <w:sectPr>
          <w:type w:val="continuous"/>
          <w:pgSz w:w="12240" w:h="15840"/>
          <w:pgMar w:left="1440" w:right="1440" w:gutter="0" w:header="576" w:top="1152" w:footer="576" w:bottom="1152"/>
          <w:cols w:num="2" w:equalWidth="false" w:sep="false">
            <w:col w:w="3600" w:space="0"/>
            <w:col w:w="5760"/>
          </w:cols>
          <w:formProt w:val="false"/>
          <w:textDirection w:val="lrTb"/>
        </w:sectPr>
      </w:pPr>
    </w:p>
    <w:p>
      <w:pPr>
        <w:pStyle w:val="footnotesfortables"/>
        <w:rPr/>
      </w:pPr>
      <w:r>
        <w:rPr/>
      </w:r>
    </w:p>
    <w:p>
      <w:pPr>
        <w:pStyle w:val="footnotesfortables"/>
        <w:rPr/>
      </w:pPr>
      <w:r>
        <w:rPr/>
        <w:t>Source:  Poten &amp; Partners, Inc., Tanker Chartering Department.</w:t>
      </w:r>
    </w:p>
    <w:p>
      <w:pPr>
        <w:pStyle w:val="footnotesfortables"/>
        <w:rPr/>
      </w:pPr>
      <w:r>
        <w:rPr/>
      </w:r>
    </w:p>
    <w:p>
      <w:pPr>
        <w:pStyle w:val="footnotesfortables"/>
        <w:rPr/>
      </w:pPr>
      <w:r>
        <w:rPr/>
        <w:t>a  This voyage cost is based on the utilization of U.S. Flag vessels using ATRS.</w:t>
      </w:r>
    </w:p>
    <w:p>
      <w:pPr>
        <w:sectPr>
          <w:type w:val="continuous"/>
          <w:pgSz w:w="12240" w:h="15840"/>
          <w:pgMar w:left="1440" w:right="1440" w:gutter="0" w:header="576" w:top="1152" w:footer="576" w:bottom="1152"/>
          <w:formProt w:val="false"/>
          <w:textDirection w:val="lrTb"/>
        </w:sectPr>
        <w:pStyle w:val="footnotesfortables"/>
        <w:rPr/>
      </w:pPr>
      <w:r>
        <w:rPr/>
        <w:t>b  Cost of this voyage includes Suez Canal tolls.</w:t>
      </w:r>
      <w:r>
        <w:br w:type="page"/>
      </w:r>
    </w:p>
    <w:p>
      <w:pPr>
        <w:pStyle w:val="Heading1"/>
        <w:ind w:hanging="0" w:start="0"/>
        <w:rPr/>
      </w:pPr>
      <w:r>
        <w:rPr/>
        <w:t>Part II:  PRICING OUTLOOK</w:t>
      </w:r>
    </w:p>
    <w:p>
      <w:pPr>
        <w:pStyle w:val="Heading3"/>
        <w:ind w:hanging="0" w:start="0"/>
        <w:rPr/>
      </w:pPr>
      <w:r>
        <w:rPr/>
        <w:t>Crude Oil</w:t>
      </w:r>
    </w:p>
    <w:p>
      <w:pPr>
        <w:pStyle w:val="Normal"/>
        <w:rPr/>
      </w:pPr>
      <w:r>
        <w:rPr/>
        <w:t>“</w:t>
      </w:r>
      <w:r>
        <w:rPr/>
        <w:t xml:space="preserve">The more things </w:t>
      </w:r>
      <w:r>
        <w:rPr>
          <w:i/>
          <w:iCs/>
        </w:rPr>
        <w:t>don’t</w:t>
      </w:r>
      <w:r>
        <w:rPr/>
        <w:t xml:space="preserve"> change the more likely they are to remain the same.  Scattered hopes that the supply/demand imbalances of the first half of 1998 would be quickly resolved by revisions to supply, to demand, or to OECD stock data have been blunted by frustratingly stable numbers and in the case of demand revisions in the other direction.”  So opened the executive summary of the International Energy Agency’s (IEA’s) February 9 Oil Market Report.</w:t>
      </w:r>
    </w:p>
    <w:p>
      <w:pPr>
        <w:pStyle w:val="Normal"/>
        <w:rPr/>
      </w:pPr>
      <w:r>
        <w:rPr/>
      </w:r>
    </w:p>
    <w:p>
      <w:pPr>
        <w:pStyle w:val="Normal"/>
        <w:rPr/>
      </w:pPr>
      <w:r>
        <w:rPr/>
        <w:t xml:space="preserve">The February IEA report forecasts 1999 total world oil demand will be approximately 74.7 million barrels per day </w:t>
      </w:r>
      <w:r>
        <w:rPr>
          <w:rFonts w:eastAsia="Symbol" w:cs="Symbol" w:ascii="Symbol" w:hAnsi="Symbol"/>
        </w:rPr>
        <w:sym w:font="Symbol" w:char="be"/>
      </w:r>
      <w:r>
        <w:rPr/>
        <w:t xml:space="preserve"> up about one million barrels per day versus 1998.  Before anyone sends out for champagne and party favors, the IEA’s latest forecast represents a </w:t>
      </w:r>
      <w:r>
        <w:rPr>
          <w:i/>
          <w:iCs/>
        </w:rPr>
        <w:t>downward revision of 400,000 barrels per day</w:t>
      </w:r>
      <w:r>
        <w:rPr/>
        <w:t xml:space="preserve"> </w:t>
      </w:r>
      <w:r>
        <w:rPr>
          <w:i/>
          <w:iCs/>
        </w:rPr>
        <w:t>from earlier projections</w:t>
      </w:r>
      <w:r>
        <w:rPr/>
        <w:t>.  In marking down global demand, the IEA cited concerns about the near term economic prospects of Latin America, particularly in light of deteriorating conditions in Brazil.  Roughly two-thirds of the IEA’s forecast global  demand growth in 1999 is expected to be in OECD member countries, and approximately sixty-two percent of total 1999 demand growth is concentrated in OECD member countries in North America and Europe.</w:t>
      </w:r>
    </w:p>
    <w:p>
      <w:pPr>
        <w:pStyle w:val="Normal"/>
        <w:rPr/>
      </w:pPr>
      <w:r>
        <w:rPr/>
      </w:r>
    </w:p>
    <w:p>
      <w:pPr>
        <w:pStyle w:val="Normal"/>
        <w:rPr/>
      </w:pPr>
      <w:r>
        <w:rPr/>
        <w:t>Despite signs of stabilization appearing in some Asian countries, the IEA voiced concerns about the strength of both the Chinese and Indian economies.  No significant GDP growth in Asia, as a whole, is expected before the year 2000.</w:t>
      </w:r>
    </w:p>
    <w:p>
      <w:pPr>
        <w:pStyle w:val="Normal"/>
        <w:rPr/>
      </w:pPr>
      <w:r>
        <w:rPr/>
      </w:r>
    </w:p>
    <w:p>
      <w:pPr>
        <w:pStyle w:val="Normal"/>
        <w:rPr/>
      </w:pPr>
      <w:r>
        <w:rPr/>
        <w:t xml:space="preserve">The IEA report contends there is greater probability its subsequent 1999 world demand estimates will be revised down than revised up.  The key reason for this conclusion is concern that a further deterioration in the economic climate in Latin America and Asia </w:t>
      </w:r>
    </w:p>
    <w:p>
      <w:pPr>
        <w:pStyle w:val="Normal"/>
        <w:rPr/>
      </w:pPr>
      <w:r>
        <w:rPr/>
        <w:t>could affect demand in North America and Europe negatively.</w:t>
      </w:r>
    </w:p>
    <w:p>
      <w:pPr>
        <w:pStyle w:val="Normal"/>
        <w:rPr/>
      </w:pPr>
      <w:r>
        <w:rPr/>
      </w:r>
    </w:p>
    <w:p>
      <w:pPr>
        <w:pStyle w:val="Normal"/>
        <w:rPr/>
      </w:pPr>
      <w:r>
        <w:rPr/>
        <w:t xml:space="preserve">The IEA reckons total non-OPEC supply will edge up approximately 200,000 barrels per day </w:t>
      </w:r>
      <w:r>
        <w:rPr>
          <w:rFonts w:eastAsia="Symbol" w:cs="Symbol" w:ascii="Symbol" w:hAnsi="Symbol"/>
        </w:rPr>
        <w:sym w:font="Symbol" w:char="be"/>
      </w:r>
      <w:r>
        <w:rPr/>
        <w:t xml:space="preserve"> from 44.6 million barrels per day in 1998 to 44.8 million barrels per day in 1999.  In part, low oil prices are expected to damp any large increases in non-OPEC supply this year.  The IEA’s estimate of call on OPEC crude</w:t>
      </w:r>
      <w:r>
        <w:rPr>
          <w:u w:val="single"/>
        </w:rPr>
        <w:t xml:space="preserve"> plus stock change</w:t>
      </w:r>
      <w:r>
        <w:rPr/>
        <w:t xml:space="preserve"> to meet projected 1999 world  demand is 26.9 million barrels per day.  </w:t>
      </w:r>
    </w:p>
    <w:p>
      <w:pPr>
        <w:pStyle w:val="Normal"/>
        <w:rPr/>
      </w:pPr>
      <w:r>
        <w:rPr/>
      </w:r>
    </w:p>
    <w:p>
      <w:pPr>
        <w:pStyle w:val="Normal"/>
        <w:rPr/>
      </w:pPr>
      <w:r>
        <w:rPr/>
        <w:t>The IEA’s 1999 supply/demand numbers, taken at face value, do not bode well for oil prices.  OPEC-10 (OPEC excluding Iraq) crude output in January 1999 was estimated at approximately 25.1 million barrels per day.  Iraqi production in January was estimated to have been about 2.6 million barrels per day.  Assuming January 1999 output by OPEC-10 and Iraq can be extrapolated for the balance of this year, OPEC (OPEC-10 plus Iraq) production would exceed the IEA’s estimated call on OPEC crude plus stock change by 800,000 barrels per day.</w:t>
      </w:r>
    </w:p>
    <w:p>
      <w:pPr>
        <w:pStyle w:val="Normal"/>
        <w:rPr/>
      </w:pPr>
      <w:r>
        <w:rPr/>
      </w:r>
    </w:p>
    <w:p>
      <w:pPr>
        <w:pStyle w:val="Normal"/>
        <w:rPr/>
      </w:pPr>
      <w:r>
        <w:rPr/>
        <w:t xml:space="preserve">Arguably, extrapolating January 1999 OPEC crude production for the entire year is unfairly penalizing the supply situation, and, therefore, the outlook for prices.  If OPEC-10 were in one hundred percent output reduction compliance with existing production reduction programs, crude production from this group would average 24.387 million barrels per day.  Absent the supply of spare parts to upgrade its production facilities, experts believe Iraq’s sustainable production capacity will not average much more than 2.5 million barrels per day this year. (Upgrades to Iraq’s production facilities are not likely to impact Iraqi production until March 2000, according to sources at the United Nations.)  </w:t>
      </w:r>
    </w:p>
    <w:p>
      <w:pPr>
        <w:pStyle w:val="Normal"/>
        <w:rPr/>
      </w:pPr>
      <w:r>
        <w:rPr/>
      </w:r>
    </w:p>
    <w:p>
      <w:pPr>
        <w:pStyle w:val="Normal"/>
        <w:rPr/>
      </w:pPr>
      <w:r>
        <w:rPr/>
        <w:t>A case could be made that OPEC’s total production in 1999, based on one hundred percent compliance by OPEC-10 with output reduction programs now in place, could average about 26.887 million barrels per day.  Coincidentally, this approximates the IEA’s recent estimate of call on OPEC crude</w:t>
      </w:r>
      <w:r>
        <w:rPr>
          <w:u w:val="single"/>
        </w:rPr>
        <w:t xml:space="preserve"> plus stock change</w:t>
      </w:r>
      <w:r>
        <w:rPr/>
        <w:t xml:space="preserve"> for 1999.  Assuming the IEA’s recent demand estimates are valid, stock change in 1999 would be negligible, even in an optimized base case.</w:t>
      </w:r>
    </w:p>
    <w:p>
      <w:pPr>
        <w:pStyle w:val="Normal"/>
        <w:rPr/>
      </w:pPr>
      <w:r>
        <w:rPr/>
      </w:r>
    </w:p>
    <w:p>
      <w:pPr>
        <w:pStyle w:val="Normal"/>
        <w:ind w:end="-180"/>
        <w:rPr/>
      </w:pPr>
      <w:r>
        <w:rPr/>
        <w:t>Earlier this year Saudi Arabian Oil Minister Ali al-Naimi, responding to a question about world oil supplies, reportedly said “There is confusion as to what is excess.  There is excess inventory levels, but not excess supply.”  Mr. al-Naimi’s statement came following two months (November and December 1998) when global oil demand increased, albeit, in part, due to seasonal factors, and when this demand increase translated into sizable declines in  global commercial oil stocks.  Total commercial oil stocks fell roughly 28 million barrels between end-October 1998 and end-November 1998 and another 34 million barrels between end-November 1998 and end-December 1998.</w:t>
      </w:r>
    </w:p>
    <w:p>
      <w:pPr>
        <w:pStyle w:val="Normal"/>
        <w:rPr/>
      </w:pPr>
      <w:r>
        <w:rPr/>
      </w:r>
    </w:p>
    <w:p>
      <w:pPr>
        <w:pStyle w:val="Normal"/>
        <w:rPr/>
      </w:pPr>
      <w:r>
        <w:rPr/>
        <w:t>Mr. al-Naimi has now had reason to pause and reflect on his statement in light of more recent findings.  Global demand in January 1999 reportedly fell approximately 2.6 million barrels per day versus December 1998.  January 1999 demand has been estimated as 74.3 million barrels per day versus December 1998 demand of 76.9 million barrels per day.  With global supplies little changed between the two months, global commercial oil stocks rose by an estimated eighty million barrels between end-December and end-January.  The increase in global demand during the latter part of fourth quarter 1998 obscured OPEC-10’s “overproduction” (OPEC-10 compliance with its output reduction target levels has hovered around 75 percent for the past several months) and Iraq’s rising production and exports.  In January 1999, the issue of supply appears to have become more relevant to oil producers.</w:t>
      </w:r>
    </w:p>
    <w:p>
      <w:pPr>
        <w:pStyle w:val="Normal"/>
        <w:rPr/>
      </w:pPr>
      <w:r>
        <w:rPr/>
      </w:r>
    </w:p>
    <w:p>
      <w:pPr>
        <w:pStyle w:val="Normal"/>
        <w:rPr/>
      </w:pPr>
      <w:r>
        <w:rPr/>
        <w:t xml:space="preserve">Preliminary data suggest global demand in February 1999 may be below levels in the same period a year ago.    </w:t>
      </w:r>
    </w:p>
    <w:p>
      <w:pPr>
        <w:pStyle w:val="Normal"/>
        <w:rPr/>
      </w:pPr>
      <w:r>
        <w:rPr/>
      </w:r>
    </w:p>
    <w:p>
      <w:pPr>
        <w:pStyle w:val="Normal"/>
        <w:rPr/>
      </w:pPr>
      <w:r>
        <w:rPr/>
        <w:t xml:space="preserve">Mr. al-Naimi, and other OPEC-10 oil ministers seem to be more concerned about the non-compliance of OPEC-10 members in meeting their output reduction targets, given the disturbing stockbuild in January and potentially weak demand in February.  If, as the IEA has suggested, demand estimate revisions are likely to be on the downside rather than the upside due to deteriorating economic conditions, there could well be decreases, not increases, in oil prices this year without: (i) full OPEC-10 compliance with the 1998 output reduction production programs currently in place, and (ii) a new round of OPEC/non-OPEC (NOPEC) production cuts.  </w:t>
      </w:r>
    </w:p>
    <w:p>
      <w:pPr>
        <w:pStyle w:val="Normal"/>
        <w:rPr/>
      </w:pPr>
      <w:r>
        <w:rPr/>
      </w:r>
    </w:p>
    <w:p>
      <w:pPr>
        <w:pStyle w:val="Normal"/>
        <w:rPr/>
      </w:pPr>
      <w:r>
        <w:rPr/>
        <w:t xml:space="preserve">On March 23 OPEC oil ministers will hold their first formal meeting of 1999.  This meeting provides a platform to redress existing policies and programs and establish new ones.  Much, however, depends on the concern, and resolve, of the participants.  </w:t>
      </w:r>
    </w:p>
    <w:p>
      <w:pPr>
        <w:pStyle w:val="Normal"/>
        <w:rPr/>
      </w:pPr>
      <w:r>
        <w:rPr/>
      </w:r>
    </w:p>
    <w:p>
      <w:pPr>
        <w:pStyle w:val="Normal"/>
        <w:rPr/>
      </w:pPr>
      <w:r>
        <w:rPr/>
        <w:t xml:space="preserve">There are indications that the concern level of several OPEC-10 oil members has risen, not least of all that of Saudi Arabia.  Saudi Arabia’s oil minister  traveled to Caracas at the beginning of February to attend the inauguration of newly-elected Venezuelan president, Hugo Chavez.  Reportedly, Mr. al-Naimi met with President Chavez, Venezuela’s new oil minister Ali Rodriguez, and outgoing Venezuelan oil minister, Erwin Arrieta.  Following his meetings with Mr. al-Naimi, Mr. Rodriguez announced Venezuela would comply with its OPEC-10 crude output reduction pledge in February or March.  </w:t>
      </w:r>
    </w:p>
    <w:p>
      <w:pPr>
        <w:pStyle w:val="Normal"/>
        <w:rPr/>
      </w:pPr>
      <w:r>
        <w:rPr/>
      </w:r>
    </w:p>
    <w:p>
      <w:pPr>
        <w:pStyle w:val="Normal"/>
        <w:rPr/>
      </w:pPr>
      <w:r>
        <w:rPr/>
        <w:t xml:space="preserve">Venezuela did not meet its output reduction targets in 1998.  In January 1999 Venezuela reportedly produced about 2.95 million barrels per day of crude oil </w:t>
      </w:r>
      <w:r>
        <w:rPr>
          <w:rFonts w:eastAsia="Symbol" w:cs="Symbol" w:ascii="Symbol" w:hAnsi="Symbol"/>
        </w:rPr>
        <w:sym w:font="Symbol" w:char="be"/>
      </w:r>
      <w:r>
        <w:rPr/>
        <w:t xml:space="preserve"> approximately 105,000 barrels per day above its OPEC-10 quota, but a substantial positive change from December 1998 when it produced 3.2 million barrels per day.</w:t>
      </w:r>
    </w:p>
    <w:p>
      <w:pPr>
        <w:pStyle w:val="Normal"/>
        <w:rPr/>
      </w:pPr>
      <w:r>
        <w:rPr/>
      </w:r>
    </w:p>
    <w:p>
      <w:pPr>
        <w:pStyle w:val="Normal"/>
        <w:rPr/>
      </w:pPr>
      <w:r>
        <w:rPr/>
        <w:t xml:space="preserve">In addition to politicking with Venezuela, Saudi Arabian officials are indicating they may be more flexible on the issue of Iran’s baseline production.  The Iranian baseline issue has been a cause of friction between Iran and other OPEC-10 members </w:t>
      </w:r>
      <w:r>
        <w:rPr>
          <w:rFonts w:eastAsia="Symbol" w:cs="Symbol" w:ascii="Symbol" w:hAnsi="Symbol"/>
        </w:rPr>
        <w:sym w:font="Symbol" w:char="be"/>
      </w:r>
      <w:r>
        <w:rPr/>
        <w:t xml:space="preserve"> particularly Saudi Arabia (see </w:t>
      </w:r>
      <w:r>
        <w:rPr>
          <w:i/>
          <w:iCs/>
        </w:rPr>
        <w:t>Fuel Oil in World Markets</w:t>
      </w:r>
      <w:r>
        <w:rPr/>
        <w:t>, November 1998, p. 14).  Iran’s foreign Minister Kamal Kharrazzi is scheduled to travel to Saudi Arabia in early-March.  Mr. Kharazzi is expected to be accompanied by Hussein Kazempour Ardebili, senior advisor to Iranian Oil Minister Bijan Zanganeh, on his trip to Saudi Arabia.  There is considerable speculation that Saudi Arabia and Iran could make progress in resolving the Iranian baseline issue during the visit of Messrs. Kharazzi and Ardebili to Riyadh.</w:t>
      </w:r>
    </w:p>
    <w:p>
      <w:pPr>
        <w:pStyle w:val="Normal"/>
        <w:rPr/>
      </w:pPr>
      <w:r>
        <w:rPr/>
      </w:r>
    </w:p>
    <w:p>
      <w:pPr>
        <w:pStyle w:val="Normal"/>
        <w:rPr/>
      </w:pPr>
      <w:r>
        <w:rPr/>
        <w:t xml:space="preserve">Saudi Arabia has made it clear on more than one occasion it would not use its political weight to secure new cartel production cuts without full compliance with previous pacts.  Some marketwatchers point to OPEC’s November 1998 meeting as a case in point </w:t>
      </w:r>
      <w:r>
        <w:rPr>
          <w:rFonts w:eastAsia="Symbol" w:cs="Symbol" w:ascii="Symbol" w:hAnsi="Symbol"/>
        </w:rPr>
        <w:sym w:font="Symbol" w:char="be"/>
      </w:r>
      <w:r>
        <w:rPr/>
        <w:t xml:space="preserve"> contending the meeting came to naught because of Saudi Arabia’s dissatisfaction with the oil policies of Iran and Venezuela.  Venezuela’s promise to meet its output reduction pledge and a resolution of the Iranian baseline issue could provide Saudi Arabia with the basis to take a lead role in securing a new round of output cuts at the March 23 meeting.</w:t>
      </w:r>
    </w:p>
    <w:p>
      <w:pPr>
        <w:pStyle w:val="Normal"/>
        <w:rPr/>
      </w:pPr>
      <w:r>
        <w:rPr/>
      </w:r>
    </w:p>
    <w:p>
      <w:pPr>
        <w:pStyle w:val="Normal"/>
        <w:rPr/>
      </w:pPr>
      <w:r>
        <w:rPr/>
        <w:t xml:space="preserve">Further motivation for Saudi Arabia to use its political muscle to reduce OPEC-10 oil output </w:t>
      </w:r>
      <w:r>
        <w:rPr>
          <w:rFonts w:eastAsia="Symbol" w:cs="Symbol" w:ascii="Symbol" w:hAnsi="Symbol"/>
        </w:rPr>
        <w:sym w:font="Symbol" w:char="be"/>
      </w:r>
      <w:r>
        <w:rPr/>
        <w:t xml:space="preserve"> and accelerate a rise in oil prices </w:t>
      </w:r>
      <w:r>
        <w:rPr>
          <w:rFonts w:eastAsia="Symbol" w:cs="Symbol" w:ascii="Symbol" w:hAnsi="Symbol"/>
        </w:rPr>
        <w:sym w:font="Symbol" w:char="be"/>
      </w:r>
      <w:r>
        <w:rPr/>
        <w:t xml:space="preserve"> comes in the form of the country’s financial situation.  Saudi Arabia’s budget deficit has risen from roughly 1.5 billion dollars in 1997 to over 12 billion dollars in 1998, largely due to an almost forty percent decrease in oil prices between 1997 and 1998.  Oil revenue accounts for an estimated seventy percent of total government revenue. Reports peg Saudi Arabia’s current budget deficit equal to more than ten percent of the country’s gross domestic product.  Some analysts fear the country may be forced to devalue its currency, the riyal, relative to the US dollar as a result of the country’s strained financial condition.  Reports from the official Saudi Press Agency have been that the Saudi Arabian Monetary Authority has no plans to devalue the riyal.</w:t>
      </w:r>
    </w:p>
    <w:p>
      <w:pPr>
        <w:pStyle w:val="Normal"/>
        <w:rPr/>
      </w:pPr>
      <w:r>
        <w:rPr/>
      </w:r>
    </w:p>
    <w:p>
      <w:pPr>
        <w:pStyle w:val="Normal"/>
        <w:rPr/>
      </w:pPr>
      <w:r>
        <w:rPr/>
        <w:t xml:space="preserve">Whether another round of production cuts can actually be affected is another matter.  Notwithstanding its intention to meet its current output reduction commitment, Venezuelan officials have indicated the South American nation is not willing to cut its oil production further even if other OPEC/NOPEC countries agree on more output reductions.  Venezuelan officials contend that the output reduction plans already in place call for Venezuela to reduce output by fifteen percent from its individual production baseline.  This is a far larger percentage reduction than has been applied to any other OPEC-10 country.  </w:t>
      </w:r>
    </w:p>
    <w:p>
      <w:pPr>
        <w:pStyle w:val="Normal"/>
        <w:rPr/>
      </w:pPr>
      <w:r>
        <w:rPr/>
      </w:r>
    </w:p>
    <w:p>
      <w:pPr>
        <w:pStyle w:val="Normal"/>
        <w:rPr/>
      </w:pPr>
      <w:r>
        <w:rPr/>
        <w:t>Ostensibly Venezuela would only entertain additional output cuts of its own if other OPEC-10 members agreed to match its percentage reduction.  If other OPEC-10 members matched Venezuela’s fifteen percent cut, roughly 1.1 million barrels per day of supply would be removed from the market.</w:t>
      </w:r>
    </w:p>
    <w:p>
      <w:pPr>
        <w:pStyle w:val="Normal"/>
        <w:rPr/>
      </w:pPr>
      <w:r>
        <w:rPr/>
      </w:r>
    </w:p>
    <w:p>
      <w:pPr>
        <w:pStyle w:val="Normal"/>
        <w:rPr/>
      </w:pPr>
      <w:r>
        <w:rPr/>
        <w:t xml:space="preserve">When the OPEC ministers sit down on March 23, the devil will be in the details.  If Venezuela does not agree to any further output reductions we are skeptical whether the other nine members of the OPEC-10 will have an easy time parceling out further individual country output cuts. </w:t>
      </w:r>
    </w:p>
    <w:p>
      <w:pPr>
        <w:pStyle w:val="Normal"/>
        <w:rPr/>
      </w:pPr>
      <w:r>
        <w:rPr/>
      </w:r>
    </w:p>
    <w:p>
      <w:pPr>
        <w:pStyle w:val="Normal"/>
        <w:rPr/>
      </w:pPr>
      <w:r>
        <w:rPr/>
        <w:t>Something is up, however.  We have become more constructive on prices, but until getting a better idea of how things are likely to play out, we are not ready to propose Brent at US$15 per barrel in 1999.  OPEC has had a history of disappointing.</w:t>
      </w:r>
    </w:p>
    <w:p>
      <w:pPr>
        <w:pStyle w:val="Heading3"/>
        <w:ind w:hanging="0" w:start="0"/>
        <w:rPr/>
      </w:pPr>
      <w:r>
        <w:rPr/>
        <w:t>Fuel Oil Relationships to Crude</w:t>
      </w:r>
    </w:p>
    <w:p>
      <w:pPr>
        <w:pStyle w:val="Normal"/>
        <w:rPr/>
      </w:pPr>
      <w:r>
        <w:rPr/>
        <w:t>Average monthly prices for low- and high-sulfur residual fuel oils in all key international market centers rose between December 1998 and January 1999.</w:t>
      </w:r>
    </w:p>
    <w:p>
      <w:pPr>
        <w:pStyle w:val="Normal"/>
        <w:rPr/>
      </w:pPr>
      <w:r>
        <w:rPr/>
      </w:r>
    </w:p>
    <w:p>
      <w:pPr>
        <w:pStyle w:val="Normal"/>
        <w:keepNext w:val="true"/>
        <w:tabs>
          <w:tab w:val="clear" w:pos="720"/>
          <w:tab w:val="center" w:pos="6390" w:leader="none"/>
        </w:tabs>
        <w:rPr>
          <w:sz w:val="20"/>
          <w:szCs w:val="20"/>
        </w:rPr>
      </w:pPr>
      <w:r>
        <w:rPr>
          <w:sz w:val="20"/>
          <w:szCs w:val="20"/>
        </w:rPr>
        <w:tab/>
      </w:r>
      <w:r>
        <w:rPr>
          <w:sz w:val="20"/>
          <w:szCs w:val="20"/>
          <w:u w:val="single"/>
        </w:rPr>
        <w:t>Monthly Average Price, US$/Bbl</w:t>
      </w:r>
      <w:r>
        <w:rPr>
          <w:b/>
          <w:bCs/>
          <w:sz w:val="20"/>
          <w:szCs w:val="20"/>
        </w:rPr>
        <w:t>*</w:t>
      </w:r>
    </w:p>
    <w:tbl>
      <w:tblPr>
        <w:tblW w:w="7497" w:type="dxa"/>
        <w:jc w:val="center"/>
        <w:tblInd w:w="0" w:type="dxa"/>
        <w:tblLayout w:type="fixed"/>
        <w:tblCellMar>
          <w:top w:w="0" w:type="dxa"/>
          <w:start w:w="108" w:type="dxa"/>
          <w:bottom w:w="0" w:type="dxa"/>
          <w:end w:w="108" w:type="dxa"/>
        </w:tblCellMar>
      </w:tblPr>
      <w:tblGrid>
        <w:gridCol w:w="1458"/>
        <w:gridCol w:w="1980"/>
        <w:gridCol w:w="2070"/>
        <w:gridCol w:w="1989"/>
      </w:tblGrid>
      <w:tr>
        <w:trPr/>
        <w:tc>
          <w:tcPr>
            <w:tcW w:w="1458" w:type="dxa"/>
            <w:tcBorders/>
          </w:tcPr>
          <w:p>
            <w:pPr>
              <w:pStyle w:val="Normal"/>
              <w:keepNext w:val="true"/>
              <w:rPr>
                <w:sz w:val="20"/>
                <w:szCs w:val="20"/>
                <w:u w:val="single"/>
              </w:rPr>
            </w:pPr>
            <w:r>
              <w:rPr>
                <w:sz w:val="20"/>
                <w:szCs w:val="20"/>
                <w:u w:val="single"/>
              </w:rPr>
              <w:t>Location</w:t>
            </w:r>
          </w:p>
        </w:tc>
        <w:tc>
          <w:tcPr>
            <w:tcW w:w="1980" w:type="dxa"/>
            <w:tcBorders/>
          </w:tcPr>
          <w:p>
            <w:pPr>
              <w:pStyle w:val="Normal"/>
              <w:keepNext w:val="true"/>
              <w:rPr>
                <w:sz w:val="20"/>
                <w:szCs w:val="20"/>
                <w:u w:val="single"/>
              </w:rPr>
            </w:pPr>
            <w:r>
              <w:rPr>
                <w:sz w:val="20"/>
                <w:szCs w:val="20"/>
                <w:u w:val="single"/>
              </w:rPr>
              <w:t>Grade</w:t>
            </w:r>
          </w:p>
        </w:tc>
        <w:tc>
          <w:tcPr>
            <w:tcW w:w="2070" w:type="dxa"/>
            <w:tcBorders/>
          </w:tcPr>
          <w:p>
            <w:pPr>
              <w:pStyle w:val="Normal"/>
              <w:keepNext w:val="true"/>
              <w:jc w:val="center"/>
              <w:rPr>
                <w:sz w:val="20"/>
                <w:szCs w:val="20"/>
                <w:u w:val="single"/>
              </w:rPr>
            </w:pPr>
            <w:r>
              <w:rPr>
                <w:sz w:val="20"/>
                <w:szCs w:val="20"/>
                <w:u w:val="single"/>
              </w:rPr>
              <w:t>December 1998</w:t>
            </w:r>
          </w:p>
        </w:tc>
        <w:tc>
          <w:tcPr>
            <w:tcW w:w="1989" w:type="dxa"/>
            <w:tcBorders/>
          </w:tcPr>
          <w:p>
            <w:pPr>
              <w:pStyle w:val="Normal"/>
              <w:keepNext w:val="true"/>
              <w:jc w:val="center"/>
              <w:rPr>
                <w:sz w:val="20"/>
                <w:szCs w:val="20"/>
              </w:rPr>
            </w:pPr>
            <w:r>
              <w:rPr>
                <w:sz w:val="20"/>
                <w:szCs w:val="20"/>
                <w:u w:val="single"/>
              </w:rPr>
              <w:t>January 1999</w:t>
            </w:r>
          </w:p>
        </w:tc>
      </w:tr>
      <w:tr>
        <w:trPr/>
        <w:tc>
          <w:tcPr>
            <w:tcW w:w="1458" w:type="dxa"/>
            <w:tcBorders/>
          </w:tcPr>
          <w:p>
            <w:pPr>
              <w:pStyle w:val="Normal"/>
              <w:keepNext w:val="true"/>
              <w:rPr>
                <w:sz w:val="20"/>
                <w:szCs w:val="20"/>
              </w:rPr>
            </w:pPr>
            <w:r>
              <w:rPr>
                <w:sz w:val="20"/>
                <w:szCs w:val="20"/>
              </w:rPr>
              <w:t>NYH</w:t>
            </w:r>
          </w:p>
        </w:tc>
        <w:tc>
          <w:tcPr>
            <w:tcW w:w="1980" w:type="dxa"/>
            <w:tcBorders/>
          </w:tcPr>
          <w:p>
            <w:pPr>
              <w:pStyle w:val="Normal"/>
              <w:keepNext w:val="true"/>
              <w:rPr>
                <w:sz w:val="20"/>
                <w:szCs w:val="20"/>
              </w:rPr>
            </w:pPr>
            <w:r>
              <w:rPr>
                <w:sz w:val="20"/>
                <w:szCs w:val="20"/>
              </w:rPr>
              <w:t xml:space="preserve">LSFO-0.3%S  </w:t>
            </w:r>
          </w:p>
        </w:tc>
        <w:tc>
          <w:tcPr>
            <w:tcW w:w="2070" w:type="dxa"/>
            <w:tcBorders/>
          </w:tcPr>
          <w:p>
            <w:pPr>
              <w:pStyle w:val="Normal"/>
              <w:keepNext w:val="true"/>
              <w:tabs>
                <w:tab w:val="clear" w:pos="720"/>
                <w:tab w:val="decimal" w:pos="918" w:leader="none"/>
              </w:tabs>
              <w:rPr>
                <w:sz w:val="20"/>
                <w:szCs w:val="20"/>
              </w:rPr>
            </w:pPr>
            <w:r>
              <w:rPr>
                <w:sz w:val="20"/>
                <w:szCs w:val="20"/>
              </w:rPr>
              <w:t>11.12</w:t>
            </w:r>
          </w:p>
        </w:tc>
        <w:tc>
          <w:tcPr>
            <w:tcW w:w="1989" w:type="dxa"/>
            <w:tcBorders/>
          </w:tcPr>
          <w:p>
            <w:pPr>
              <w:pStyle w:val="Normal"/>
              <w:keepNext w:val="true"/>
              <w:tabs>
                <w:tab w:val="clear" w:pos="720"/>
                <w:tab w:val="decimal" w:pos="828" w:leader="none"/>
              </w:tabs>
              <w:rPr>
                <w:sz w:val="20"/>
                <w:szCs w:val="20"/>
              </w:rPr>
            </w:pPr>
            <w:r>
              <w:rPr>
                <w:sz w:val="20"/>
                <w:szCs w:val="20"/>
              </w:rPr>
              <w:t>11.86</w:t>
            </w:r>
          </w:p>
        </w:tc>
      </w:tr>
      <w:tr>
        <w:trPr/>
        <w:tc>
          <w:tcPr>
            <w:tcW w:w="1458" w:type="dxa"/>
            <w:tcBorders/>
          </w:tcPr>
          <w:p>
            <w:pPr>
              <w:pStyle w:val="Normal"/>
              <w:keepNext w:val="true"/>
              <w:rPr>
                <w:sz w:val="20"/>
                <w:szCs w:val="20"/>
              </w:rPr>
            </w:pPr>
            <w:r>
              <w:rPr>
                <w:sz w:val="20"/>
                <w:szCs w:val="20"/>
              </w:rPr>
              <w:t xml:space="preserve">NYH </w:t>
            </w:r>
          </w:p>
        </w:tc>
        <w:tc>
          <w:tcPr>
            <w:tcW w:w="1980" w:type="dxa"/>
            <w:tcBorders/>
          </w:tcPr>
          <w:p>
            <w:pPr>
              <w:pStyle w:val="Normal"/>
              <w:keepNext w:val="true"/>
              <w:rPr>
                <w:sz w:val="20"/>
                <w:szCs w:val="20"/>
              </w:rPr>
            </w:pPr>
            <w:r>
              <w:rPr>
                <w:sz w:val="20"/>
                <w:szCs w:val="20"/>
              </w:rPr>
              <w:t xml:space="preserve">LSFO-1.0%S   </w:t>
            </w:r>
          </w:p>
        </w:tc>
        <w:tc>
          <w:tcPr>
            <w:tcW w:w="2070" w:type="dxa"/>
            <w:tcBorders/>
          </w:tcPr>
          <w:p>
            <w:pPr>
              <w:pStyle w:val="Normal"/>
              <w:keepNext w:val="true"/>
              <w:tabs>
                <w:tab w:val="clear" w:pos="720"/>
                <w:tab w:val="decimal" w:pos="918" w:leader="none"/>
              </w:tabs>
              <w:rPr>
                <w:sz w:val="20"/>
                <w:szCs w:val="20"/>
              </w:rPr>
            </w:pPr>
            <w:r>
              <w:rPr>
                <w:sz w:val="20"/>
                <w:szCs w:val="20"/>
              </w:rPr>
              <w:t>10.09</w:t>
            </w:r>
          </w:p>
        </w:tc>
        <w:tc>
          <w:tcPr>
            <w:tcW w:w="1989" w:type="dxa"/>
            <w:tcBorders/>
          </w:tcPr>
          <w:p>
            <w:pPr>
              <w:pStyle w:val="Normal"/>
              <w:keepNext w:val="true"/>
              <w:tabs>
                <w:tab w:val="clear" w:pos="720"/>
                <w:tab w:val="decimal" w:pos="828" w:leader="none"/>
              </w:tabs>
              <w:rPr>
                <w:sz w:val="20"/>
                <w:szCs w:val="20"/>
              </w:rPr>
            </w:pPr>
            <w:r>
              <w:rPr>
                <w:sz w:val="20"/>
                <w:szCs w:val="20"/>
              </w:rPr>
              <w:t>10.98</w:t>
            </w:r>
          </w:p>
        </w:tc>
      </w:tr>
      <w:tr>
        <w:trPr/>
        <w:tc>
          <w:tcPr>
            <w:tcW w:w="1458" w:type="dxa"/>
            <w:tcBorders/>
          </w:tcPr>
          <w:p>
            <w:pPr>
              <w:pStyle w:val="Normal"/>
              <w:keepNext w:val="true"/>
              <w:rPr>
                <w:sz w:val="20"/>
                <w:szCs w:val="20"/>
              </w:rPr>
            </w:pPr>
            <w:r>
              <w:rPr>
                <w:sz w:val="20"/>
                <w:szCs w:val="20"/>
              </w:rPr>
              <w:t xml:space="preserve">NYH </w:t>
            </w:r>
          </w:p>
        </w:tc>
        <w:tc>
          <w:tcPr>
            <w:tcW w:w="1980" w:type="dxa"/>
            <w:tcBorders/>
          </w:tcPr>
          <w:p>
            <w:pPr>
              <w:pStyle w:val="Normal"/>
              <w:keepNext w:val="true"/>
              <w:rPr>
                <w:sz w:val="20"/>
                <w:szCs w:val="20"/>
              </w:rPr>
            </w:pPr>
            <w:r>
              <w:rPr>
                <w:sz w:val="20"/>
                <w:szCs w:val="20"/>
              </w:rPr>
              <w:t xml:space="preserve">HSFO </w:t>
            </w:r>
          </w:p>
        </w:tc>
        <w:tc>
          <w:tcPr>
            <w:tcW w:w="2070" w:type="dxa"/>
            <w:tcBorders/>
          </w:tcPr>
          <w:p>
            <w:pPr>
              <w:pStyle w:val="Normal"/>
              <w:keepNext w:val="true"/>
              <w:tabs>
                <w:tab w:val="clear" w:pos="720"/>
                <w:tab w:val="decimal" w:pos="918" w:leader="none"/>
              </w:tabs>
              <w:rPr>
                <w:sz w:val="20"/>
                <w:szCs w:val="20"/>
              </w:rPr>
            </w:pPr>
            <w:r>
              <w:rPr>
                <w:sz w:val="20"/>
                <w:szCs w:val="20"/>
              </w:rPr>
              <w:t xml:space="preserve">7.39 </w:t>
            </w:r>
          </w:p>
        </w:tc>
        <w:tc>
          <w:tcPr>
            <w:tcW w:w="1989" w:type="dxa"/>
            <w:tcBorders/>
          </w:tcPr>
          <w:p>
            <w:pPr>
              <w:pStyle w:val="Normal"/>
              <w:keepNext w:val="true"/>
              <w:tabs>
                <w:tab w:val="clear" w:pos="720"/>
                <w:tab w:val="decimal" w:pos="828" w:leader="none"/>
              </w:tabs>
              <w:rPr>
                <w:sz w:val="20"/>
                <w:szCs w:val="20"/>
              </w:rPr>
            </w:pPr>
            <w:r>
              <w:rPr>
                <w:sz w:val="20"/>
                <w:szCs w:val="20"/>
              </w:rPr>
              <w:t>9.05</w:t>
            </w:r>
          </w:p>
        </w:tc>
      </w:tr>
      <w:tr>
        <w:trPr/>
        <w:tc>
          <w:tcPr>
            <w:tcW w:w="1458" w:type="dxa"/>
            <w:tcBorders/>
          </w:tcPr>
          <w:p>
            <w:pPr>
              <w:pStyle w:val="Normal"/>
              <w:keepNext w:val="true"/>
              <w:rPr>
                <w:sz w:val="20"/>
                <w:szCs w:val="20"/>
              </w:rPr>
            </w:pPr>
            <w:r>
              <w:rPr>
                <w:sz w:val="20"/>
                <w:szCs w:val="20"/>
              </w:rPr>
              <w:t xml:space="preserve">NWE </w:t>
            </w:r>
          </w:p>
        </w:tc>
        <w:tc>
          <w:tcPr>
            <w:tcW w:w="1980" w:type="dxa"/>
            <w:tcBorders/>
          </w:tcPr>
          <w:p>
            <w:pPr>
              <w:pStyle w:val="Normal"/>
              <w:keepNext w:val="true"/>
              <w:rPr>
                <w:sz w:val="20"/>
                <w:szCs w:val="20"/>
              </w:rPr>
            </w:pPr>
            <w:r>
              <w:rPr>
                <w:sz w:val="20"/>
                <w:szCs w:val="20"/>
              </w:rPr>
              <w:t xml:space="preserve">LSFO </w:t>
            </w:r>
          </w:p>
        </w:tc>
        <w:tc>
          <w:tcPr>
            <w:tcW w:w="2070" w:type="dxa"/>
            <w:tcBorders/>
          </w:tcPr>
          <w:p>
            <w:pPr>
              <w:pStyle w:val="Normal"/>
              <w:keepNext w:val="true"/>
              <w:tabs>
                <w:tab w:val="clear" w:pos="720"/>
                <w:tab w:val="decimal" w:pos="918" w:leader="none"/>
              </w:tabs>
              <w:rPr>
                <w:sz w:val="20"/>
                <w:szCs w:val="20"/>
              </w:rPr>
            </w:pPr>
            <w:r>
              <w:rPr>
                <w:sz w:val="20"/>
                <w:szCs w:val="20"/>
              </w:rPr>
              <w:t>8.90</w:t>
            </w:r>
          </w:p>
        </w:tc>
        <w:tc>
          <w:tcPr>
            <w:tcW w:w="1989" w:type="dxa"/>
            <w:tcBorders/>
          </w:tcPr>
          <w:p>
            <w:pPr>
              <w:pStyle w:val="Normal"/>
              <w:keepNext w:val="true"/>
              <w:tabs>
                <w:tab w:val="clear" w:pos="720"/>
                <w:tab w:val="decimal" w:pos="828" w:leader="none"/>
              </w:tabs>
              <w:rPr>
                <w:sz w:val="20"/>
                <w:szCs w:val="20"/>
              </w:rPr>
            </w:pPr>
            <w:r>
              <w:rPr>
                <w:sz w:val="20"/>
                <w:szCs w:val="20"/>
              </w:rPr>
              <w:t>10.87</w:t>
            </w:r>
          </w:p>
        </w:tc>
      </w:tr>
      <w:tr>
        <w:trPr/>
        <w:tc>
          <w:tcPr>
            <w:tcW w:w="1458" w:type="dxa"/>
            <w:tcBorders/>
          </w:tcPr>
          <w:p>
            <w:pPr>
              <w:pStyle w:val="Normal"/>
              <w:keepNext w:val="true"/>
              <w:rPr>
                <w:sz w:val="20"/>
                <w:szCs w:val="20"/>
              </w:rPr>
            </w:pPr>
            <w:r>
              <w:rPr>
                <w:sz w:val="20"/>
                <w:szCs w:val="20"/>
              </w:rPr>
              <w:t xml:space="preserve">NWE  </w:t>
            </w:r>
          </w:p>
        </w:tc>
        <w:tc>
          <w:tcPr>
            <w:tcW w:w="1980" w:type="dxa"/>
            <w:tcBorders/>
          </w:tcPr>
          <w:p>
            <w:pPr>
              <w:pStyle w:val="Normal"/>
              <w:keepNext w:val="true"/>
              <w:rPr>
                <w:sz w:val="20"/>
                <w:szCs w:val="20"/>
              </w:rPr>
            </w:pPr>
            <w:r>
              <w:rPr>
                <w:sz w:val="20"/>
                <w:szCs w:val="20"/>
              </w:rPr>
              <w:t>HSFO</w:t>
            </w:r>
          </w:p>
        </w:tc>
        <w:tc>
          <w:tcPr>
            <w:tcW w:w="2070" w:type="dxa"/>
            <w:tcBorders/>
          </w:tcPr>
          <w:p>
            <w:pPr>
              <w:pStyle w:val="Normal"/>
              <w:keepNext w:val="true"/>
              <w:tabs>
                <w:tab w:val="clear" w:pos="720"/>
                <w:tab w:val="decimal" w:pos="918" w:leader="none"/>
              </w:tabs>
              <w:rPr>
                <w:sz w:val="20"/>
                <w:szCs w:val="20"/>
              </w:rPr>
            </w:pPr>
            <w:r>
              <w:rPr>
                <w:sz w:val="20"/>
                <w:szCs w:val="20"/>
              </w:rPr>
              <w:t xml:space="preserve">7.55 </w:t>
            </w:r>
          </w:p>
        </w:tc>
        <w:tc>
          <w:tcPr>
            <w:tcW w:w="1989" w:type="dxa"/>
            <w:tcBorders/>
          </w:tcPr>
          <w:p>
            <w:pPr>
              <w:pStyle w:val="Normal"/>
              <w:keepNext w:val="true"/>
              <w:tabs>
                <w:tab w:val="clear" w:pos="720"/>
                <w:tab w:val="decimal" w:pos="828" w:leader="none"/>
              </w:tabs>
              <w:rPr>
                <w:sz w:val="20"/>
                <w:szCs w:val="20"/>
              </w:rPr>
            </w:pPr>
            <w:r>
              <w:rPr>
                <w:sz w:val="20"/>
                <w:szCs w:val="20"/>
              </w:rPr>
              <w:t>8.83</w:t>
            </w:r>
          </w:p>
        </w:tc>
      </w:tr>
      <w:tr>
        <w:trPr/>
        <w:tc>
          <w:tcPr>
            <w:tcW w:w="1458" w:type="dxa"/>
            <w:tcBorders/>
          </w:tcPr>
          <w:p>
            <w:pPr>
              <w:pStyle w:val="Normal"/>
              <w:keepNext w:val="true"/>
              <w:rPr>
                <w:sz w:val="20"/>
                <w:szCs w:val="20"/>
              </w:rPr>
            </w:pPr>
            <w:r>
              <w:rPr>
                <w:sz w:val="20"/>
                <w:szCs w:val="20"/>
              </w:rPr>
              <w:t xml:space="preserve">Med </w:t>
            </w:r>
          </w:p>
        </w:tc>
        <w:tc>
          <w:tcPr>
            <w:tcW w:w="1980" w:type="dxa"/>
            <w:tcBorders/>
          </w:tcPr>
          <w:p>
            <w:pPr>
              <w:pStyle w:val="Normal"/>
              <w:keepNext w:val="true"/>
              <w:rPr>
                <w:sz w:val="20"/>
                <w:szCs w:val="20"/>
              </w:rPr>
            </w:pPr>
            <w:r>
              <w:rPr>
                <w:sz w:val="20"/>
                <w:szCs w:val="20"/>
              </w:rPr>
              <w:t xml:space="preserve">LSFO </w:t>
            </w:r>
          </w:p>
        </w:tc>
        <w:tc>
          <w:tcPr>
            <w:tcW w:w="2070" w:type="dxa"/>
            <w:tcBorders/>
          </w:tcPr>
          <w:p>
            <w:pPr>
              <w:pStyle w:val="Normal"/>
              <w:keepNext w:val="true"/>
              <w:tabs>
                <w:tab w:val="clear" w:pos="720"/>
                <w:tab w:val="decimal" w:pos="918" w:leader="none"/>
              </w:tabs>
              <w:rPr>
                <w:sz w:val="20"/>
                <w:szCs w:val="20"/>
              </w:rPr>
            </w:pPr>
            <w:r>
              <w:rPr>
                <w:sz w:val="20"/>
                <w:szCs w:val="20"/>
              </w:rPr>
              <w:t>8.98</w:t>
            </w:r>
          </w:p>
        </w:tc>
        <w:tc>
          <w:tcPr>
            <w:tcW w:w="1989" w:type="dxa"/>
            <w:tcBorders/>
          </w:tcPr>
          <w:p>
            <w:pPr>
              <w:pStyle w:val="Normal"/>
              <w:keepNext w:val="true"/>
              <w:tabs>
                <w:tab w:val="clear" w:pos="720"/>
                <w:tab w:val="decimal" w:pos="828" w:leader="none"/>
              </w:tabs>
              <w:rPr>
                <w:sz w:val="20"/>
                <w:szCs w:val="20"/>
              </w:rPr>
            </w:pPr>
            <w:r>
              <w:rPr>
                <w:sz w:val="20"/>
                <w:szCs w:val="20"/>
              </w:rPr>
              <w:t>11.14</w:t>
            </w:r>
          </w:p>
        </w:tc>
      </w:tr>
      <w:tr>
        <w:trPr/>
        <w:tc>
          <w:tcPr>
            <w:tcW w:w="1458" w:type="dxa"/>
            <w:tcBorders/>
          </w:tcPr>
          <w:p>
            <w:pPr>
              <w:pStyle w:val="Normal"/>
              <w:keepNext w:val="true"/>
              <w:rPr>
                <w:sz w:val="20"/>
                <w:szCs w:val="20"/>
              </w:rPr>
            </w:pPr>
            <w:r>
              <w:rPr>
                <w:sz w:val="20"/>
                <w:szCs w:val="20"/>
              </w:rPr>
              <w:t xml:space="preserve">Med </w:t>
            </w:r>
          </w:p>
        </w:tc>
        <w:tc>
          <w:tcPr>
            <w:tcW w:w="1980" w:type="dxa"/>
            <w:tcBorders/>
          </w:tcPr>
          <w:p>
            <w:pPr>
              <w:pStyle w:val="Normal"/>
              <w:keepNext w:val="true"/>
              <w:rPr>
                <w:sz w:val="20"/>
                <w:szCs w:val="20"/>
              </w:rPr>
            </w:pPr>
            <w:r>
              <w:rPr>
                <w:sz w:val="20"/>
                <w:szCs w:val="20"/>
              </w:rPr>
              <w:t>HSFO</w:t>
            </w:r>
          </w:p>
        </w:tc>
        <w:tc>
          <w:tcPr>
            <w:tcW w:w="2070" w:type="dxa"/>
            <w:tcBorders/>
          </w:tcPr>
          <w:p>
            <w:pPr>
              <w:pStyle w:val="Normal"/>
              <w:keepNext w:val="true"/>
              <w:tabs>
                <w:tab w:val="clear" w:pos="720"/>
                <w:tab w:val="decimal" w:pos="918" w:leader="none"/>
              </w:tabs>
              <w:rPr>
                <w:sz w:val="20"/>
                <w:szCs w:val="20"/>
              </w:rPr>
            </w:pPr>
            <w:r>
              <w:rPr>
                <w:sz w:val="20"/>
                <w:szCs w:val="20"/>
              </w:rPr>
              <w:t>7.92</w:t>
            </w:r>
          </w:p>
        </w:tc>
        <w:tc>
          <w:tcPr>
            <w:tcW w:w="1989" w:type="dxa"/>
            <w:tcBorders/>
          </w:tcPr>
          <w:p>
            <w:pPr>
              <w:pStyle w:val="Normal"/>
              <w:keepNext w:val="true"/>
              <w:tabs>
                <w:tab w:val="clear" w:pos="720"/>
                <w:tab w:val="decimal" w:pos="828" w:leader="none"/>
              </w:tabs>
              <w:rPr>
                <w:sz w:val="20"/>
                <w:szCs w:val="20"/>
              </w:rPr>
            </w:pPr>
            <w:r>
              <w:rPr>
                <w:sz w:val="20"/>
                <w:szCs w:val="20"/>
              </w:rPr>
              <w:t>8.78</w:t>
            </w:r>
          </w:p>
        </w:tc>
      </w:tr>
      <w:tr>
        <w:trPr/>
        <w:tc>
          <w:tcPr>
            <w:tcW w:w="1458" w:type="dxa"/>
            <w:tcBorders/>
          </w:tcPr>
          <w:p>
            <w:pPr>
              <w:pStyle w:val="Normal"/>
              <w:keepNext w:val="true"/>
              <w:rPr>
                <w:sz w:val="20"/>
                <w:szCs w:val="20"/>
              </w:rPr>
            </w:pPr>
            <w:r>
              <w:rPr>
                <w:sz w:val="20"/>
                <w:szCs w:val="20"/>
              </w:rPr>
              <w:t xml:space="preserve">Sing. </w:t>
            </w:r>
          </w:p>
        </w:tc>
        <w:tc>
          <w:tcPr>
            <w:tcW w:w="1980" w:type="dxa"/>
            <w:tcBorders/>
          </w:tcPr>
          <w:p>
            <w:pPr>
              <w:pStyle w:val="Normal"/>
              <w:keepNext w:val="true"/>
              <w:rPr>
                <w:sz w:val="20"/>
                <w:szCs w:val="20"/>
              </w:rPr>
            </w:pPr>
            <w:r>
              <w:rPr>
                <w:sz w:val="20"/>
                <w:szCs w:val="20"/>
              </w:rPr>
              <w:t xml:space="preserve">LSWR </w:t>
            </w:r>
          </w:p>
        </w:tc>
        <w:tc>
          <w:tcPr>
            <w:tcW w:w="2070" w:type="dxa"/>
            <w:tcBorders/>
          </w:tcPr>
          <w:p>
            <w:pPr>
              <w:pStyle w:val="Normal"/>
              <w:keepNext w:val="true"/>
              <w:tabs>
                <w:tab w:val="clear" w:pos="720"/>
                <w:tab w:val="decimal" w:pos="918" w:leader="none"/>
              </w:tabs>
              <w:rPr>
                <w:sz w:val="20"/>
                <w:szCs w:val="20"/>
              </w:rPr>
            </w:pPr>
            <w:r>
              <w:rPr>
                <w:sz w:val="20"/>
                <w:szCs w:val="20"/>
              </w:rPr>
              <w:t xml:space="preserve">9.06 </w:t>
            </w:r>
          </w:p>
        </w:tc>
        <w:tc>
          <w:tcPr>
            <w:tcW w:w="1989" w:type="dxa"/>
            <w:tcBorders/>
          </w:tcPr>
          <w:p>
            <w:pPr>
              <w:pStyle w:val="Normal"/>
              <w:keepNext w:val="true"/>
              <w:tabs>
                <w:tab w:val="clear" w:pos="720"/>
                <w:tab w:val="decimal" w:pos="828" w:leader="none"/>
              </w:tabs>
              <w:rPr>
                <w:sz w:val="20"/>
                <w:szCs w:val="20"/>
              </w:rPr>
            </w:pPr>
            <w:r>
              <w:rPr>
                <w:sz w:val="20"/>
                <w:szCs w:val="20"/>
              </w:rPr>
              <w:t>9.95</w:t>
            </w:r>
          </w:p>
        </w:tc>
      </w:tr>
      <w:tr>
        <w:trPr/>
        <w:tc>
          <w:tcPr>
            <w:tcW w:w="1458" w:type="dxa"/>
            <w:tcBorders/>
          </w:tcPr>
          <w:p>
            <w:pPr>
              <w:pStyle w:val="Normal"/>
              <w:keepNext w:val="true"/>
              <w:rPr>
                <w:sz w:val="20"/>
                <w:szCs w:val="20"/>
              </w:rPr>
            </w:pPr>
            <w:r>
              <w:rPr>
                <w:sz w:val="20"/>
                <w:szCs w:val="20"/>
              </w:rPr>
              <w:t xml:space="preserve">Sing.  </w:t>
            </w:r>
          </w:p>
        </w:tc>
        <w:tc>
          <w:tcPr>
            <w:tcW w:w="1980" w:type="dxa"/>
            <w:tcBorders/>
          </w:tcPr>
          <w:p>
            <w:pPr>
              <w:pStyle w:val="Normal"/>
              <w:keepNext w:val="true"/>
              <w:rPr>
                <w:sz w:val="20"/>
                <w:szCs w:val="20"/>
              </w:rPr>
            </w:pPr>
            <w:r>
              <w:rPr>
                <w:sz w:val="20"/>
                <w:szCs w:val="20"/>
              </w:rPr>
              <w:t>HSFO</w:t>
            </w:r>
          </w:p>
        </w:tc>
        <w:tc>
          <w:tcPr>
            <w:tcW w:w="2070" w:type="dxa"/>
            <w:tcBorders/>
          </w:tcPr>
          <w:p>
            <w:pPr>
              <w:pStyle w:val="Normal"/>
              <w:keepNext w:val="true"/>
              <w:tabs>
                <w:tab w:val="clear" w:pos="720"/>
                <w:tab w:val="decimal" w:pos="918" w:leader="none"/>
              </w:tabs>
              <w:rPr>
                <w:sz w:val="20"/>
                <w:szCs w:val="20"/>
              </w:rPr>
            </w:pPr>
            <w:r>
              <w:rPr>
                <w:sz w:val="20"/>
                <w:szCs w:val="20"/>
              </w:rPr>
              <w:t xml:space="preserve">9.42 </w:t>
            </w:r>
          </w:p>
        </w:tc>
        <w:tc>
          <w:tcPr>
            <w:tcW w:w="1989" w:type="dxa"/>
            <w:tcBorders/>
          </w:tcPr>
          <w:p>
            <w:pPr>
              <w:pStyle w:val="Normal"/>
              <w:keepNext w:val="true"/>
              <w:tabs>
                <w:tab w:val="clear" w:pos="720"/>
                <w:tab w:val="decimal" w:pos="828" w:leader="none"/>
              </w:tabs>
              <w:rPr>
                <w:sz w:val="20"/>
                <w:szCs w:val="20"/>
              </w:rPr>
            </w:pPr>
            <w:r>
              <w:rPr>
                <w:sz w:val="20"/>
                <w:szCs w:val="20"/>
              </w:rPr>
              <w:t>9.69</w:t>
            </w:r>
          </w:p>
        </w:tc>
      </w:tr>
    </w:tbl>
    <w:p>
      <w:pPr>
        <w:pStyle w:val="Normal"/>
        <w:tabs>
          <w:tab w:val="clear" w:pos="720"/>
          <w:tab w:val="center" w:pos="8910" w:leader="none"/>
        </w:tabs>
        <w:ind w:firstLine="1080" w:end="0"/>
        <w:rPr/>
      </w:pPr>
      <w:r>
        <w:rPr>
          <w:b/>
          <w:bCs/>
          <w:sz w:val="20"/>
          <w:szCs w:val="20"/>
        </w:rPr>
        <w:t xml:space="preserve">*  </w:t>
      </w:r>
      <w:r>
        <w:rPr>
          <w:sz w:val="20"/>
          <w:szCs w:val="20"/>
        </w:rPr>
        <w:t>Source:  Platt’s Oilgram</w:t>
      </w:r>
    </w:p>
    <w:p>
      <w:pPr>
        <w:pStyle w:val="Normal"/>
        <w:rPr>
          <w:sz w:val="20"/>
          <w:szCs w:val="20"/>
        </w:rPr>
      </w:pPr>
      <w:r>
        <w:rPr>
          <w:sz w:val="20"/>
          <w:szCs w:val="20"/>
        </w:rPr>
      </w:r>
    </w:p>
    <w:p>
      <w:pPr>
        <w:pStyle w:val="Normal"/>
        <w:rPr/>
      </w:pPr>
      <w:r>
        <w:rPr/>
        <w:t>The largest month-to-month price gains were registered by low-sulfur residual fuel oil (LSFO) in the Mediterranean (Med) and Northwest Europe (NWE), and high-sulfur residual fuel (HSFO) in New York Harbor (NYH) and NWE.  Between December and January, Med LSFO prices increased by US$2.16 per barrel and NWE LSFO prices improved by US$1.97 per barrel.  NYH HSFO prices rose US$1.66 over the same period, while NWE HSFO prices increased US$1.28 per barrel.</w:t>
      </w:r>
    </w:p>
    <w:p>
      <w:pPr>
        <w:pStyle w:val="Normal"/>
        <w:rPr/>
      </w:pPr>
      <w:r>
        <w:rPr/>
      </w:r>
    </w:p>
    <w:p>
      <w:pPr>
        <w:pStyle w:val="Normal"/>
        <w:rPr/>
      </w:pPr>
      <w:r>
        <w:rPr/>
        <w:t>Despite month-to-month price increases for all grades of residual in all market centers, residual fuel oil prices relative to crude prices were mixed between December 1998 and January 1999.  In several instances crude oil price gains between December and January outdistanced residual fuel oil price gains over the same period.  Average monthly prices for sweet crudes, in particular, moved up smartly between December 1998 and January 1999.</w:t>
      </w:r>
    </w:p>
    <w:p>
      <w:pPr>
        <w:pStyle w:val="Normal"/>
        <w:rPr/>
      </w:pPr>
      <w:r>
        <w:rPr/>
      </w:r>
    </w:p>
    <w:p>
      <w:pPr>
        <w:pStyle w:val="Normal"/>
        <w:rPr>
          <w:sz w:val="20"/>
          <w:szCs w:val="20"/>
        </w:rPr>
      </w:pPr>
      <w:r>
        <w:rPr>
          <w:sz w:val="20"/>
          <w:szCs w:val="20"/>
        </w:rPr>
        <w:t xml:space="preserve">                                                                      </w:t>
      </w:r>
      <w:r>
        <w:rPr>
          <w:sz w:val="20"/>
          <w:szCs w:val="20"/>
          <w:u w:val="single"/>
        </w:rPr>
        <w:t xml:space="preserve"> </w:t>
      </w:r>
      <w:r>
        <w:rPr>
          <w:sz w:val="20"/>
          <w:szCs w:val="20"/>
          <w:u w:val="single"/>
        </w:rPr>
        <w:t>FOWM Marker Crude</w:t>
      </w:r>
    </w:p>
    <w:p>
      <w:pPr>
        <w:pStyle w:val="Normal"/>
        <w:rPr>
          <w:sz w:val="20"/>
          <w:szCs w:val="20"/>
        </w:rPr>
      </w:pPr>
      <w:r>
        <w:rPr>
          <w:sz w:val="20"/>
          <w:szCs w:val="20"/>
        </w:rPr>
        <w:t xml:space="preserve">                                                              </w:t>
      </w:r>
      <w:r>
        <w:rPr>
          <w:sz w:val="20"/>
          <w:szCs w:val="20"/>
          <w:u w:val="single"/>
        </w:rPr>
        <w:t>Average Monthly Price, US$/Barrel</w:t>
      </w:r>
    </w:p>
    <w:tbl>
      <w:tblPr>
        <w:tblW w:w="5598" w:type="dxa"/>
        <w:jc w:val="center"/>
        <w:tblInd w:w="0" w:type="dxa"/>
        <w:tblLayout w:type="fixed"/>
        <w:tblCellMar>
          <w:top w:w="0" w:type="dxa"/>
          <w:start w:w="108" w:type="dxa"/>
          <w:bottom w:w="0" w:type="dxa"/>
          <w:end w:w="108" w:type="dxa"/>
        </w:tblCellMar>
      </w:tblPr>
      <w:tblGrid>
        <w:gridCol w:w="1548"/>
        <w:gridCol w:w="1800"/>
        <w:gridCol w:w="1440"/>
        <w:gridCol w:w="810"/>
      </w:tblGrid>
      <w:tr>
        <w:trPr/>
        <w:tc>
          <w:tcPr>
            <w:tcW w:w="1548" w:type="dxa"/>
            <w:tcBorders/>
          </w:tcPr>
          <w:p>
            <w:pPr>
              <w:pStyle w:val="Normal"/>
              <w:rPr/>
            </w:pPr>
            <w:r>
              <w:rPr>
                <w:sz w:val="20"/>
                <w:szCs w:val="20"/>
                <w:u w:val="single"/>
              </w:rPr>
              <w:t>Crude</w:t>
            </w:r>
            <w:r>
              <w:rPr>
                <w:sz w:val="20"/>
                <w:szCs w:val="20"/>
              </w:rPr>
              <w:t xml:space="preserve"> </w:t>
            </w:r>
          </w:p>
        </w:tc>
        <w:tc>
          <w:tcPr>
            <w:tcW w:w="1800" w:type="dxa"/>
            <w:tcBorders/>
          </w:tcPr>
          <w:p>
            <w:pPr>
              <w:pStyle w:val="Normal"/>
              <w:jc w:val="center"/>
              <w:rPr>
                <w:sz w:val="20"/>
                <w:szCs w:val="20"/>
                <w:u w:val="single"/>
              </w:rPr>
            </w:pPr>
            <w:r>
              <w:rPr>
                <w:sz w:val="20"/>
                <w:szCs w:val="20"/>
                <w:u w:val="single"/>
              </w:rPr>
              <w:t>December ‘98</w:t>
            </w:r>
          </w:p>
        </w:tc>
        <w:tc>
          <w:tcPr>
            <w:tcW w:w="1440" w:type="dxa"/>
            <w:tcBorders/>
          </w:tcPr>
          <w:p>
            <w:pPr>
              <w:pStyle w:val="Normal"/>
              <w:jc w:val="center"/>
              <w:rPr>
                <w:sz w:val="20"/>
                <w:szCs w:val="20"/>
                <w:u w:val="single"/>
              </w:rPr>
            </w:pPr>
            <w:r>
              <w:rPr>
                <w:sz w:val="20"/>
                <w:szCs w:val="20"/>
                <w:u w:val="single"/>
              </w:rPr>
              <w:t>January ‘99</w:t>
            </w:r>
          </w:p>
        </w:tc>
        <w:tc>
          <w:tcPr>
            <w:tcW w:w="810" w:type="dxa"/>
            <w:tcBorders/>
          </w:tcPr>
          <w:p>
            <w:pPr>
              <w:pStyle w:val="Normal"/>
              <w:jc w:val="center"/>
              <w:rPr>
                <w:sz w:val="20"/>
                <w:szCs w:val="20"/>
              </w:rPr>
            </w:pPr>
            <w:r>
              <w:rPr>
                <w:rFonts w:eastAsia="Symbol" w:cs="Symbol" w:ascii="Symbol" w:hAnsi="Symbol"/>
                <w:sz w:val="20"/>
                <w:szCs w:val="20"/>
                <w:u w:val="single"/>
              </w:rPr>
              <w:sym w:font="Symbol" w:char="44"/>
            </w:r>
          </w:p>
        </w:tc>
      </w:tr>
      <w:tr>
        <w:trPr/>
        <w:tc>
          <w:tcPr>
            <w:tcW w:w="1548" w:type="dxa"/>
            <w:tcBorders/>
          </w:tcPr>
          <w:p>
            <w:pPr>
              <w:pStyle w:val="Normal"/>
              <w:rPr>
                <w:sz w:val="20"/>
                <w:szCs w:val="20"/>
              </w:rPr>
            </w:pPr>
            <w:r>
              <w:rPr>
                <w:sz w:val="20"/>
                <w:szCs w:val="20"/>
              </w:rPr>
              <w:t>Dated Brent</w:t>
            </w:r>
          </w:p>
        </w:tc>
        <w:tc>
          <w:tcPr>
            <w:tcW w:w="1800" w:type="dxa"/>
            <w:tcBorders/>
          </w:tcPr>
          <w:p>
            <w:pPr>
              <w:pStyle w:val="Normal"/>
              <w:tabs>
                <w:tab w:val="clear" w:pos="720"/>
                <w:tab w:val="decimal" w:pos="783" w:leader="none"/>
              </w:tabs>
              <w:rPr>
                <w:sz w:val="20"/>
                <w:szCs w:val="20"/>
              </w:rPr>
            </w:pPr>
            <w:r>
              <w:rPr>
                <w:sz w:val="20"/>
                <w:szCs w:val="20"/>
              </w:rPr>
              <w:t>9.88</w:t>
            </w:r>
          </w:p>
        </w:tc>
        <w:tc>
          <w:tcPr>
            <w:tcW w:w="1440" w:type="dxa"/>
            <w:tcBorders/>
          </w:tcPr>
          <w:p>
            <w:pPr>
              <w:pStyle w:val="Normal"/>
              <w:tabs>
                <w:tab w:val="clear" w:pos="720"/>
                <w:tab w:val="decimal" w:pos="603" w:leader="none"/>
              </w:tabs>
              <w:rPr>
                <w:sz w:val="20"/>
                <w:szCs w:val="20"/>
              </w:rPr>
            </w:pPr>
            <w:r>
              <w:rPr>
                <w:sz w:val="20"/>
                <w:szCs w:val="20"/>
              </w:rPr>
              <w:t>11.12</w:t>
            </w:r>
          </w:p>
        </w:tc>
        <w:tc>
          <w:tcPr>
            <w:tcW w:w="810" w:type="dxa"/>
            <w:tcBorders/>
          </w:tcPr>
          <w:p>
            <w:pPr>
              <w:pStyle w:val="Normal"/>
              <w:tabs>
                <w:tab w:val="clear" w:pos="720"/>
                <w:tab w:val="decimal" w:pos="243" w:leader="none"/>
              </w:tabs>
              <w:rPr>
                <w:sz w:val="20"/>
                <w:szCs w:val="20"/>
              </w:rPr>
            </w:pPr>
            <w:r>
              <w:rPr>
                <w:sz w:val="20"/>
                <w:szCs w:val="20"/>
              </w:rPr>
              <w:t>1.24</w:t>
            </w:r>
          </w:p>
        </w:tc>
      </w:tr>
      <w:tr>
        <w:trPr/>
        <w:tc>
          <w:tcPr>
            <w:tcW w:w="1548" w:type="dxa"/>
            <w:tcBorders/>
          </w:tcPr>
          <w:p>
            <w:pPr>
              <w:pStyle w:val="Normal"/>
              <w:rPr>
                <w:sz w:val="20"/>
                <w:szCs w:val="20"/>
              </w:rPr>
            </w:pPr>
            <w:r>
              <w:rPr>
                <w:sz w:val="20"/>
                <w:szCs w:val="20"/>
              </w:rPr>
              <w:t>Bonny Light</w:t>
            </w:r>
          </w:p>
        </w:tc>
        <w:tc>
          <w:tcPr>
            <w:tcW w:w="1800" w:type="dxa"/>
            <w:tcBorders/>
          </w:tcPr>
          <w:p>
            <w:pPr>
              <w:pStyle w:val="Normal"/>
              <w:tabs>
                <w:tab w:val="clear" w:pos="720"/>
                <w:tab w:val="decimal" w:pos="783" w:leader="none"/>
              </w:tabs>
              <w:rPr>
                <w:sz w:val="20"/>
                <w:szCs w:val="20"/>
              </w:rPr>
            </w:pPr>
            <w:r>
              <w:rPr>
                <w:sz w:val="20"/>
                <w:szCs w:val="20"/>
              </w:rPr>
              <w:t xml:space="preserve">9.93 </w:t>
            </w:r>
          </w:p>
        </w:tc>
        <w:tc>
          <w:tcPr>
            <w:tcW w:w="1440" w:type="dxa"/>
            <w:tcBorders/>
          </w:tcPr>
          <w:p>
            <w:pPr>
              <w:pStyle w:val="Normal"/>
              <w:tabs>
                <w:tab w:val="clear" w:pos="720"/>
                <w:tab w:val="decimal" w:pos="603" w:leader="none"/>
              </w:tabs>
              <w:rPr>
                <w:sz w:val="20"/>
                <w:szCs w:val="20"/>
              </w:rPr>
            </w:pPr>
            <w:r>
              <w:rPr>
                <w:sz w:val="20"/>
                <w:szCs w:val="20"/>
              </w:rPr>
              <w:t xml:space="preserve">11.35 </w:t>
            </w:r>
          </w:p>
        </w:tc>
        <w:tc>
          <w:tcPr>
            <w:tcW w:w="810" w:type="dxa"/>
            <w:tcBorders/>
          </w:tcPr>
          <w:p>
            <w:pPr>
              <w:pStyle w:val="Normal"/>
              <w:tabs>
                <w:tab w:val="clear" w:pos="720"/>
                <w:tab w:val="decimal" w:pos="243" w:leader="none"/>
              </w:tabs>
              <w:rPr>
                <w:sz w:val="20"/>
                <w:szCs w:val="20"/>
              </w:rPr>
            </w:pPr>
            <w:r>
              <w:rPr>
                <w:sz w:val="20"/>
                <w:szCs w:val="20"/>
              </w:rPr>
              <w:t>1.42</w:t>
            </w:r>
          </w:p>
        </w:tc>
      </w:tr>
      <w:tr>
        <w:trPr/>
        <w:tc>
          <w:tcPr>
            <w:tcW w:w="1548" w:type="dxa"/>
            <w:tcBorders/>
          </w:tcPr>
          <w:p>
            <w:pPr>
              <w:pStyle w:val="Normal"/>
              <w:rPr>
                <w:sz w:val="20"/>
                <w:szCs w:val="20"/>
              </w:rPr>
            </w:pPr>
            <w:r>
              <w:rPr>
                <w:sz w:val="20"/>
                <w:szCs w:val="20"/>
              </w:rPr>
              <w:t>Dubai</w:t>
            </w:r>
          </w:p>
        </w:tc>
        <w:tc>
          <w:tcPr>
            <w:tcW w:w="1800" w:type="dxa"/>
            <w:tcBorders/>
          </w:tcPr>
          <w:p>
            <w:pPr>
              <w:pStyle w:val="Normal"/>
              <w:tabs>
                <w:tab w:val="clear" w:pos="720"/>
                <w:tab w:val="decimal" w:pos="783" w:leader="none"/>
              </w:tabs>
              <w:rPr>
                <w:sz w:val="20"/>
                <w:szCs w:val="20"/>
              </w:rPr>
            </w:pPr>
            <w:r>
              <w:rPr>
                <w:sz w:val="20"/>
                <w:szCs w:val="20"/>
              </w:rPr>
              <w:t>10.09</w:t>
            </w:r>
          </w:p>
        </w:tc>
        <w:tc>
          <w:tcPr>
            <w:tcW w:w="1440" w:type="dxa"/>
            <w:tcBorders/>
          </w:tcPr>
          <w:p>
            <w:pPr>
              <w:pStyle w:val="Normal"/>
              <w:tabs>
                <w:tab w:val="clear" w:pos="720"/>
                <w:tab w:val="decimal" w:pos="603" w:leader="none"/>
              </w:tabs>
              <w:rPr>
                <w:sz w:val="20"/>
                <w:szCs w:val="20"/>
              </w:rPr>
            </w:pPr>
            <w:r>
              <w:rPr>
                <w:sz w:val="20"/>
                <w:szCs w:val="20"/>
              </w:rPr>
              <w:t>10.73</w:t>
            </w:r>
          </w:p>
        </w:tc>
        <w:tc>
          <w:tcPr>
            <w:tcW w:w="810" w:type="dxa"/>
            <w:tcBorders/>
          </w:tcPr>
          <w:p>
            <w:pPr>
              <w:pStyle w:val="Normal"/>
              <w:tabs>
                <w:tab w:val="clear" w:pos="720"/>
                <w:tab w:val="decimal" w:pos="243" w:leader="none"/>
              </w:tabs>
              <w:rPr>
                <w:sz w:val="20"/>
                <w:szCs w:val="20"/>
              </w:rPr>
            </w:pPr>
            <w:r>
              <w:rPr>
                <w:sz w:val="20"/>
                <w:szCs w:val="20"/>
              </w:rPr>
              <w:t>0.64</w:t>
            </w:r>
          </w:p>
        </w:tc>
      </w:tr>
      <w:tr>
        <w:trPr/>
        <w:tc>
          <w:tcPr>
            <w:tcW w:w="1548" w:type="dxa"/>
            <w:tcBorders/>
          </w:tcPr>
          <w:p>
            <w:pPr>
              <w:pStyle w:val="Normal"/>
              <w:rPr>
                <w:sz w:val="20"/>
                <w:szCs w:val="20"/>
              </w:rPr>
            </w:pPr>
            <w:r>
              <w:rPr>
                <w:sz w:val="20"/>
                <w:szCs w:val="20"/>
              </w:rPr>
              <w:t>Minas</w:t>
            </w:r>
          </w:p>
        </w:tc>
        <w:tc>
          <w:tcPr>
            <w:tcW w:w="1800" w:type="dxa"/>
            <w:tcBorders/>
          </w:tcPr>
          <w:p>
            <w:pPr>
              <w:pStyle w:val="Normal"/>
              <w:tabs>
                <w:tab w:val="clear" w:pos="720"/>
                <w:tab w:val="decimal" w:pos="783" w:leader="none"/>
              </w:tabs>
              <w:rPr>
                <w:sz w:val="20"/>
                <w:szCs w:val="20"/>
              </w:rPr>
            </w:pPr>
            <w:r>
              <w:rPr>
                <w:sz w:val="20"/>
                <w:szCs w:val="20"/>
              </w:rPr>
              <w:t>9.89</w:t>
            </w:r>
          </w:p>
        </w:tc>
        <w:tc>
          <w:tcPr>
            <w:tcW w:w="1440" w:type="dxa"/>
            <w:tcBorders/>
          </w:tcPr>
          <w:p>
            <w:pPr>
              <w:pStyle w:val="Normal"/>
              <w:tabs>
                <w:tab w:val="clear" w:pos="720"/>
                <w:tab w:val="decimal" w:pos="603" w:leader="none"/>
              </w:tabs>
              <w:rPr>
                <w:sz w:val="20"/>
                <w:szCs w:val="20"/>
              </w:rPr>
            </w:pPr>
            <w:r>
              <w:rPr>
                <w:sz w:val="20"/>
                <w:szCs w:val="20"/>
              </w:rPr>
              <w:t>11.10</w:t>
            </w:r>
          </w:p>
        </w:tc>
        <w:tc>
          <w:tcPr>
            <w:tcW w:w="810" w:type="dxa"/>
            <w:tcBorders/>
          </w:tcPr>
          <w:p>
            <w:pPr>
              <w:pStyle w:val="Normal"/>
              <w:tabs>
                <w:tab w:val="clear" w:pos="720"/>
                <w:tab w:val="decimal" w:pos="243" w:leader="none"/>
              </w:tabs>
              <w:rPr>
                <w:sz w:val="20"/>
                <w:szCs w:val="20"/>
              </w:rPr>
            </w:pPr>
            <w:r>
              <w:rPr>
                <w:sz w:val="20"/>
                <w:szCs w:val="20"/>
              </w:rPr>
              <w:t>1.21</w:t>
            </w:r>
          </w:p>
        </w:tc>
      </w:tr>
    </w:tbl>
    <w:p>
      <w:pPr>
        <w:pStyle w:val="Normal"/>
        <w:rPr/>
      </w:pPr>
      <w:r>
        <w:rPr/>
      </w:r>
    </w:p>
    <w:p>
      <w:pPr>
        <w:pStyle w:val="Normal"/>
        <w:rPr/>
      </w:pPr>
      <w:r>
        <w:rPr/>
        <w:t xml:space="preserve">All four categories which registered the greatest month-to-month absolute price gains, however </w:t>
      </w:r>
      <w:r>
        <w:rPr>
          <w:rFonts w:eastAsia="Symbol" w:cs="Symbol" w:ascii="Symbol" w:hAnsi="Symbol"/>
        </w:rPr>
        <w:sym w:font="Symbol" w:char="be"/>
      </w:r>
      <w:r>
        <w:rPr/>
        <w:t xml:space="preserve"> Med LSFO, NWE LSFO, NYH HSFO and NWE HSFO </w:t>
      </w:r>
      <w:r>
        <w:rPr>
          <w:rFonts w:eastAsia="Symbol" w:cs="Symbol" w:ascii="Symbol" w:hAnsi="Symbol"/>
        </w:rPr>
        <w:sym w:font="Symbol" w:char="be"/>
      </w:r>
      <w:r>
        <w:rPr/>
        <w:t xml:space="preserve"> registered positive, and sizable, month-to-month increases in Monthly Average Relative Strength (MARS). </w:t>
      </w:r>
    </w:p>
    <w:p>
      <w:pPr>
        <w:pStyle w:val="Normal"/>
        <w:rPr/>
      </w:pPr>
      <w:r>
        <w:rPr/>
      </w:r>
    </w:p>
    <w:p>
      <w:pPr>
        <w:pStyle w:val="Normal"/>
        <w:keepNext w:val="true"/>
        <w:tabs>
          <w:tab w:val="clear" w:pos="720"/>
          <w:tab w:val="center" w:pos="6750" w:leader="none"/>
        </w:tabs>
        <w:rPr>
          <w:sz w:val="20"/>
          <w:szCs w:val="20"/>
        </w:rPr>
      </w:pPr>
      <w:r>
        <w:rPr>
          <w:sz w:val="20"/>
          <w:szCs w:val="20"/>
        </w:rPr>
        <w:t xml:space="preserve">                                                                                                             </w:t>
      </w:r>
      <w:r>
        <w:rPr>
          <w:sz w:val="20"/>
          <w:szCs w:val="20"/>
          <w:u w:val="single"/>
        </w:rPr>
        <w:t>MARS</w:t>
      </w:r>
    </w:p>
    <w:tbl>
      <w:tblPr>
        <w:tblW w:w="8028" w:type="dxa"/>
        <w:jc w:val="center"/>
        <w:tblInd w:w="0" w:type="dxa"/>
        <w:tblLayout w:type="fixed"/>
        <w:tblCellMar>
          <w:top w:w="0" w:type="dxa"/>
          <w:start w:w="108" w:type="dxa"/>
          <w:bottom w:w="0" w:type="dxa"/>
          <w:end w:w="108" w:type="dxa"/>
        </w:tblCellMar>
      </w:tblPr>
      <w:tblGrid>
        <w:gridCol w:w="1728"/>
        <w:gridCol w:w="2070"/>
        <w:gridCol w:w="2250"/>
        <w:gridCol w:w="1980"/>
      </w:tblGrid>
      <w:tr>
        <w:trPr/>
        <w:tc>
          <w:tcPr>
            <w:tcW w:w="1728" w:type="dxa"/>
            <w:tcBorders/>
          </w:tcPr>
          <w:p>
            <w:pPr>
              <w:pStyle w:val="Normal"/>
              <w:keepNext w:val="true"/>
              <w:rPr>
                <w:sz w:val="20"/>
                <w:szCs w:val="20"/>
                <w:u w:val="single"/>
              </w:rPr>
            </w:pPr>
            <w:r>
              <w:rPr>
                <w:sz w:val="20"/>
                <w:szCs w:val="20"/>
                <w:u w:val="single"/>
              </w:rPr>
              <w:t>Location</w:t>
            </w:r>
          </w:p>
        </w:tc>
        <w:tc>
          <w:tcPr>
            <w:tcW w:w="2070" w:type="dxa"/>
            <w:tcBorders/>
          </w:tcPr>
          <w:p>
            <w:pPr>
              <w:pStyle w:val="Normal"/>
              <w:keepNext w:val="true"/>
              <w:rPr>
                <w:sz w:val="20"/>
                <w:szCs w:val="20"/>
                <w:u w:val="single"/>
              </w:rPr>
            </w:pPr>
            <w:r>
              <w:rPr>
                <w:sz w:val="20"/>
                <w:szCs w:val="20"/>
                <w:u w:val="single"/>
              </w:rPr>
              <w:t>Grade</w:t>
            </w:r>
          </w:p>
        </w:tc>
        <w:tc>
          <w:tcPr>
            <w:tcW w:w="2250" w:type="dxa"/>
            <w:tcBorders/>
          </w:tcPr>
          <w:p>
            <w:pPr>
              <w:pStyle w:val="Normal"/>
              <w:keepNext w:val="true"/>
              <w:jc w:val="center"/>
              <w:rPr>
                <w:sz w:val="20"/>
                <w:szCs w:val="20"/>
                <w:u w:val="single"/>
              </w:rPr>
            </w:pPr>
            <w:r>
              <w:rPr>
                <w:sz w:val="20"/>
                <w:szCs w:val="20"/>
                <w:u w:val="single"/>
              </w:rPr>
              <w:t>December 1998</w:t>
            </w:r>
          </w:p>
        </w:tc>
        <w:tc>
          <w:tcPr>
            <w:tcW w:w="1980" w:type="dxa"/>
            <w:tcBorders/>
          </w:tcPr>
          <w:p>
            <w:pPr>
              <w:pStyle w:val="Normal"/>
              <w:keepNext w:val="true"/>
              <w:jc w:val="center"/>
              <w:rPr>
                <w:sz w:val="20"/>
                <w:szCs w:val="20"/>
              </w:rPr>
            </w:pPr>
            <w:r>
              <w:rPr>
                <w:sz w:val="20"/>
                <w:szCs w:val="20"/>
                <w:u w:val="single"/>
              </w:rPr>
              <w:t>January 1999</w:t>
            </w:r>
          </w:p>
        </w:tc>
      </w:tr>
      <w:tr>
        <w:trPr/>
        <w:tc>
          <w:tcPr>
            <w:tcW w:w="1728" w:type="dxa"/>
            <w:tcBorders/>
          </w:tcPr>
          <w:p>
            <w:pPr>
              <w:pStyle w:val="Normal"/>
              <w:keepNext w:val="true"/>
              <w:rPr>
                <w:sz w:val="20"/>
                <w:szCs w:val="20"/>
              </w:rPr>
            </w:pPr>
            <w:r>
              <w:rPr>
                <w:sz w:val="20"/>
                <w:szCs w:val="20"/>
              </w:rPr>
              <w:t>NYH</w:t>
            </w:r>
          </w:p>
        </w:tc>
        <w:tc>
          <w:tcPr>
            <w:tcW w:w="2070" w:type="dxa"/>
            <w:tcBorders/>
          </w:tcPr>
          <w:p>
            <w:pPr>
              <w:pStyle w:val="Normal"/>
              <w:keepNext w:val="true"/>
              <w:rPr>
                <w:sz w:val="20"/>
                <w:szCs w:val="20"/>
              </w:rPr>
            </w:pPr>
            <w:r>
              <w:rPr>
                <w:sz w:val="20"/>
                <w:szCs w:val="20"/>
              </w:rPr>
              <w:t>LSFO-0.3%S</w:t>
            </w:r>
          </w:p>
        </w:tc>
        <w:tc>
          <w:tcPr>
            <w:tcW w:w="2250" w:type="dxa"/>
            <w:tcBorders/>
          </w:tcPr>
          <w:p>
            <w:pPr>
              <w:pStyle w:val="Normal"/>
              <w:keepNext w:val="true"/>
              <w:tabs>
                <w:tab w:val="clear" w:pos="720"/>
                <w:tab w:val="decimal" w:pos="1008" w:leader="none"/>
              </w:tabs>
              <w:rPr/>
            </w:pPr>
            <w:r>
              <w:rPr>
                <w:sz w:val="20"/>
                <w:szCs w:val="20"/>
              </w:rPr>
              <w:t>95.5</w:t>
            </w:r>
            <w:r>
              <w:rPr>
                <w:b/>
                <w:bCs/>
                <w:sz w:val="20"/>
                <w:szCs w:val="20"/>
              </w:rPr>
              <w:t>*</w:t>
            </w:r>
            <w:r>
              <w:rPr>
                <w:sz w:val="20"/>
                <w:szCs w:val="20"/>
              </w:rPr>
              <w:t xml:space="preserve"> </w:t>
            </w:r>
          </w:p>
        </w:tc>
        <w:tc>
          <w:tcPr>
            <w:tcW w:w="1980" w:type="dxa"/>
            <w:tcBorders/>
          </w:tcPr>
          <w:p>
            <w:pPr>
              <w:pStyle w:val="Normal"/>
              <w:keepNext w:val="true"/>
              <w:tabs>
                <w:tab w:val="clear" w:pos="720"/>
                <w:tab w:val="decimal" w:pos="918" w:leader="none"/>
              </w:tabs>
              <w:rPr>
                <w:sz w:val="20"/>
                <w:szCs w:val="20"/>
              </w:rPr>
            </w:pPr>
            <w:r>
              <w:rPr>
                <w:sz w:val="20"/>
                <w:szCs w:val="20"/>
              </w:rPr>
              <w:t>88.8*</w:t>
            </w:r>
          </w:p>
        </w:tc>
      </w:tr>
      <w:tr>
        <w:trPr/>
        <w:tc>
          <w:tcPr>
            <w:tcW w:w="1728" w:type="dxa"/>
            <w:tcBorders/>
          </w:tcPr>
          <w:p>
            <w:pPr>
              <w:pStyle w:val="Normal"/>
              <w:keepNext w:val="true"/>
              <w:rPr>
                <w:sz w:val="20"/>
                <w:szCs w:val="20"/>
              </w:rPr>
            </w:pPr>
            <w:r>
              <w:rPr>
                <w:sz w:val="20"/>
                <w:szCs w:val="20"/>
              </w:rPr>
              <w:t xml:space="preserve">NYH </w:t>
            </w:r>
          </w:p>
        </w:tc>
        <w:tc>
          <w:tcPr>
            <w:tcW w:w="2070" w:type="dxa"/>
            <w:tcBorders/>
          </w:tcPr>
          <w:p>
            <w:pPr>
              <w:pStyle w:val="Normal"/>
              <w:keepNext w:val="true"/>
              <w:rPr>
                <w:sz w:val="20"/>
                <w:szCs w:val="20"/>
              </w:rPr>
            </w:pPr>
            <w:r>
              <w:rPr>
                <w:sz w:val="20"/>
                <w:szCs w:val="20"/>
              </w:rPr>
              <w:t>LSFO-1.0%S</w:t>
            </w:r>
          </w:p>
        </w:tc>
        <w:tc>
          <w:tcPr>
            <w:tcW w:w="2250" w:type="dxa"/>
            <w:tcBorders/>
          </w:tcPr>
          <w:p>
            <w:pPr>
              <w:pStyle w:val="Normal"/>
              <w:keepNext w:val="true"/>
              <w:tabs>
                <w:tab w:val="clear" w:pos="720"/>
                <w:tab w:val="decimal" w:pos="1008" w:leader="none"/>
              </w:tabs>
              <w:rPr/>
            </w:pPr>
            <w:r>
              <w:rPr>
                <w:sz w:val="20"/>
                <w:szCs w:val="20"/>
              </w:rPr>
              <w:t>85.6</w:t>
            </w:r>
            <w:r>
              <w:rPr>
                <w:b/>
                <w:bCs/>
                <w:sz w:val="20"/>
                <w:szCs w:val="20"/>
              </w:rPr>
              <w:t>*</w:t>
            </w:r>
            <w:r>
              <w:rPr>
                <w:sz w:val="20"/>
                <w:szCs w:val="20"/>
              </w:rPr>
              <w:t xml:space="preserve">  </w:t>
            </w:r>
          </w:p>
        </w:tc>
        <w:tc>
          <w:tcPr>
            <w:tcW w:w="1980" w:type="dxa"/>
            <w:tcBorders/>
          </w:tcPr>
          <w:p>
            <w:pPr>
              <w:pStyle w:val="Normal"/>
              <w:keepNext w:val="true"/>
              <w:tabs>
                <w:tab w:val="clear" w:pos="720"/>
                <w:tab w:val="decimal" w:pos="918" w:leader="none"/>
              </w:tabs>
              <w:rPr>
                <w:sz w:val="20"/>
                <w:szCs w:val="20"/>
              </w:rPr>
            </w:pPr>
            <w:r>
              <w:rPr>
                <w:sz w:val="20"/>
                <w:szCs w:val="20"/>
              </w:rPr>
              <w:t>81.2</w:t>
            </w:r>
            <w:r>
              <w:rPr>
                <w:b/>
                <w:bCs/>
                <w:sz w:val="20"/>
                <w:szCs w:val="20"/>
              </w:rPr>
              <w:t>*</w:t>
            </w:r>
          </w:p>
        </w:tc>
      </w:tr>
      <w:tr>
        <w:trPr/>
        <w:tc>
          <w:tcPr>
            <w:tcW w:w="1728" w:type="dxa"/>
            <w:tcBorders/>
          </w:tcPr>
          <w:p>
            <w:pPr>
              <w:pStyle w:val="Normal"/>
              <w:keepNext w:val="true"/>
              <w:rPr>
                <w:sz w:val="20"/>
                <w:szCs w:val="20"/>
              </w:rPr>
            </w:pPr>
            <w:r>
              <w:rPr>
                <w:sz w:val="20"/>
                <w:szCs w:val="20"/>
              </w:rPr>
              <w:t>NYH</w:t>
            </w:r>
          </w:p>
        </w:tc>
        <w:tc>
          <w:tcPr>
            <w:tcW w:w="2070" w:type="dxa"/>
            <w:tcBorders/>
          </w:tcPr>
          <w:p>
            <w:pPr>
              <w:pStyle w:val="Normal"/>
              <w:keepNext w:val="true"/>
              <w:rPr>
                <w:sz w:val="20"/>
                <w:szCs w:val="20"/>
              </w:rPr>
            </w:pPr>
            <w:r>
              <w:rPr>
                <w:sz w:val="20"/>
                <w:szCs w:val="20"/>
              </w:rPr>
              <w:t>HSFO</w:t>
            </w:r>
          </w:p>
        </w:tc>
        <w:tc>
          <w:tcPr>
            <w:tcW w:w="2250" w:type="dxa"/>
            <w:tcBorders/>
          </w:tcPr>
          <w:p>
            <w:pPr>
              <w:pStyle w:val="Normal"/>
              <w:keepNext w:val="true"/>
              <w:tabs>
                <w:tab w:val="clear" w:pos="720"/>
                <w:tab w:val="decimal" w:pos="1008" w:leader="none"/>
              </w:tabs>
              <w:rPr/>
            </w:pPr>
            <w:r>
              <w:rPr>
                <w:sz w:val="20"/>
                <w:szCs w:val="20"/>
              </w:rPr>
              <w:t>58.6</w:t>
            </w:r>
            <w:r>
              <w:rPr>
                <w:b/>
                <w:bCs/>
                <w:sz w:val="20"/>
                <w:szCs w:val="20"/>
              </w:rPr>
              <w:t>*</w:t>
            </w:r>
            <w:r>
              <w:rPr>
                <w:sz w:val="20"/>
                <w:szCs w:val="20"/>
              </w:rPr>
              <w:t xml:space="preserve">   </w:t>
            </w:r>
          </w:p>
        </w:tc>
        <w:tc>
          <w:tcPr>
            <w:tcW w:w="1980" w:type="dxa"/>
            <w:tcBorders/>
          </w:tcPr>
          <w:p>
            <w:pPr>
              <w:pStyle w:val="Normal"/>
              <w:keepNext w:val="true"/>
              <w:tabs>
                <w:tab w:val="clear" w:pos="720"/>
                <w:tab w:val="decimal" w:pos="918" w:leader="none"/>
              </w:tabs>
              <w:rPr>
                <w:sz w:val="20"/>
                <w:szCs w:val="20"/>
              </w:rPr>
            </w:pPr>
            <w:r>
              <w:rPr>
                <w:sz w:val="20"/>
                <w:szCs w:val="20"/>
              </w:rPr>
              <w:t>67.5</w:t>
            </w:r>
            <w:r>
              <w:rPr>
                <w:b/>
                <w:bCs/>
                <w:sz w:val="20"/>
                <w:szCs w:val="20"/>
              </w:rPr>
              <w:t>*</w:t>
            </w:r>
          </w:p>
        </w:tc>
      </w:tr>
      <w:tr>
        <w:trPr/>
        <w:tc>
          <w:tcPr>
            <w:tcW w:w="1728" w:type="dxa"/>
            <w:tcBorders/>
          </w:tcPr>
          <w:p>
            <w:pPr>
              <w:pStyle w:val="Normal"/>
              <w:keepNext w:val="true"/>
              <w:rPr>
                <w:sz w:val="20"/>
                <w:szCs w:val="20"/>
              </w:rPr>
            </w:pPr>
            <w:r>
              <w:rPr>
                <w:sz w:val="20"/>
                <w:szCs w:val="20"/>
              </w:rPr>
              <w:t xml:space="preserve">NWE </w:t>
            </w:r>
          </w:p>
        </w:tc>
        <w:tc>
          <w:tcPr>
            <w:tcW w:w="2070" w:type="dxa"/>
            <w:tcBorders/>
          </w:tcPr>
          <w:p>
            <w:pPr>
              <w:pStyle w:val="Normal"/>
              <w:keepNext w:val="true"/>
              <w:rPr>
                <w:sz w:val="20"/>
                <w:szCs w:val="20"/>
              </w:rPr>
            </w:pPr>
            <w:r>
              <w:rPr>
                <w:sz w:val="20"/>
                <w:szCs w:val="20"/>
              </w:rPr>
              <w:t xml:space="preserve">LSFO   </w:t>
            </w:r>
          </w:p>
        </w:tc>
        <w:tc>
          <w:tcPr>
            <w:tcW w:w="2250" w:type="dxa"/>
            <w:tcBorders/>
          </w:tcPr>
          <w:p>
            <w:pPr>
              <w:pStyle w:val="Normal"/>
              <w:keepNext w:val="true"/>
              <w:tabs>
                <w:tab w:val="clear" w:pos="720"/>
                <w:tab w:val="decimal" w:pos="1008" w:leader="none"/>
              </w:tabs>
              <w:rPr>
                <w:sz w:val="20"/>
                <w:szCs w:val="20"/>
              </w:rPr>
            </w:pPr>
            <w:r>
              <w:rPr>
                <w:sz w:val="20"/>
                <w:szCs w:val="20"/>
              </w:rPr>
              <w:t>85.2</w:t>
            </w:r>
          </w:p>
        </w:tc>
        <w:tc>
          <w:tcPr>
            <w:tcW w:w="1980" w:type="dxa"/>
            <w:tcBorders/>
          </w:tcPr>
          <w:p>
            <w:pPr>
              <w:pStyle w:val="Normal"/>
              <w:keepNext w:val="true"/>
              <w:tabs>
                <w:tab w:val="clear" w:pos="720"/>
                <w:tab w:val="decimal" w:pos="918" w:leader="none"/>
              </w:tabs>
              <w:rPr>
                <w:sz w:val="20"/>
                <w:szCs w:val="20"/>
              </w:rPr>
            </w:pPr>
            <w:r>
              <w:rPr>
                <w:sz w:val="20"/>
                <w:szCs w:val="20"/>
              </w:rPr>
              <w:t>92.5</w:t>
            </w:r>
          </w:p>
        </w:tc>
      </w:tr>
      <w:tr>
        <w:trPr/>
        <w:tc>
          <w:tcPr>
            <w:tcW w:w="1728" w:type="dxa"/>
            <w:tcBorders/>
          </w:tcPr>
          <w:p>
            <w:pPr>
              <w:pStyle w:val="Normal"/>
              <w:keepNext w:val="true"/>
              <w:rPr>
                <w:sz w:val="20"/>
                <w:szCs w:val="20"/>
              </w:rPr>
            </w:pPr>
            <w:r>
              <w:rPr>
                <w:sz w:val="20"/>
                <w:szCs w:val="20"/>
              </w:rPr>
              <w:t>NWE</w:t>
            </w:r>
          </w:p>
        </w:tc>
        <w:tc>
          <w:tcPr>
            <w:tcW w:w="2070" w:type="dxa"/>
            <w:tcBorders/>
          </w:tcPr>
          <w:p>
            <w:pPr>
              <w:pStyle w:val="Normal"/>
              <w:keepNext w:val="true"/>
              <w:rPr>
                <w:sz w:val="20"/>
                <w:szCs w:val="20"/>
              </w:rPr>
            </w:pPr>
            <w:r>
              <w:rPr>
                <w:sz w:val="20"/>
                <w:szCs w:val="20"/>
              </w:rPr>
              <w:t xml:space="preserve">HSFO </w:t>
            </w:r>
          </w:p>
        </w:tc>
        <w:tc>
          <w:tcPr>
            <w:tcW w:w="2250" w:type="dxa"/>
            <w:tcBorders/>
          </w:tcPr>
          <w:p>
            <w:pPr>
              <w:pStyle w:val="Normal"/>
              <w:keepNext w:val="true"/>
              <w:tabs>
                <w:tab w:val="clear" w:pos="720"/>
                <w:tab w:val="decimal" w:pos="1008" w:leader="none"/>
              </w:tabs>
              <w:rPr>
                <w:sz w:val="20"/>
                <w:szCs w:val="20"/>
              </w:rPr>
            </w:pPr>
            <w:r>
              <w:rPr>
                <w:sz w:val="20"/>
                <w:szCs w:val="20"/>
              </w:rPr>
              <w:t xml:space="preserve">66.5 </w:t>
            </w:r>
          </w:p>
        </w:tc>
        <w:tc>
          <w:tcPr>
            <w:tcW w:w="1980" w:type="dxa"/>
            <w:tcBorders/>
          </w:tcPr>
          <w:p>
            <w:pPr>
              <w:pStyle w:val="Normal"/>
              <w:keepNext w:val="true"/>
              <w:tabs>
                <w:tab w:val="clear" w:pos="720"/>
                <w:tab w:val="decimal" w:pos="918" w:leader="none"/>
              </w:tabs>
              <w:rPr>
                <w:sz w:val="20"/>
                <w:szCs w:val="20"/>
              </w:rPr>
            </w:pPr>
            <w:r>
              <w:rPr>
                <w:sz w:val="20"/>
                <w:szCs w:val="20"/>
              </w:rPr>
              <w:t>73.9</w:t>
            </w:r>
          </w:p>
        </w:tc>
      </w:tr>
      <w:tr>
        <w:trPr/>
        <w:tc>
          <w:tcPr>
            <w:tcW w:w="1728" w:type="dxa"/>
            <w:tcBorders/>
          </w:tcPr>
          <w:p>
            <w:pPr>
              <w:pStyle w:val="Normal"/>
              <w:keepNext w:val="true"/>
              <w:rPr>
                <w:sz w:val="20"/>
                <w:szCs w:val="20"/>
              </w:rPr>
            </w:pPr>
            <w:r>
              <w:rPr>
                <w:sz w:val="20"/>
                <w:szCs w:val="20"/>
              </w:rPr>
              <w:t xml:space="preserve">Med  </w:t>
            </w:r>
          </w:p>
        </w:tc>
        <w:tc>
          <w:tcPr>
            <w:tcW w:w="2070" w:type="dxa"/>
            <w:tcBorders/>
          </w:tcPr>
          <w:p>
            <w:pPr>
              <w:pStyle w:val="Normal"/>
              <w:keepNext w:val="true"/>
              <w:rPr>
                <w:sz w:val="20"/>
                <w:szCs w:val="20"/>
              </w:rPr>
            </w:pPr>
            <w:r>
              <w:rPr>
                <w:sz w:val="20"/>
                <w:szCs w:val="20"/>
              </w:rPr>
              <w:t xml:space="preserve">LSFO </w:t>
            </w:r>
          </w:p>
        </w:tc>
        <w:tc>
          <w:tcPr>
            <w:tcW w:w="2250" w:type="dxa"/>
            <w:tcBorders/>
          </w:tcPr>
          <w:p>
            <w:pPr>
              <w:pStyle w:val="Normal"/>
              <w:keepNext w:val="true"/>
              <w:tabs>
                <w:tab w:val="clear" w:pos="720"/>
                <w:tab w:val="decimal" w:pos="1008" w:leader="none"/>
              </w:tabs>
              <w:rPr>
                <w:sz w:val="20"/>
                <w:szCs w:val="20"/>
              </w:rPr>
            </w:pPr>
            <w:r>
              <w:rPr>
                <w:sz w:val="20"/>
                <w:szCs w:val="20"/>
              </w:rPr>
              <w:t>83.2</w:t>
            </w:r>
          </w:p>
        </w:tc>
        <w:tc>
          <w:tcPr>
            <w:tcW w:w="1980" w:type="dxa"/>
            <w:tcBorders/>
          </w:tcPr>
          <w:p>
            <w:pPr>
              <w:pStyle w:val="Normal"/>
              <w:keepNext w:val="true"/>
              <w:tabs>
                <w:tab w:val="clear" w:pos="720"/>
                <w:tab w:val="decimal" w:pos="918" w:leader="none"/>
              </w:tabs>
              <w:rPr>
                <w:sz w:val="20"/>
                <w:szCs w:val="20"/>
              </w:rPr>
            </w:pPr>
            <w:r>
              <w:rPr>
                <w:sz w:val="20"/>
                <w:szCs w:val="20"/>
              </w:rPr>
              <w:t>91.3</w:t>
            </w:r>
          </w:p>
        </w:tc>
      </w:tr>
      <w:tr>
        <w:trPr/>
        <w:tc>
          <w:tcPr>
            <w:tcW w:w="1728" w:type="dxa"/>
            <w:tcBorders/>
          </w:tcPr>
          <w:p>
            <w:pPr>
              <w:pStyle w:val="Normal"/>
              <w:keepNext w:val="true"/>
              <w:rPr>
                <w:sz w:val="20"/>
                <w:szCs w:val="20"/>
              </w:rPr>
            </w:pPr>
            <w:r>
              <w:rPr>
                <w:sz w:val="20"/>
                <w:szCs w:val="20"/>
              </w:rPr>
              <w:t xml:space="preserve">Med </w:t>
            </w:r>
          </w:p>
        </w:tc>
        <w:tc>
          <w:tcPr>
            <w:tcW w:w="2070" w:type="dxa"/>
            <w:tcBorders/>
          </w:tcPr>
          <w:p>
            <w:pPr>
              <w:pStyle w:val="Normal"/>
              <w:keepNext w:val="true"/>
              <w:rPr>
                <w:sz w:val="20"/>
                <w:szCs w:val="20"/>
              </w:rPr>
            </w:pPr>
            <w:r>
              <w:rPr>
                <w:sz w:val="20"/>
                <w:szCs w:val="20"/>
              </w:rPr>
              <w:t xml:space="preserve">HSFO </w:t>
            </w:r>
          </w:p>
        </w:tc>
        <w:tc>
          <w:tcPr>
            <w:tcW w:w="2250" w:type="dxa"/>
            <w:tcBorders/>
          </w:tcPr>
          <w:p>
            <w:pPr>
              <w:pStyle w:val="Normal"/>
              <w:keepNext w:val="true"/>
              <w:tabs>
                <w:tab w:val="clear" w:pos="720"/>
                <w:tab w:val="decimal" w:pos="1008" w:leader="none"/>
              </w:tabs>
              <w:rPr>
                <w:sz w:val="20"/>
                <w:szCs w:val="20"/>
              </w:rPr>
            </w:pPr>
            <w:r>
              <w:rPr>
                <w:sz w:val="20"/>
                <w:szCs w:val="20"/>
              </w:rPr>
              <w:t>70.0</w:t>
            </w:r>
          </w:p>
        </w:tc>
        <w:tc>
          <w:tcPr>
            <w:tcW w:w="1980" w:type="dxa"/>
            <w:tcBorders/>
          </w:tcPr>
          <w:p>
            <w:pPr>
              <w:pStyle w:val="Normal"/>
              <w:keepNext w:val="true"/>
              <w:tabs>
                <w:tab w:val="clear" w:pos="720"/>
                <w:tab w:val="decimal" w:pos="918" w:leader="none"/>
              </w:tabs>
              <w:rPr>
                <w:sz w:val="20"/>
                <w:szCs w:val="20"/>
              </w:rPr>
            </w:pPr>
            <w:r>
              <w:rPr>
                <w:sz w:val="20"/>
                <w:szCs w:val="20"/>
              </w:rPr>
              <w:t>73.7</w:t>
            </w:r>
          </w:p>
        </w:tc>
      </w:tr>
      <w:tr>
        <w:trPr/>
        <w:tc>
          <w:tcPr>
            <w:tcW w:w="1728" w:type="dxa"/>
            <w:tcBorders/>
          </w:tcPr>
          <w:p>
            <w:pPr>
              <w:pStyle w:val="Normal"/>
              <w:keepNext w:val="true"/>
              <w:rPr>
                <w:sz w:val="20"/>
                <w:szCs w:val="20"/>
              </w:rPr>
            </w:pPr>
            <w:r>
              <w:rPr>
                <w:sz w:val="20"/>
                <w:szCs w:val="20"/>
              </w:rPr>
              <w:t xml:space="preserve">Sing. </w:t>
            </w:r>
          </w:p>
        </w:tc>
        <w:tc>
          <w:tcPr>
            <w:tcW w:w="2070" w:type="dxa"/>
            <w:tcBorders/>
          </w:tcPr>
          <w:p>
            <w:pPr>
              <w:pStyle w:val="Normal"/>
              <w:keepNext w:val="true"/>
              <w:rPr>
                <w:sz w:val="20"/>
                <w:szCs w:val="20"/>
              </w:rPr>
            </w:pPr>
            <w:r>
              <w:rPr>
                <w:sz w:val="20"/>
                <w:szCs w:val="20"/>
              </w:rPr>
              <w:t>LSWR</w:t>
            </w:r>
          </w:p>
        </w:tc>
        <w:tc>
          <w:tcPr>
            <w:tcW w:w="2250" w:type="dxa"/>
            <w:tcBorders/>
          </w:tcPr>
          <w:p>
            <w:pPr>
              <w:pStyle w:val="Normal"/>
              <w:keepNext w:val="true"/>
              <w:tabs>
                <w:tab w:val="clear" w:pos="720"/>
                <w:tab w:val="decimal" w:pos="1008" w:leader="none"/>
              </w:tabs>
              <w:rPr>
                <w:sz w:val="20"/>
                <w:szCs w:val="20"/>
              </w:rPr>
            </w:pPr>
            <w:r>
              <w:rPr>
                <w:sz w:val="20"/>
                <w:szCs w:val="20"/>
              </w:rPr>
              <w:t>89.8</w:t>
            </w:r>
          </w:p>
        </w:tc>
        <w:tc>
          <w:tcPr>
            <w:tcW w:w="1980" w:type="dxa"/>
            <w:tcBorders/>
          </w:tcPr>
          <w:p>
            <w:pPr>
              <w:pStyle w:val="Normal"/>
              <w:keepNext w:val="true"/>
              <w:tabs>
                <w:tab w:val="clear" w:pos="720"/>
                <w:tab w:val="decimal" w:pos="918" w:leader="none"/>
              </w:tabs>
              <w:rPr>
                <w:sz w:val="20"/>
                <w:szCs w:val="20"/>
              </w:rPr>
            </w:pPr>
            <w:r>
              <w:rPr>
                <w:sz w:val="20"/>
                <w:szCs w:val="20"/>
              </w:rPr>
              <w:t>87.9</w:t>
            </w:r>
          </w:p>
        </w:tc>
      </w:tr>
      <w:tr>
        <w:trPr/>
        <w:tc>
          <w:tcPr>
            <w:tcW w:w="1728" w:type="dxa"/>
            <w:tcBorders/>
          </w:tcPr>
          <w:p>
            <w:pPr>
              <w:pStyle w:val="Normal"/>
              <w:keepNext w:val="true"/>
              <w:rPr>
                <w:sz w:val="20"/>
                <w:szCs w:val="20"/>
              </w:rPr>
            </w:pPr>
            <w:r>
              <w:rPr>
                <w:sz w:val="20"/>
                <w:szCs w:val="20"/>
              </w:rPr>
              <w:t>Sing.</w:t>
            </w:r>
          </w:p>
        </w:tc>
        <w:tc>
          <w:tcPr>
            <w:tcW w:w="2070" w:type="dxa"/>
            <w:tcBorders/>
          </w:tcPr>
          <w:p>
            <w:pPr>
              <w:pStyle w:val="Normal"/>
              <w:keepNext w:val="true"/>
              <w:rPr>
                <w:sz w:val="20"/>
                <w:szCs w:val="20"/>
              </w:rPr>
            </w:pPr>
            <w:r>
              <w:rPr>
                <w:sz w:val="20"/>
                <w:szCs w:val="20"/>
              </w:rPr>
              <w:t xml:space="preserve">HSFO  </w:t>
            </w:r>
          </w:p>
        </w:tc>
        <w:tc>
          <w:tcPr>
            <w:tcW w:w="2250" w:type="dxa"/>
            <w:tcBorders/>
          </w:tcPr>
          <w:p>
            <w:pPr>
              <w:pStyle w:val="Normal"/>
              <w:keepNext w:val="true"/>
              <w:tabs>
                <w:tab w:val="clear" w:pos="720"/>
                <w:tab w:val="decimal" w:pos="1008" w:leader="none"/>
              </w:tabs>
              <w:rPr>
                <w:sz w:val="20"/>
                <w:szCs w:val="20"/>
              </w:rPr>
            </w:pPr>
            <w:r>
              <w:rPr>
                <w:sz w:val="20"/>
                <w:szCs w:val="20"/>
              </w:rPr>
              <w:t xml:space="preserve">89.0  </w:t>
            </w:r>
          </w:p>
        </w:tc>
        <w:tc>
          <w:tcPr>
            <w:tcW w:w="1980" w:type="dxa"/>
            <w:tcBorders/>
          </w:tcPr>
          <w:p>
            <w:pPr>
              <w:pStyle w:val="Normal"/>
              <w:keepNext w:val="true"/>
              <w:tabs>
                <w:tab w:val="clear" w:pos="720"/>
                <w:tab w:val="decimal" w:pos="918" w:leader="none"/>
              </w:tabs>
              <w:rPr>
                <w:sz w:val="20"/>
                <w:szCs w:val="20"/>
              </w:rPr>
            </w:pPr>
            <w:r>
              <w:rPr>
                <w:sz w:val="20"/>
                <w:szCs w:val="20"/>
              </w:rPr>
              <w:t>86.7</w:t>
            </w:r>
          </w:p>
        </w:tc>
      </w:tr>
    </w:tbl>
    <w:p>
      <w:pPr>
        <w:pStyle w:val="Normal"/>
        <w:rPr/>
      </w:pPr>
      <w:r>
        <w:rPr>
          <w:sz w:val="20"/>
          <w:szCs w:val="20"/>
        </w:rPr>
        <w:t xml:space="preserve">              </w:t>
      </w:r>
      <w:r>
        <w:rPr>
          <w:b/>
          <w:bCs/>
          <w:sz w:val="20"/>
          <w:szCs w:val="20"/>
        </w:rPr>
        <w:t xml:space="preserve">*  </w:t>
      </w:r>
      <w:r>
        <w:rPr>
          <w:sz w:val="20"/>
          <w:szCs w:val="20"/>
        </w:rPr>
        <w:t>Determined on a Caribbean netback basis</w:t>
      </w:r>
    </w:p>
    <w:p>
      <w:pPr>
        <w:pStyle w:val="Normal"/>
        <w:rPr>
          <w:sz w:val="20"/>
          <w:szCs w:val="20"/>
        </w:rPr>
      </w:pPr>
      <w:r>
        <w:rPr>
          <w:sz w:val="20"/>
          <w:szCs w:val="20"/>
        </w:rPr>
      </w:r>
    </w:p>
    <w:p>
      <w:pPr>
        <w:pStyle w:val="Normal"/>
        <w:rPr/>
      </w:pPr>
      <w:r>
        <w:rPr/>
        <w:t xml:space="preserve">In the U.S. warmer than normal weather prevailed in January.  In the Northeast U.S., degree days were down about nine percent versus a normal January.  Degree days in January 1999 were up roughly twenty percent versus the same period a year earlier, however.  In the Southeast U.S., January 1999 degree days were down close to twenty-nine percent versus a normal January, but were down a scant four percent versus January 1998.  Despite warmer weather U.S. East Coast residual fuel oil prices were higher in January than December.  In large measure the rise in NYH LSFO prices reflected higher crude prices rather than fundamental strength in LSFO itself.  U.S. LSFO prices did, however, benefit from purchases being made by Canadian utility Hydro-Quebec (see </w:t>
      </w:r>
      <w:r>
        <w:rPr>
          <w:i/>
          <w:iCs/>
        </w:rPr>
        <w:t>Fuel Oil in World Markets</w:t>
      </w:r>
      <w:r>
        <w:rPr/>
        <w:t xml:space="preserve">, January 1999, pp. 8-9).  </w:t>
      </w:r>
    </w:p>
    <w:p>
      <w:pPr>
        <w:pStyle w:val="Normal"/>
        <w:rPr/>
      </w:pPr>
      <w:r>
        <w:rPr/>
      </w:r>
    </w:p>
    <w:p>
      <w:pPr>
        <w:pStyle w:val="Normal"/>
        <w:rPr/>
      </w:pPr>
      <w:r>
        <w:rPr/>
        <w:t xml:space="preserve">U.S. HSFO prices improved, in part, due to strengthening crude oil, as well.  U.S. HSFO prices, however, also benefited from tighter supplies </w:t>
      </w:r>
      <w:r>
        <w:rPr>
          <w:rFonts w:eastAsia="Symbol" w:cs="Symbol" w:ascii="Symbol" w:hAnsi="Symbol"/>
        </w:rPr>
        <w:sym w:font="Symbol" w:char="be"/>
      </w:r>
      <w:r>
        <w:rPr/>
        <w:t xml:space="preserve"> principally due to Motiva LLC returning the coker at its Delaware City, Delaware refinery to service late in December, following an unscheduled shutdown for much of December (see </w:t>
      </w:r>
      <w:r>
        <w:rPr>
          <w:i/>
          <w:iCs/>
        </w:rPr>
        <w:t>Fuel Oil in World Markets</w:t>
      </w:r>
      <w:r>
        <w:rPr/>
        <w:t>, January 1999, pp. 1-3).</w:t>
      </w:r>
    </w:p>
    <w:p>
      <w:pPr>
        <w:pStyle w:val="Normal"/>
        <w:rPr/>
      </w:pPr>
      <w:r>
        <w:rPr/>
      </w:r>
    </w:p>
    <w:p>
      <w:pPr>
        <w:pStyle w:val="Normal"/>
        <w:rPr/>
      </w:pPr>
      <w:r>
        <w:rPr/>
        <w:t xml:space="preserve">In the U.S., during January, low-sulfur residual fuel oil grades continued to win the battle versus natural gas for dual-burning consumers incremental demand.  As has been the case since November 1998, residual fuel oil’s delivered price, on a heat of combustion basis, has under-cut the delivered price of natural gas sufficiently to tip consumer’s incremental fuel purchases to residual fuel oil.  During January 1999, natural gas prices delivered to utilities in the Northeast U.S. were reported to have averaged approximately US$2.49 per million BTUs. This equates to roughly US$15.69 per fuel oil-equivalent barrel (FOEB).  Over the same period, natural gas prices delivered to utilities in the Southeast U.S. averaged about US$2.33 per million BTUs, equal to approximately US$14.68 per FOEB.  </w:t>
      </w:r>
    </w:p>
    <w:p>
      <w:pPr>
        <w:pStyle w:val="Normal"/>
        <w:rPr/>
      </w:pPr>
      <w:r>
        <w:rPr/>
      </w:r>
    </w:p>
    <w:p>
      <w:pPr>
        <w:pStyle w:val="Normal"/>
        <w:rPr/>
      </w:pPr>
      <w:r>
        <w:rPr/>
        <w:t xml:space="preserve">In Western Europe, temperatures were higher than normal during January 1999.  Degree days for January were about six percent above the same period a year ago, but were approximately ten percent below a normal January.  </w:t>
      </w:r>
    </w:p>
    <w:p>
      <w:pPr>
        <w:pStyle w:val="Normal"/>
        <w:rPr/>
      </w:pPr>
      <w:r>
        <w:rPr/>
      </w:r>
    </w:p>
    <w:p>
      <w:pPr>
        <w:pStyle w:val="Normal"/>
        <w:rPr/>
      </w:pPr>
      <w:r>
        <w:rPr/>
        <w:t xml:space="preserve">Independent of generally warmer weather in Western Europe, Italian utility Enel ramped-up spot purchases of low-sulfur fuel oil during January.  Enel reportedly purchased upwards of 600,000 tons of low-sulfur fuel oil during January.  The Italian utility had not been very active in the spot market for much of the second half of 1998.   It is believed Enel’s decision to buy in January was motivated by a need to replenish its residual fuel oil inventory and to adjust the quality of its heavy oil stocks.  For the most part Enel insisted on buying LSFO with pour points no higher than 15 degrees Celsius rather than its customary maximum allowable pour point specification of 42 degrees Celsius.  </w:t>
      </w:r>
    </w:p>
    <w:p>
      <w:pPr>
        <w:pStyle w:val="Normal"/>
        <w:rPr/>
      </w:pPr>
      <w:r>
        <w:rPr/>
      </w:r>
    </w:p>
    <w:p>
      <w:pPr>
        <w:pStyle w:val="Normal"/>
        <w:rPr/>
      </w:pPr>
      <w:r>
        <w:rPr/>
        <w:t>No meaningful amount of precipitation fell in the watershed areas of the Iberian Peninsula, leaving the region’s hydropower capability sharply constrained for yet another month.  Demand for low- and medium-sulfur fuel oil continued to be exceptionally high in Spain due to reduced hydropower generating capability.  Elsewhere in the Iberian Peninsula, Portuguese utility, Electricidad de Portugal (EdP) imported roughly 150,000 tons of HSFO in January as oil-fired power generation continued running hard.  In the Mediterranean, Romanian import demand for high-sulfur fuel oil bumped up in January (see related story in this issue).</w:t>
      </w:r>
    </w:p>
    <w:p>
      <w:pPr>
        <w:pStyle w:val="Normal"/>
        <w:rPr/>
      </w:pPr>
      <w:r>
        <w:rPr/>
      </w:r>
    </w:p>
    <w:p>
      <w:pPr>
        <w:pStyle w:val="Normal"/>
        <w:rPr/>
      </w:pPr>
      <w:r>
        <w:rPr/>
        <w:t>In Japan, during January, warmer than normal temperatures prevailed through most of the country.  Degree days in January 1999 were down about seven percent from the same period a year earlier, and were down roughly eleven percent versus a normal January.  Japanese utility demand for crude oil (for burning) and heavy fuel was tepid as a result of the warmer weather conditions.  Chinese and Indonesian demand supported high sulfur fuel oil prices despite a heavy flow of cargoes moving into the region from the Middle East, the West Coast of the United States, and indigenous supplies provided by Singapore and South Korean refiners.  Low-sulfur waxy residue prices were supported by demand from Taiwan, India and South Korea, and a slightly tighter Indonesian supply situation.</w:t>
      </w:r>
    </w:p>
    <w:p>
      <w:pPr>
        <w:pStyle w:val="Normal"/>
        <w:rPr/>
      </w:pPr>
      <w:r>
        <w:rPr/>
      </w:r>
    </w:p>
    <w:p>
      <w:pPr>
        <w:pStyle w:val="Normal"/>
        <w:rPr/>
      </w:pPr>
      <w:r>
        <w:rPr/>
        <w:t>Residual fuel oil prices should drop in February, in large measure due to weaker crude oil prices.  We are more constructive on prices in March, and thereafter.  We expect residual fuel prices to benefit from what we believe will be a higher crude oil price environment.</w:t>
      </w:r>
    </w:p>
    <w:p>
      <w:pPr>
        <w:pStyle w:val="Normal"/>
        <w:rPr/>
      </w:pPr>
      <w:r>
        <w:rPr/>
      </w:r>
    </w:p>
    <w:p>
      <w:pPr>
        <w:pStyle w:val="Normal"/>
        <w:rPr/>
      </w:pPr>
      <w:r>
        <w:rPr/>
        <w:t>In Europe, Enel began tapering down its spot LSFO buying program in February.  We expect Enel to maintain a fairly low profile over the next few months given that the company’s residual stocks are at higher levels and European gas prices appear to be moving lower.  We expect residual demand in the Iberian Peninsula to remain strong through March, if not longer, based on forecasts for light precipitation in the region.  Romanian HSFO import demand is expected to be strong through March; thereafter, import demand should downshift to a much lower gear (see related story in this issue).</w:t>
      </w:r>
    </w:p>
    <w:p>
      <w:pPr>
        <w:pStyle w:val="Normal"/>
        <w:rPr/>
      </w:pPr>
      <w:r>
        <w:rPr/>
      </w:r>
    </w:p>
    <w:p>
      <w:pPr>
        <w:pStyle w:val="Normal"/>
        <w:rPr/>
      </w:pPr>
      <w:r>
        <w:rPr/>
        <w:t>Mediterranean straight-run (and cracked) HSFO prices should benefit from the unplanned shutdown of Hellenic Petroleum’s (HP’s) 66,000 barrels per stream-day Thessaloniki refinery.  A fire at the installation’s atmospheric crude distillation unit in late-February has forced HP to shut the entire refinery down. Sources close to the situation indicate the refinery may be out of commission for three to four months.  Thessaloniki produces roughly 1.4 million tons per year of straight-run HSFO (see this issue’s Special Feature for more details).  Also in the Mediterranean, Saras is planning on taking one of three crude distillation units at its Cagliari refinery out of service for planned maintenance work over March and April, and Agip is likely to shut down a topping unit at its Priolo unit over April and May.  Isab’s 220,000 b/sd Melilli refinery has been shut since mid-February for scheduled maintenance work, but is expected to return to service in mid- to late-March.  While reduced refinery utilization will help  support prices, the imminent end of winter will likely bring an increase in Russian mazut exports, which will offset, to some extent, lower supplies from west European refiners.  Historically Turkey has embarked on a heavy seaborne HSFO export program once winter has passed; so far, however, Turkey is indicating it will have only one 35,000 ton HSFO cargo for sale FOB Izmit in March.</w:t>
      </w:r>
    </w:p>
    <w:p>
      <w:pPr>
        <w:pStyle w:val="Normal"/>
        <w:rPr/>
      </w:pPr>
      <w:r>
        <w:rPr/>
      </w:r>
    </w:p>
    <w:p>
      <w:pPr>
        <w:pStyle w:val="Normal"/>
        <w:rPr/>
      </w:pPr>
      <w:r>
        <w:rPr/>
        <w:t>In Scandinavia, Preem is expected to shut its Gothenburg refinery completely in early-April for four to six weeks for a scheduled maintenance turnaround.  Shell is expected to shut down its Gothenburg refinery completely some time in May for three to four weeks for a scheduled maintenance turnaround.  Meanwhile, in the U.K., BP reportedly will return a vacuum distillation unit to service in March at its Coryton refinery, following a one month scheduled maintenance turnaround.</w:t>
      </w:r>
    </w:p>
    <w:p>
      <w:pPr>
        <w:pStyle w:val="Normal"/>
        <w:rPr/>
      </w:pPr>
      <w:r>
        <w:rPr/>
      </w:r>
    </w:p>
    <w:p>
      <w:pPr>
        <w:pStyle w:val="Normal"/>
        <w:rPr/>
      </w:pPr>
      <w:r>
        <w:rPr/>
        <w:t xml:space="preserve">In the U.S. many of the coker problems that impacted the market (see </w:t>
      </w:r>
      <w:r>
        <w:rPr>
          <w:i/>
          <w:iCs/>
        </w:rPr>
        <w:t>Fuel Oil in World Markets</w:t>
      </w:r>
      <w:r>
        <w:rPr/>
        <w:t>, January 1999, pp. 1-3) have been corrected.  Exxon Company, U.S.A. reportedly had the coker at its Baytown, Texas refinery back to full capacity late in February.  Equilon Enterprise’s LLC’s coker at its Anacortes, Washington refinery is reportedly very close to resuming operations again.</w:t>
      </w:r>
    </w:p>
    <w:p>
      <w:pPr>
        <w:pStyle w:val="Normal"/>
        <w:spacing w:before="240" w:after="0"/>
        <w:rPr/>
      </w:pPr>
      <w:r>
        <w:rPr/>
        <w:t xml:space="preserve">U.S. East Coast LSFO prices have been pressured down in February due to an extraordinarily heavy Brazilian export program (see related story in this issue).  Sources indicate Brazil’s LSFO exports should drop sharply in March, following the start-up of a new coker in Petrobras’s Paulina refinery.  </w:t>
      </w:r>
    </w:p>
    <w:p>
      <w:pPr>
        <w:pStyle w:val="Normal"/>
        <w:spacing w:before="240" w:after="0"/>
        <w:rPr/>
      </w:pPr>
      <w:r>
        <w:rPr/>
        <w:t>Dissatisfied with refining margins, Tosco Corp. (Tosco) has decided to move up a major maintenance turnaround of a 138,000 b/sd fluidized catalytic cracking unit at its Linden, New Jersey refinery from the third quarter of 1999 to March.  The maintenance work at Linden will extend into April.  The Linden turnaround may be impacting other East Coast refiners’ plans.  Sunoco is reported to have raised  processing rates at its Philadelphia and Marcus Hook, Pennsylvania refineries slightly, and Tosco, itself, is reported to have raised crude processing rates a bit at its Trainer, Pennsylvania refinery.  Coastal Corp. is reportedly running its Westville, New Jersey refinery close to full capacity.</w:t>
      </w:r>
    </w:p>
    <w:p>
      <w:pPr>
        <w:pStyle w:val="Normal"/>
        <w:rPr/>
      </w:pPr>
      <w:r>
        <w:rPr/>
      </w:r>
    </w:p>
    <w:p>
      <w:pPr>
        <w:pStyle w:val="Normal"/>
        <w:rPr/>
      </w:pPr>
      <w:r>
        <w:rPr/>
        <w:t>In the Western Hemisphere, Mexican HSFO import demand is once again picking up, following a seasonal downturn in demand.  Venezuelan oil company, Petroleos de Venezuela (PDVSA) has entered the market as a buyer of HSFO from the U.S. Gulf Coast.  PDVSA’s spot buying is believed to be linked to Venezuela’s reining in heavy crude production to meet its OPEC output quota, coupled with a shift in operations by PDVSA’s own refineries.  Reportedly, PDVSA’s own refineries are running lighter crudes than previously and are running at lower throughput rates (see related story in this issue).</w:t>
      </w:r>
    </w:p>
    <w:p>
      <w:pPr>
        <w:pStyle w:val="Normal"/>
        <w:rPr/>
      </w:pPr>
      <w:r>
        <w:rPr/>
      </w:r>
    </w:p>
    <w:p>
      <w:pPr>
        <w:pStyle w:val="Normal"/>
        <w:rPr/>
      </w:pPr>
      <w:r>
        <w:rPr/>
        <w:t xml:space="preserve">Singapore LSWR prices should stay firm on continued tightness in Indonesian supply and continued good demand from Taiwan and India.  Indonesian demand for HSFO is expected to remain brisk.  In the short term, there are some concerns about import residual demand into China.  Chinese authorities have been slow to issue official heavy fuel oil import quotas.  In part, this may have been due to a slowdown in activities resulting from the celebration of the Chinese New Year in mid-February.  The absence of Chinese residual import quotas may slow imports into China through March, and could cause a “catch-up” surge, perhaps in April.  </w:t>
      </w:r>
    </w:p>
    <w:p>
      <w:pPr>
        <w:pStyle w:val="Normal"/>
        <w:rPr/>
      </w:pPr>
      <w:r>
        <w:rPr/>
      </w:r>
    </w:p>
    <w:p>
      <w:pPr>
        <w:pStyle w:val="Normal"/>
        <w:rPr/>
      </w:pPr>
      <w:r>
        <w:rPr/>
        <w:t>Asian HSFO supplies should be a bit tighter as Singapore and South Korean refiners seem prone to reduce crude processing rates in March due to poor margins.  There may also be slightly less supply from the Middle East.  Reportedly, Saudi Aramco will begin running a new hydrocracker and a new visbreaker at its Ras Tanura refinery.  Sources indicate Ras Tanura’s residual output will drop from about 125,000 barrels per day to about 80,000 barrels per day once the hydrocracker and visbreaker begin running.</w:t>
      </w:r>
    </w:p>
    <w:p>
      <w:pPr>
        <w:pStyle w:val="Normal"/>
        <w:rPr/>
      </w:pPr>
      <w:r>
        <w:rPr/>
      </w:r>
    </w:p>
    <w:p>
      <w:pPr>
        <w:pStyle w:val="Normal"/>
        <w:rPr/>
      </w:pPr>
      <w:r>
        <w:rPr/>
      </w:r>
      <w:r>
        <w:br w:type="page"/>
      </w:r>
    </w:p>
    <w:p>
      <w:pPr>
        <w:pStyle w:val="Heading4"/>
        <w:ind w:hanging="0" w:start="0"/>
        <w:rPr/>
      </w:pPr>
      <w:r>
        <w:rPr/>
        <w:t xml:space="preserve"> </w:t>
      </w:r>
      <w:r>
        <w:rPr/>
        <w:t>Figure II-A:  Spot Crude Oil Prices</w:t>
      </w:r>
    </w:p>
    <w:p>
      <w:pPr>
        <w:pStyle w:val="Normal"/>
        <w:rPr/>
      </w:pPr>
      <w:r>
        <w:rPr/>
        <w:drawing>
          <wp:inline distT="0" distB="0" distL="0" distR="0">
            <wp:extent cx="5931535" cy="42805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1"/>
                    <a:stretch>
                      <a:fillRect/>
                    </a:stretch>
                  </pic:blipFill>
                  <pic:spPr bwMode="auto">
                    <a:xfrm>
                      <a:off x="0" y="0"/>
                      <a:ext cx="5931535" cy="4280535"/>
                    </a:xfrm>
                    <a:prstGeom prst="rect">
                      <a:avLst/>
                    </a:prstGeom>
                    <a:noFill/>
                  </pic:spPr>
                </pic:pic>
              </a:graphicData>
            </a:graphic>
          </wp:inline>
        </w:drawing>
      </w:r>
    </w:p>
    <w:p>
      <w:pPr>
        <w:pStyle w:val="Normal"/>
        <w:jc w:val="center"/>
        <w:rPr/>
      </w:pPr>
      <w:r>
        <w:rPr/>
      </w:r>
    </w:p>
    <w:p>
      <w:pPr>
        <w:pStyle w:val="Normal"/>
        <w:rPr/>
      </w:pPr>
      <w:r>
        <w:rPr/>
      </w:r>
    </w:p>
    <w:p>
      <w:pPr>
        <w:pStyle w:val="Normal"/>
        <w:jc w:val="center"/>
        <w:rPr>
          <w:sz w:val="20"/>
          <w:szCs w:val="20"/>
        </w:rPr>
      </w:pPr>
      <w:r>
        <w:rPr>
          <w:sz w:val="20"/>
          <w:szCs w:val="20"/>
        </w:rPr>
        <w:t xml:space="preserve"> </w:t>
      </w:r>
      <w:r>
        <w:rPr>
          <w:sz w:val="20"/>
          <w:szCs w:val="20"/>
        </w:rPr>
        <w:t>(US$/Barrel)</w:t>
      </w:r>
    </w:p>
    <w:p>
      <w:pPr>
        <w:pStyle w:val="Normal"/>
        <w:jc w:val="center"/>
        <w:rPr>
          <w:sz w:val="20"/>
          <w:szCs w:val="20"/>
        </w:rPr>
      </w:pPr>
      <w:r>
        <w:rPr>
          <w:sz w:val="20"/>
          <w:szCs w:val="20"/>
        </w:rPr>
      </w:r>
    </w:p>
    <w:p>
      <w:pPr>
        <w:pStyle w:val="toptableII-A"/>
        <w:rPr/>
      </w:pPr>
      <w:r>
        <w:rPr/>
        <w:tab/>
        <w:t>Dubai</w:t>
        <w:tab/>
        <w:t>Dated</w:t>
        <w:tab/>
        <w:t>Bonny</w:t>
        <w:tab/>
        <w:br/>
      </w:r>
      <w:r>
        <w:rPr>
          <w:u w:val="single"/>
        </w:rPr>
        <w:t>Period</w:t>
      </w:r>
      <w:r>
        <w:rPr/>
        <w:tab/>
      </w:r>
      <w:r>
        <w:rPr>
          <w:u w:val="single"/>
        </w:rPr>
        <w:t>1st Month</w:t>
      </w:r>
      <w:r>
        <w:rPr/>
        <w:tab/>
      </w:r>
      <w:r>
        <w:rPr>
          <w:u w:val="single"/>
        </w:rPr>
        <w:t>Brent</w:t>
      </w:r>
      <w:r>
        <w:rPr/>
        <w:tab/>
      </w:r>
      <w:r>
        <w:rPr>
          <w:u w:val="single"/>
        </w:rPr>
        <w:t>Light</w:t>
      </w:r>
      <w:r>
        <w:rPr/>
        <w:tab/>
      </w:r>
      <w:r>
        <w:rPr>
          <w:u w:val="single"/>
        </w:rPr>
        <w:t>Minas</w:t>
      </w:r>
    </w:p>
    <w:p>
      <w:pPr>
        <w:pStyle w:val="bottableIIa"/>
        <w:rPr/>
      </w:pPr>
      <w:r>
        <w:rPr/>
        <w:t xml:space="preserve">Feb-99 </w:t>
        <w:tab/>
        <w:t xml:space="preserve">10.05 </w:t>
        <w:tab/>
        <w:t xml:space="preserve">10.20 </w:t>
        <w:tab/>
        <w:t xml:space="preserve">10.20 </w:t>
        <w:tab/>
        <w:t xml:space="preserve">10.70 </w:t>
      </w:r>
    </w:p>
    <w:p>
      <w:pPr>
        <w:pStyle w:val="bottableIIa"/>
        <w:rPr/>
      </w:pPr>
      <w:r>
        <w:rPr/>
        <w:t xml:space="preserve">Mar-99 </w:t>
        <w:tab/>
        <w:t xml:space="preserve">11.50 </w:t>
        <w:tab/>
        <w:t xml:space="preserve">11.50 </w:t>
        <w:tab/>
        <w:t xml:space="preserve">11.50 </w:t>
        <w:tab/>
        <w:t xml:space="preserve">11.70 </w:t>
      </w:r>
    </w:p>
    <w:p>
      <w:pPr>
        <w:pStyle w:val="bottableIIa"/>
        <w:rPr/>
      </w:pPr>
      <w:r>
        <w:rPr/>
        <w:t xml:space="preserve">Apr-99 </w:t>
        <w:tab/>
        <w:t xml:space="preserve">11.85 </w:t>
        <w:tab/>
        <w:t xml:space="preserve">12.00 </w:t>
        <w:tab/>
        <w:t xml:space="preserve">12.00 </w:t>
        <w:tab/>
        <w:t xml:space="preserve">12.05 </w:t>
      </w:r>
    </w:p>
    <w:p>
      <w:pPr>
        <w:pStyle w:val="bottableIIa"/>
        <w:rPr/>
      </w:pPr>
      <w:r>
        <w:rPr/>
        <w:t xml:space="preserve">May-99 </w:t>
        <w:tab/>
        <w:t xml:space="preserve">11.90 </w:t>
        <w:tab/>
        <w:t xml:space="preserve">12.10 </w:t>
        <w:tab/>
        <w:t xml:space="preserve">12.10 </w:t>
        <w:tab/>
        <w:t xml:space="preserve">11.90 </w:t>
      </w:r>
    </w:p>
    <w:p>
      <w:pPr>
        <w:pStyle w:val="bottableIIa"/>
        <w:rPr/>
      </w:pPr>
      <w:r>
        <w:rPr/>
        <w:t xml:space="preserve">Jun-99 </w:t>
        <w:tab/>
        <w:t xml:space="preserve">12.00 </w:t>
        <w:tab/>
        <w:t xml:space="preserve">12.20 </w:t>
        <w:tab/>
        <w:t xml:space="preserve">12.30 </w:t>
        <w:tab/>
        <w:t xml:space="preserve">12.00 </w:t>
      </w:r>
    </w:p>
    <w:p>
      <w:pPr>
        <w:pStyle w:val="bottableIIa"/>
        <w:rPr/>
      </w:pPr>
      <w:r>
        <w:rPr/>
        <w:t xml:space="preserve">Jul-99 </w:t>
        <w:tab/>
        <w:t xml:space="preserve">12.10 </w:t>
        <w:tab/>
        <w:t xml:space="preserve">12.20 </w:t>
        <w:tab/>
        <w:t xml:space="preserve">12.35 </w:t>
        <w:tab/>
        <w:t xml:space="preserve">12.35 </w:t>
      </w:r>
    </w:p>
    <w:p>
      <w:pPr>
        <w:pStyle w:val="bottableIIa"/>
        <w:rPr/>
      </w:pPr>
      <w:r>
        <w:rPr/>
        <w:t xml:space="preserve">Aug-99 </w:t>
        <w:tab/>
        <w:t xml:space="preserve">12.20 </w:t>
        <w:tab/>
        <w:t xml:space="preserve">12.20 </w:t>
        <w:tab/>
        <w:t xml:space="preserve">12.30 </w:t>
        <w:tab/>
        <w:t xml:space="preserve">12.55 </w:t>
      </w:r>
    </w:p>
    <w:p>
      <w:pPr>
        <w:pStyle w:val="bottableIIa"/>
        <w:rPr/>
      </w:pPr>
      <w:r>
        <w:rPr/>
        <w:t xml:space="preserve">Sep-99 </w:t>
        <w:tab/>
        <w:t xml:space="preserve">12.30 </w:t>
        <w:tab/>
        <w:t xml:space="preserve">12.30 </w:t>
        <w:tab/>
        <w:t xml:space="preserve">12.40 </w:t>
        <w:tab/>
        <w:t xml:space="preserve">12.60 </w:t>
      </w:r>
    </w:p>
    <w:p>
      <w:pPr>
        <w:pStyle w:val="bottableIIa"/>
        <w:rPr/>
      </w:pPr>
      <w:r>
        <w:rPr/>
        <w:t xml:space="preserve">Oct-99 </w:t>
        <w:tab/>
        <w:t xml:space="preserve">12.30 </w:t>
        <w:tab/>
        <w:t xml:space="preserve">12.30 </w:t>
        <w:tab/>
        <w:t xml:space="preserve">12.40 </w:t>
        <w:tab/>
        <w:t xml:space="preserve">12.30 </w:t>
      </w:r>
    </w:p>
    <w:p>
      <w:pPr>
        <w:pStyle w:val="bottableIIa"/>
        <w:rPr/>
      </w:pPr>
      <w:r>
        <w:rPr/>
        <w:t xml:space="preserve">Nov-99 </w:t>
        <w:tab/>
        <w:t xml:space="preserve">12.40 </w:t>
        <w:tab/>
        <w:t xml:space="preserve">12.50 </w:t>
        <w:tab/>
        <w:t xml:space="preserve">12.65 </w:t>
        <w:tab/>
        <w:t xml:space="preserve">12.40 </w:t>
      </w:r>
    </w:p>
    <w:p>
      <w:pPr>
        <w:pStyle w:val="bottableIIa"/>
        <w:rPr/>
      </w:pPr>
      <w:r>
        <w:rPr/>
        <w:t xml:space="preserve">Dec-99 </w:t>
        <w:tab/>
        <w:t xml:space="preserve">12.50 </w:t>
        <w:tab/>
        <w:t xml:space="preserve">12.70 </w:t>
        <w:tab/>
        <w:t xml:space="preserve">12.90 </w:t>
        <w:tab/>
        <w:t xml:space="preserve">12.75 </w:t>
      </w:r>
    </w:p>
    <w:p>
      <w:pPr>
        <w:pStyle w:val="bottableIIa"/>
        <w:rPr/>
      </w:pPr>
      <w:r>
        <w:rPr/>
        <w:t xml:space="preserve">Jan-00 </w:t>
        <w:tab/>
        <w:t xml:space="preserve">12.60 </w:t>
        <w:tab/>
        <w:t xml:space="preserve">12.90 </w:t>
        <w:tab/>
        <w:t xml:space="preserve">13.10 </w:t>
        <w:tab/>
        <w:t xml:space="preserve">12.95 </w:t>
      </w:r>
    </w:p>
    <w:p>
      <w:pPr>
        <w:pStyle w:val="bottableIIa"/>
        <w:rPr/>
      </w:pPr>
      <w:r>
        <w:rPr/>
      </w:r>
      <w:r>
        <w:br w:type="page"/>
      </w:r>
    </w:p>
    <w:p>
      <w:pPr>
        <w:pStyle w:val="Heading4"/>
        <w:ind w:hanging="0" w:start="0"/>
        <w:rPr/>
      </w:pPr>
      <w:r>
        <w:rPr/>
        <w:t>Figure II-B:  Spot New York Harbor Resid Prices</w:t>
      </w:r>
    </w:p>
    <w:p>
      <w:pPr>
        <w:pStyle w:val="Normal"/>
        <w:rPr/>
      </w:pPr>
      <w:r>
        <w:rPr/>
        <w:drawing>
          <wp:inline distT="0" distB="0" distL="0" distR="0">
            <wp:extent cx="5931535" cy="428053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2"/>
                    <a:stretch>
                      <a:fillRect/>
                    </a:stretch>
                  </pic:blipFill>
                  <pic:spPr bwMode="auto">
                    <a:xfrm>
                      <a:off x="0" y="0"/>
                      <a:ext cx="5931535" cy="4280535"/>
                    </a:xfrm>
                    <a:prstGeom prst="rect">
                      <a:avLst/>
                    </a:prstGeom>
                    <a:noFill/>
                  </pic:spPr>
                </pic:pic>
              </a:graphicData>
            </a:graphic>
          </wp:inline>
        </w:drawing>
      </w:r>
    </w:p>
    <w:p>
      <w:pPr>
        <w:pStyle w:val="Normal"/>
        <w:jc w:val="center"/>
        <w:rPr/>
      </w:pPr>
      <w:r>
        <w:rPr/>
      </w:r>
    </w:p>
    <w:p>
      <w:pPr>
        <w:pStyle w:val="Normal"/>
        <w:jc w:val="center"/>
        <w:rPr>
          <w:sz w:val="20"/>
          <w:szCs w:val="20"/>
        </w:rPr>
      </w:pPr>
      <w:r>
        <w:rPr>
          <w:sz w:val="20"/>
          <w:szCs w:val="20"/>
        </w:rPr>
      </w:r>
    </w:p>
    <w:p>
      <w:pPr>
        <w:pStyle w:val="Normal"/>
        <w:jc w:val="center"/>
        <w:rPr>
          <w:sz w:val="20"/>
          <w:szCs w:val="20"/>
        </w:rPr>
      </w:pPr>
      <w:r>
        <w:rPr>
          <w:sz w:val="20"/>
          <w:szCs w:val="20"/>
        </w:rPr>
        <w:t xml:space="preserve"> </w:t>
      </w:r>
      <w:r>
        <w:rPr>
          <w:sz w:val="20"/>
          <w:szCs w:val="20"/>
        </w:rPr>
        <w:t>(US$/Barrel)</w:t>
      </w:r>
    </w:p>
    <w:p>
      <w:pPr>
        <w:pStyle w:val="Normal"/>
        <w:tabs>
          <w:tab w:val="clear" w:pos="720"/>
          <w:tab w:val="center" w:pos="2496" w:leader="none"/>
          <w:tab w:val="center" w:pos="4416" w:leader="none"/>
          <w:tab w:val="center" w:pos="6336" w:leader="none"/>
          <w:tab w:val="center" w:pos="8256" w:leader="none"/>
        </w:tabs>
        <w:spacing w:lineRule="exact" w:line="240"/>
        <w:jc w:val="center"/>
        <w:rPr/>
      </w:pPr>
      <w:r>
        <w:rPr/>
      </w:r>
    </w:p>
    <w:p>
      <w:pPr>
        <w:pStyle w:val="toptableII-B"/>
        <w:rPr/>
      </w:pPr>
      <w:r>
        <w:rPr>
          <w:u w:val="single"/>
        </w:rPr>
        <w:t>Period</w:t>
      </w:r>
      <w:r>
        <w:rPr/>
        <w:tab/>
      </w:r>
      <w:r>
        <w:rPr>
          <w:u w:val="single"/>
        </w:rPr>
        <w:t>0.3%S (HP)</w:t>
      </w:r>
      <w:r>
        <w:rPr/>
        <w:tab/>
      </w:r>
      <w:r>
        <w:rPr>
          <w:u w:val="single"/>
        </w:rPr>
        <w:t xml:space="preserve">No. 6 1%S </w:t>
      </w:r>
      <w:r>
        <w:rPr/>
        <w:tab/>
      </w:r>
      <w:r>
        <w:rPr>
          <w:u w:val="single"/>
        </w:rPr>
        <w:t>No. 6 3.0%S</w:t>
      </w:r>
    </w:p>
    <w:p>
      <w:pPr>
        <w:pStyle w:val="bottomtable2B"/>
        <w:rPr/>
      </w:pPr>
      <w:r>
        <w:rPr/>
        <w:t xml:space="preserve">Feb-99 </w:t>
        <w:tab/>
        <w:t xml:space="preserve">10.20 </w:t>
        <w:tab/>
        <w:t xml:space="preserve">8.75 </w:t>
        <w:tab/>
        <w:t xml:space="preserve">7.75 </w:t>
      </w:r>
    </w:p>
    <w:p>
      <w:pPr>
        <w:pStyle w:val="bottomtable2B"/>
        <w:rPr/>
      </w:pPr>
      <w:r>
        <w:rPr/>
        <w:t xml:space="preserve">Mar-99 </w:t>
        <w:tab/>
        <w:t xml:space="preserve">11.35 </w:t>
        <w:tab/>
        <w:t xml:space="preserve">10.50 </w:t>
        <w:tab/>
        <w:t xml:space="preserve">8.75 </w:t>
      </w:r>
    </w:p>
    <w:p>
      <w:pPr>
        <w:pStyle w:val="bottomtable2B"/>
        <w:rPr/>
      </w:pPr>
      <w:r>
        <w:rPr/>
        <w:t xml:space="preserve">Apr-99 </w:t>
        <w:tab/>
        <w:t xml:space="preserve">11.60 </w:t>
        <w:tab/>
        <w:t xml:space="preserve">10.75 </w:t>
        <w:tab/>
        <w:t xml:space="preserve">9.15 </w:t>
      </w:r>
    </w:p>
    <w:p>
      <w:pPr>
        <w:pStyle w:val="bottomtable2B"/>
        <w:rPr/>
      </w:pPr>
      <w:r>
        <w:rPr/>
        <w:t xml:space="preserve">May-99 </w:t>
        <w:tab/>
        <w:t xml:space="preserve">11.60 </w:t>
        <w:tab/>
        <w:t xml:space="preserve">10.75 </w:t>
        <w:tab/>
        <w:t xml:space="preserve">9.35 </w:t>
      </w:r>
    </w:p>
    <w:p>
      <w:pPr>
        <w:pStyle w:val="bottomtable2B"/>
        <w:rPr/>
      </w:pPr>
      <w:r>
        <w:rPr/>
        <w:t xml:space="preserve">Jun-99 </w:t>
        <w:tab/>
        <w:t xml:space="preserve">11.85 </w:t>
        <w:tab/>
        <w:t xml:space="preserve">11.00 </w:t>
        <w:tab/>
        <w:t xml:space="preserve">9.50 </w:t>
      </w:r>
    </w:p>
    <w:p>
      <w:pPr>
        <w:pStyle w:val="bottomtable2B"/>
        <w:rPr/>
      </w:pPr>
      <w:r>
        <w:rPr/>
        <w:t xml:space="preserve">Jul-99 </w:t>
        <w:tab/>
        <w:t xml:space="preserve">12.45 </w:t>
        <w:tab/>
        <w:t xml:space="preserve">11.50 </w:t>
        <w:tab/>
        <w:t xml:space="preserve">9.70 </w:t>
      </w:r>
    </w:p>
    <w:p>
      <w:pPr>
        <w:pStyle w:val="bottomtable2B"/>
        <w:rPr/>
      </w:pPr>
      <w:r>
        <w:rPr/>
        <w:t xml:space="preserve">Aug-99 </w:t>
        <w:tab/>
        <w:t xml:space="preserve">12.55 </w:t>
        <w:tab/>
        <w:t xml:space="preserve">11.60 </w:t>
        <w:tab/>
        <w:t xml:space="preserve">9.90 </w:t>
      </w:r>
    </w:p>
    <w:p>
      <w:pPr>
        <w:pStyle w:val="bottomtable2B"/>
        <w:rPr/>
      </w:pPr>
      <w:r>
        <w:rPr/>
        <w:t xml:space="preserve">Sep-99 </w:t>
        <w:tab/>
        <w:t xml:space="preserve">12.50 </w:t>
        <w:tab/>
        <w:t xml:space="preserve">11.60 </w:t>
        <w:tab/>
        <w:t xml:space="preserve">10.00 </w:t>
      </w:r>
    </w:p>
    <w:p>
      <w:pPr>
        <w:pStyle w:val="bottomtable2B"/>
        <w:rPr/>
      </w:pPr>
      <w:r>
        <w:rPr/>
        <w:t xml:space="preserve">Oct-99 </w:t>
        <w:tab/>
        <w:t xml:space="preserve">12.55 </w:t>
        <w:tab/>
        <w:t xml:space="preserve">11.70 </w:t>
        <w:tab/>
        <w:t xml:space="preserve">10.05 </w:t>
      </w:r>
    </w:p>
    <w:p>
      <w:pPr>
        <w:pStyle w:val="bottomtable2B"/>
        <w:rPr/>
      </w:pPr>
      <w:r>
        <w:rPr/>
        <w:t xml:space="preserve">Nov-99 </w:t>
        <w:tab/>
        <w:t xml:space="preserve">12.75 </w:t>
        <w:tab/>
        <w:t xml:space="preserve">11.90 </w:t>
        <w:tab/>
        <w:t xml:space="preserve">10.35 </w:t>
      </w:r>
    </w:p>
    <w:p>
      <w:pPr>
        <w:pStyle w:val="bottomtable2B"/>
        <w:rPr/>
      </w:pPr>
      <w:r>
        <w:rPr/>
        <w:t xml:space="preserve">Dec-99 </w:t>
        <w:tab/>
        <w:t xml:space="preserve">13.10 </w:t>
        <w:tab/>
        <w:t xml:space="preserve">12.15 </w:t>
        <w:tab/>
        <w:t xml:space="preserve">10.70 </w:t>
      </w:r>
    </w:p>
    <w:p>
      <w:pPr>
        <w:pStyle w:val="bottomtable2B"/>
        <w:rPr/>
      </w:pPr>
      <w:r>
        <w:rPr/>
        <w:t xml:space="preserve">Jan-00 </w:t>
        <w:tab/>
        <w:t xml:space="preserve">13.45 </w:t>
        <w:tab/>
        <w:t xml:space="preserve">12.50 </w:t>
        <w:tab/>
        <w:t xml:space="preserve">10.75 </w:t>
      </w:r>
    </w:p>
    <w:p>
      <w:pPr>
        <w:pStyle w:val="bottomtable2B"/>
        <w:rPr/>
      </w:pPr>
      <w:r>
        <w:rPr/>
      </w:r>
    </w:p>
    <w:p>
      <w:pPr>
        <w:pStyle w:val="bottomlinetoptableII-C"/>
        <w:rPr/>
      </w:pPr>
      <w:r>
        <w:rPr/>
      </w:r>
    </w:p>
    <w:p>
      <w:pPr>
        <w:pStyle w:val="Normal"/>
        <w:spacing w:lineRule="exact" w:line="200"/>
        <w:ind w:firstLine="900" w:end="0"/>
        <w:rPr>
          <w:sz w:val="20"/>
          <w:szCs w:val="20"/>
        </w:rPr>
      </w:pPr>
      <w:r>
        <w:rPr>
          <w:sz w:val="20"/>
          <w:szCs w:val="20"/>
        </w:rPr>
        <w:t>Note:  The above cargo prices include import duty and oil spill tax.</w:t>
      </w:r>
    </w:p>
    <w:p>
      <w:pPr>
        <w:pStyle w:val="Normal"/>
        <w:tabs>
          <w:tab w:val="clear" w:pos="720"/>
          <w:tab w:val="center" w:pos="2496" w:leader="none"/>
          <w:tab w:val="center" w:pos="4416" w:leader="none"/>
          <w:tab w:val="center" w:pos="6336" w:leader="none"/>
          <w:tab w:val="center" w:pos="8256" w:leader="none"/>
        </w:tabs>
        <w:spacing w:lineRule="exact" w:line="240"/>
        <w:ind w:start="1440" w:end="0"/>
        <w:jc w:val="center"/>
        <w:rPr>
          <w:sz w:val="20"/>
          <w:szCs w:val="20"/>
        </w:rPr>
      </w:pPr>
      <w:r>
        <w:rPr>
          <w:sz w:val="20"/>
          <w:szCs w:val="20"/>
        </w:rPr>
      </w:r>
      <w:r>
        <w:br w:type="page"/>
      </w:r>
    </w:p>
    <w:p>
      <w:pPr>
        <w:pStyle w:val="Heading4"/>
        <w:ind w:hanging="0" w:start="0"/>
        <w:rPr/>
      </w:pPr>
      <w:r>
        <w:rPr/>
        <w:t>Figure II-C:  Spot Caribbean Resid Values and Crude Oil Prices</w:t>
      </w:r>
    </w:p>
    <w:p>
      <w:pPr>
        <w:pStyle w:val="Normal"/>
        <w:rPr/>
      </w:pPr>
      <w:r>
        <w:rPr/>
        <w:drawing>
          <wp:inline distT="0" distB="0" distL="0" distR="0">
            <wp:extent cx="5931535" cy="428053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3"/>
                    <a:stretch>
                      <a:fillRect/>
                    </a:stretch>
                  </pic:blipFill>
                  <pic:spPr bwMode="auto">
                    <a:xfrm>
                      <a:off x="0" y="0"/>
                      <a:ext cx="5931535" cy="4280535"/>
                    </a:xfrm>
                    <a:prstGeom prst="rect">
                      <a:avLst/>
                    </a:prstGeom>
                    <a:noFill/>
                  </pic:spPr>
                </pic:pic>
              </a:graphicData>
            </a:graphic>
          </wp:inline>
        </w:drawing>
      </w:r>
    </w:p>
    <w:p>
      <w:pPr>
        <w:pStyle w:val="Normal"/>
        <w:jc w:val="center"/>
        <w:rPr/>
      </w:pPr>
      <w:r>
        <w:rPr/>
      </w:r>
    </w:p>
    <w:p>
      <w:pPr>
        <w:pStyle w:val="bottomlinetoptableII-C"/>
        <w:tabs>
          <w:tab w:val="clear" w:pos="2520"/>
          <w:tab w:val="clear" w:pos="3744"/>
          <w:tab w:val="clear" w:pos="4464"/>
          <w:tab w:val="clear" w:pos="5184"/>
          <w:tab w:val="clear" w:pos="5904"/>
          <w:tab w:val="clear" w:pos="6552"/>
          <w:tab w:val="clear" w:pos="7872"/>
          <w:tab w:val="left" w:pos="1080" w:leader="none"/>
          <w:tab w:val="center" w:pos="3600" w:leader="none"/>
          <w:tab w:val="right" w:pos="5940" w:leader="none"/>
          <w:tab w:val="left" w:pos="6570" w:leader="none"/>
          <w:tab w:val="center" w:pos="7920" w:leader="none"/>
          <w:tab w:val="right" w:pos="9216" w:leader="none"/>
        </w:tabs>
        <w:rPr/>
      </w:pPr>
      <w:r>
        <w:rPr/>
        <w:tab/>
      </w:r>
      <w:r>
        <w:rPr>
          <w:u w:val="single"/>
        </w:rPr>
        <w:tab/>
        <w:t>Prices in US$/Barrel</w:t>
        <w:tab/>
      </w:r>
      <w:r>
        <w:rPr/>
        <w:tab/>
      </w:r>
      <w:r>
        <w:rPr>
          <w:u w:val="single"/>
        </w:rPr>
        <w:tab/>
        <w:t>Price Ratios  in Percentages</w:t>
        <w:tab/>
      </w:r>
    </w:p>
    <w:p>
      <w:pPr>
        <w:pStyle w:val="middlelinetoptabII-C"/>
        <w:spacing w:lineRule="exact" w:line="200"/>
        <w:rPr/>
      </w:pPr>
      <w:r>
        <w:rPr/>
        <w:tab/>
        <w:t>New York Harbor</w:t>
        <w:tab/>
        <w:t>Spot Crude Oil</w:t>
        <w:tab/>
        <w:br/>
        <w:tab/>
        <w:t>Fuel Oil Netback</w:t>
        <w:tab/>
        <w:t>Delivered to</w:t>
        <w:tab/>
        <w:t>Fuel Oil Netbacks</w:t>
      </w:r>
    </w:p>
    <w:p>
      <w:pPr>
        <w:pStyle w:val="bottomlinetoptableII-C"/>
        <w:tabs>
          <w:tab w:val="clear" w:pos="3744"/>
          <w:tab w:val="left" w:pos="1080" w:leader="none"/>
          <w:tab w:val="center" w:pos="2520" w:leader="none"/>
          <w:tab w:val="right" w:pos="3870" w:leader="none"/>
          <w:tab w:val="left" w:pos="4464" w:leader="none"/>
          <w:tab w:val="center" w:pos="5184" w:leader="none"/>
          <w:tab w:val="right" w:pos="5904" w:leader="none"/>
          <w:tab w:val="left" w:pos="6552" w:leader="none"/>
          <w:tab w:val="center" w:pos="7872" w:leader="none"/>
          <w:tab w:val="right" w:pos="9216" w:leader="none"/>
        </w:tabs>
        <w:rPr/>
      </w:pPr>
      <w:r>
        <w:rPr/>
        <w:tab/>
      </w:r>
      <w:r>
        <w:rPr>
          <w:u w:val="single"/>
        </w:rPr>
        <w:tab/>
        <w:t>to Curacao</w:t>
        <w:tab/>
      </w:r>
      <w:r>
        <w:rPr/>
        <w:tab/>
      </w:r>
      <w:r>
        <w:rPr>
          <w:u w:val="single"/>
        </w:rPr>
        <w:tab/>
        <w:t>Curacao</w:t>
        <w:tab/>
      </w:r>
      <w:r>
        <w:rPr/>
        <w:tab/>
      </w:r>
      <w:r>
        <w:rPr>
          <w:u w:val="single"/>
        </w:rPr>
        <w:tab/>
        <w:t>to Delivered Crude</w:t>
        <w:tab/>
      </w:r>
    </w:p>
    <w:p>
      <w:pPr>
        <w:pStyle w:val="Normal"/>
        <w:tabs>
          <w:tab w:val="clear" w:pos="720"/>
          <w:tab w:val="center" w:pos="1920" w:leader="none"/>
        </w:tabs>
        <w:rPr/>
      </w:pPr>
      <w:r>
        <w:rPr/>
      </w:r>
    </w:p>
    <w:p>
      <w:pPr>
        <w:pStyle w:val="colheadingtableII-C"/>
        <w:tabs>
          <w:tab w:val="clear" w:pos="1440"/>
          <w:tab w:val="center" w:pos="1530" w:leader="none"/>
          <w:tab w:val="center" w:pos="2592" w:leader="none"/>
          <w:tab w:val="center" w:pos="3648" w:leader="none"/>
          <w:tab w:val="center" w:pos="4704" w:leader="none"/>
          <w:tab w:val="center" w:pos="5760" w:leader="none"/>
          <w:tab w:val="center" w:pos="6816" w:leader="none"/>
          <w:tab w:val="center" w:pos="7968" w:leader="none"/>
          <w:tab w:val="center" w:pos="9024" w:leader="none"/>
        </w:tabs>
        <w:rPr/>
      </w:pPr>
      <w:r>
        <w:rPr/>
        <w:tab/>
        <w:tab/>
        <w:tab/>
        <w:tab/>
        <w:tab/>
        <w:tab/>
        <w:t>0.3%S</w:t>
        <w:tab/>
        <w:t>1%S</w:t>
        <w:tab/>
        <w:t>3%S</w:t>
        <w:br/>
        <w:tab/>
        <w:t>No. 6</w:t>
        <w:tab/>
        <w:t>No. 6</w:t>
        <w:tab/>
        <w:t>No. 6</w:t>
        <w:tab/>
        <w:t>Bonny</w:t>
        <w:tab/>
        <w:tab/>
        <w:t>to</w:t>
        <w:tab/>
        <w:t>to</w:t>
        <w:tab/>
        <w:t>to</w:t>
        <w:br/>
      </w:r>
      <w:r>
        <w:rPr>
          <w:u w:val="single"/>
        </w:rPr>
        <w:t>Period</w:t>
      </w:r>
      <w:r>
        <w:rPr/>
        <w:tab/>
      </w:r>
      <w:r>
        <w:rPr>
          <w:u w:val="single"/>
        </w:rPr>
        <w:t>0.3%S HP</w:t>
        <w:tab/>
        <w:t>1%S</w:t>
        <w:tab/>
        <w:t>3%S</w:t>
      </w:r>
      <w:r>
        <w:rPr/>
        <w:tab/>
      </w:r>
      <w:r>
        <w:rPr>
          <w:u w:val="single"/>
        </w:rPr>
        <w:t>Light</w:t>
        <w:tab/>
        <w:t>Dubai</w:t>
      </w:r>
      <w:r>
        <w:rPr/>
        <w:tab/>
      </w:r>
      <w:r>
        <w:rPr>
          <w:u w:val="single"/>
        </w:rPr>
        <w:t>Bonny</w:t>
        <w:tab/>
        <w:t>Bonny</w:t>
        <w:tab/>
        <w:t>Dubai</w:t>
      </w:r>
    </w:p>
    <w:p>
      <w:pPr>
        <w:pStyle w:val="bodytableII-C"/>
        <w:rPr/>
      </w:pPr>
      <w:r>
        <w:rPr/>
        <w:t xml:space="preserve">Feb-99 </w:t>
        <w:tab/>
        <w:t xml:space="preserve">9.43 </w:t>
        <w:tab/>
        <w:t xml:space="preserve">7.93 </w:t>
        <w:tab/>
        <w:t xml:space="preserve">6.94 </w:t>
        <w:tab/>
        <w:t xml:space="preserve">11.08 </w:t>
        <w:tab/>
        <w:t xml:space="preserve">11.23 </w:t>
        <w:tab/>
        <w:t>85.1%</w:t>
        <w:tab/>
        <w:t>71.6%</w:t>
        <w:tab/>
        <w:t>61.8%</w:t>
      </w:r>
    </w:p>
    <w:p>
      <w:pPr>
        <w:pStyle w:val="bodytableII-C"/>
        <w:rPr/>
      </w:pPr>
      <w:r>
        <w:rPr/>
        <w:t xml:space="preserve">Mar-99 </w:t>
        <w:tab/>
        <w:t xml:space="preserve">10.55 </w:t>
        <w:tab/>
        <w:t xml:space="preserve">9.65 </w:t>
        <w:tab/>
        <w:t xml:space="preserve">7.90 </w:t>
        <w:tab/>
        <w:t xml:space="preserve">12.30 </w:t>
        <w:tab/>
        <w:t xml:space="preserve">12.65 </w:t>
        <w:tab/>
        <w:t>85.8%</w:t>
        <w:tab/>
        <w:t>78.5%</w:t>
        <w:tab/>
        <w:t>62.5%</w:t>
      </w:r>
    </w:p>
    <w:p>
      <w:pPr>
        <w:pStyle w:val="bodytableII-C"/>
        <w:rPr/>
      </w:pPr>
      <w:r>
        <w:rPr/>
        <w:t xml:space="preserve">Apr-99 </w:t>
        <w:tab/>
        <w:t xml:space="preserve">10.85 </w:t>
        <w:tab/>
        <w:t xml:space="preserve">9.95 </w:t>
        <w:tab/>
        <w:t xml:space="preserve">8.35 </w:t>
        <w:tab/>
        <w:t xml:space="preserve">12.85 </w:t>
        <w:tab/>
        <w:t xml:space="preserve">13.00 </w:t>
        <w:tab/>
        <w:t>84.4%</w:t>
        <w:tab/>
        <w:t>77.4%</w:t>
        <w:tab/>
        <w:t>64.2%</w:t>
      </w:r>
    </w:p>
    <w:p>
      <w:pPr>
        <w:pStyle w:val="bodytableII-C"/>
        <w:rPr/>
      </w:pPr>
      <w:r>
        <w:rPr/>
        <w:t xml:space="preserve">May-99 </w:t>
        <w:tab/>
        <w:t xml:space="preserve">10.85 </w:t>
        <w:tab/>
        <w:t xml:space="preserve">9.95 </w:t>
        <w:tab/>
        <w:t xml:space="preserve">8.55 </w:t>
        <w:tab/>
        <w:t xml:space="preserve">13.00 </w:t>
        <w:tab/>
        <w:t xml:space="preserve">13.05 </w:t>
        <w:tab/>
        <w:t>83.5%</w:t>
        <w:tab/>
        <w:t>76.5%</w:t>
        <w:tab/>
        <w:t>65.5%</w:t>
      </w:r>
    </w:p>
    <w:p>
      <w:pPr>
        <w:pStyle w:val="bodytableII-C"/>
        <w:rPr/>
      </w:pPr>
      <w:r>
        <w:rPr/>
        <w:t xml:space="preserve">Jun-99 </w:t>
        <w:tab/>
        <w:t xml:space="preserve">11.05 </w:t>
        <w:tab/>
        <w:t xml:space="preserve">10.15 </w:t>
        <w:tab/>
        <w:t xml:space="preserve">8.65 </w:t>
        <w:tab/>
        <w:t xml:space="preserve">13.20 </w:t>
        <w:tab/>
        <w:t xml:space="preserve">13.15 </w:t>
        <w:tab/>
        <w:t>83.7%</w:t>
        <w:tab/>
        <w:t>76.9%</w:t>
        <w:tab/>
        <w:t>65.8%</w:t>
      </w:r>
    </w:p>
    <w:p>
      <w:pPr>
        <w:pStyle w:val="bodytableII-C"/>
        <w:rPr/>
      </w:pPr>
      <w:r>
        <w:rPr/>
        <w:t xml:space="preserve">Jul-99 </w:t>
        <w:tab/>
        <w:t xml:space="preserve">11.55 </w:t>
        <w:tab/>
        <w:t xml:space="preserve">10.55 </w:t>
        <w:tab/>
        <w:t xml:space="preserve">8.75 </w:t>
        <w:tab/>
        <w:t xml:space="preserve">13.25 </w:t>
        <w:tab/>
        <w:t xml:space="preserve">13.25 </w:t>
        <w:tab/>
        <w:t>87.2%</w:t>
        <w:tab/>
        <w:t>79.6%</w:t>
        <w:tab/>
        <w:t>66.0%</w:t>
      </w:r>
    </w:p>
    <w:p>
      <w:pPr>
        <w:pStyle w:val="bodytableII-C"/>
        <w:rPr/>
      </w:pPr>
      <w:r>
        <w:rPr/>
        <w:t xml:space="preserve">Aug-99 </w:t>
        <w:tab/>
        <w:t xml:space="preserve">11.65 </w:t>
        <w:tab/>
        <w:t xml:space="preserve">10.65 </w:t>
        <w:tab/>
        <w:t xml:space="preserve">8.95 </w:t>
        <w:tab/>
        <w:t xml:space="preserve">13.20 </w:t>
        <w:tab/>
        <w:t xml:space="preserve">13.35 </w:t>
        <w:tab/>
        <w:t>88.3%</w:t>
        <w:tab/>
        <w:t>80.7%</w:t>
        <w:tab/>
        <w:t>67.0%</w:t>
      </w:r>
    </w:p>
    <w:p>
      <w:pPr>
        <w:pStyle w:val="bodytableII-C"/>
        <w:rPr/>
      </w:pPr>
      <w:r>
        <w:rPr/>
        <w:t xml:space="preserve">Sep-99 </w:t>
        <w:tab/>
        <w:t xml:space="preserve">11.60 </w:t>
        <w:tab/>
        <w:t xml:space="preserve">10.65 </w:t>
        <w:tab/>
        <w:t xml:space="preserve">9.05 </w:t>
        <w:tab/>
        <w:t xml:space="preserve">13.25 </w:t>
        <w:tab/>
        <w:t xml:space="preserve">13.30 </w:t>
        <w:tab/>
        <w:t>87.5%</w:t>
        <w:tab/>
        <w:t>80.4%</w:t>
        <w:tab/>
        <w:t>68.0%</w:t>
      </w:r>
    </w:p>
    <w:p>
      <w:pPr>
        <w:pStyle w:val="bodytableII-C"/>
        <w:rPr/>
      </w:pPr>
      <w:r>
        <w:rPr/>
        <w:t xml:space="preserve">Oct-99 </w:t>
        <w:tab/>
        <w:t xml:space="preserve">11.75 </w:t>
        <w:tab/>
        <w:t xml:space="preserve">10.85 </w:t>
        <w:tab/>
        <w:t xml:space="preserve">9.20 </w:t>
        <w:tab/>
        <w:t xml:space="preserve">13.20 </w:t>
        <w:tab/>
        <w:t xml:space="preserve">13.30 </w:t>
        <w:tab/>
        <w:t>89.0%</w:t>
        <w:tab/>
        <w:t>82.2%</w:t>
        <w:tab/>
        <w:t>69.2%</w:t>
      </w:r>
    </w:p>
    <w:p>
      <w:pPr>
        <w:pStyle w:val="bodytableII-C"/>
        <w:rPr/>
      </w:pPr>
      <w:r>
        <w:rPr/>
        <w:t xml:space="preserve">Nov-99 </w:t>
        <w:tab/>
        <w:t xml:space="preserve">11.90 </w:t>
        <w:tab/>
        <w:t xml:space="preserve">11.00 </w:t>
        <w:tab/>
        <w:t xml:space="preserve">9.45 </w:t>
        <w:tab/>
        <w:t xml:space="preserve">13.50 </w:t>
        <w:tab/>
        <w:t xml:space="preserve">13.55 </w:t>
        <w:tab/>
        <w:t>88.1%</w:t>
        <w:tab/>
        <w:t>81.5%</w:t>
        <w:tab/>
        <w:t>69.7%</w:t>
      </w:r>
    </w:p>
    <w:p>
      <w:pPr>
        <w:pStyle w:val="bodytableII-C"/>
        <w:rPr/>
      </w:pPr>
      <w:r>
        <w:rPr/>
        <w:t xml:space="preserve">Dec-99 </w:t>
        <w:tab/>
        <w:t xml:space="preserve">12.20 </w:t>
        <w:tab/>
        <w:t xml:space="preserve">11.20 </w:t>
        <w:tab/>
        <w:t xml:space="preserve">9.75 </w:t>
        <w:tab/>
        <w:t xml:space="preserve">13.80 </w:t>
        <w:tab/>
        <w:t xml:space="preserve">13.65 </w:t>
        <w:tab/>
        <w:t>88.4%</w:t>
        <w:tab/>
        <w:t>81.2%</w:t>
        <w:tab/>
        <w:t>71.4%</w:t>
      </w:r>
    </w:p>
    <w:p>
      <w:pPr>
        <w:pStyle w:val="bodytableII-C"/>
        <w:rPr/>
      </w:pPr>
      <w:r>
        <w:rPr/>
        <w:t xml:space="preserve">Jan-00 </w:t>
        <w:tab/>
        <w:t xml:space="preserve">12.55 </w:t>
        <w:tab/>
        <w:t xml:space="preserve">11.55 </w:t>
        <w:tab/>
        <w:t xml:space="preserve">9.80 </w:t>
        <w:tab/>
        <w:t xml:space="preserve">13.95 </w:t>
        <w:tab/>
        <w:t xml:space="preserve">13.75 </w:t>
        <w:tab/>
        <w:t>90.0%</w:t>
        <w:tab/>
        <w:t>82.8%</w:t>
        <w:tab/>
        <w:t>71.3%</w:t>
      </w:r>
    </w:p>
    <w:p>
      <w:pPr>
        <w:pStyle w:val="bodytableII-C"/>
        <w:spacing w:lineRule="auto" w:line="240"/>
        <w:rPr/>
      </w:pPr>
      <w:r>
        <w:rPr/>
      </w:r>
    </w:p>
    <w:p>
      <w:pPr>
        <w:pStyle w:val="Normal"/>
        <w:tabs>
          <w:tab w:val="clear" w:pos="720"/>
          <w:tab w:val="left" w:pos="216" w:leader="none"/>
          <w:tab w:val="left" w:pos="576" w:leader="none"/>
          <w:tab w:val="left" w:pos="2592" w:leader="none"/>
          <w:tab w:val="left" w:pos="3744" w:leader="none"/>
          <w:tab w:val="center" w:pos="5112" w:leader="none"/>
          <w:tab w:val="center" w:pos="6264" w:leader="none"/>
          <w:tab w:val="left" w:pos="7272" w:leader="none"/>
          <w:tab w:val="center" w:pos="7416" w:leader="none"/>
          <w:tab w:val="center" w:pos="8496" w:leader="none"/>
          <w:tab w:val="right" w:pos="9648" w:leader="none"/>
        </w:tabs>
        <w:spacing w:lineRule="exact" w:line="240"/>
        <w:ind w:hanging="576" w:start="576" w:end="0"/>
        <w:rPr>
          <w:sz w:val="20"/>
          <w:szCs w:val="20"/>
        </w:rPr>
      </w:pPr>
      <w:r>
        <w:rPr>
          <w:sz w:val="20"/>
          <w:szCs w:val="20"/>
        </w:rPr>
        <w:t>Note:</w:t>
        <w:tab/>
        <w:t>Fuel oil netbacks reflect spot cargo prices less freight, import duty, and oil spill tax.</w:t>
      </w:r>
      <w:r>
        <w:br w:type="page"/>
      </w:r>
    </w:p>
    <w:p>
      <w:pPr>
        <w:pStyle w:val="Heading4"/>
        <w:ind w:hanging="0" w:start="0"/>
        <w:rPr/>
      </w:pPr>
      <w:r>
        <w:rPr/>
        <w:t>Figure II-D:  Spot Northwest Europe Resid and Crude Oil Prices</w:t>
      </w:r>
    </w:p>
    <w:p>
      <w:pPr>
        <w:pStyle w:val="Normal"/>
        <w:rPr/>
      </w:pPr>
      <w:r>
        <w:rPr/>
        <w:drawing>
          <wp:inline distT="0" distB="0" distL="0" distR="0">
            <wp:extent cx="5931535" cy="428053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4"/>
                    <a:stretch>
                      <a:fillRect/>
                    </a:stretch>
                  </pic:blipFill>
                  <pic:spPr bwMode="auto">
                    <a:xfrm>
                      <a:off x="0" y="0"/>
                      <a:ext cx="5931535" cy="4280535"/>
                    </a:xfrm>
                    <a:prstGeom prst="rect">
                      <a:avLst/>
                    </a:prstGeom>
                    <a:noFill/>
                  </pic:spPr>
                </pic:pic>
              </a:graphicData>
            </a:graphic>
          </wp:inline>
        </w:drawing>
      </w:r>
    </w:p>
    <w:p>
      <w:pPr>
        <w:pStyle w:val="Normal"/>
        <w:rPr/>
      </w:pPr>
      <w:r>
        <w:rPr/>
      </w:r>
    </w:p>
    <w:p>
      <w:pPr>
        <w:pStyle w:val="L1tabs2d"/>
        <w:spacing w:lineRule="exact" w:line="200"/>
        <w:rPr/>
      </w:pPr>
      <w:r>
        <w:rPr/>
        <w:tab/>
        <w:tab/>
        <w:tab/>
        <w:tab/>
        <w:tab/>
        <w:t>Price Ratios</w:t>
        <w:br/>
        <w:tab/>
      </w:r>
      <w:r>
        <w:rPr>
          <w:u w:val="single"/>
        </w:rPr>
        <w:tab/>
        <w:t>Prices in US$/Barrel</w:t>
        <w:tab/>
      </w:r>
      <w:r>
        <w:rPr/>
        <w:tab/>
      </w:r>
      <w:r>
        <w:rPr>
          <w:u w:val="single"/>
        </w:rPr>
        <w:tab/>
        <w:t>in Percentages</w:t>
        <w:tab/>
      </w:r>
    </w:p>
    <w:p>
      <w:pPr>
        <w:pStyle w:val="L2tablesIId"/>
        <w:jc w:val="start"/>
        <w:rPr/>
      </w:pPr>
      <w:r>
        <w:rPr/>
        <w:tab/>
        <w:t>Fuel Oil</w:t>
        <w:tab/>
        <w:t>Crude Oil</w:t>
        <w:tab/>
        <w:tab/>
      </w:r>
    </w:p>
    <w:p>
      <w:pPr>
        <w:pStyle w:val="L2tablesIId"/>
        <w:spacing w:lineRule="exact" w:line="200"/>
        <w:jc w:val="start"/>
        <w:rPr/>
      </w:pPr>
      <w:r>
        <w:rPr/>
        <w:tab/>
        <w:t>Northwest Europe</w:t>
        <w:tab/>
        <w:t>Delivered to</w:t>
        <w:tab/>
        <w:tab/>
        <w:t>FOB Fuel Oil to</w:t>
      </w:r>
    </w:p>
    <w:p>
      <w:pPr>
        <w:pStyle w:val="L3tablesIId"/>
        <w:spacing w:lineRule="exact" w:line="200"/>
        <w:jc w:val="start"/>
        <w:rPr/>
      </w:pPr>
      <w:r>
        <w:rPr/>
        <w:tab/>
      </w:r>
      <w:r>
        <w:rPr>
          <w:u w:val="single"/>
        </w:rPr>
        <w:tab/>
        <w:t>FOB Cargos</w:t>
        <w:tab/>
      </w:r>
      <w:r>
        <w:rPr/>
        <w:tab/>
      </w:r>
      <w:r>
        <w:rPr>
          <w:u w:val="single"/>
        </w:rPr>
        <w:tab/>
        <w:t>Rotterdam</w:t>
        <w:tab/>
      </w:r>
      <w:r>
        <w:rPr/>
        <w:tab/>
      </w:r>
      <w:r>
        <w:rPr>
          <w:u w:val="single"/>
        </w:rPr>
        <w:tab/>
        <w:t>Delivered Crude</w:t>
        <w:tab/>
      </w:r>
      <w:r>
        <w:rPr/>
        <w:br/>
      </w:r>
    </w:p>
    <w:p>
      <w:pPr>
        <w:pStyle w:val="L4tablesIId"/>
        <w:spacing w:lineRule="exact" w:line="200"/>
        <w:rPr/>
      </w:pPr>
      <w:r>
        <w:rPr/>
        <w:tab/>
        <w:tab/>
        <w:tab/>
        <w:tab/>
        <w:tab/>
        <w:t>1.0%S</w:t>
        <w:tab/>
        <w:t>3.5%S</w:t>
        <w:br/>
        <w:tab/>
        <w:tab/>
        <w:tab/>
        <w:tab/>
        <w:tab/>
        <w:t>to</w:t>
        <w:tab/>
        <w:t>to</w:t>
        <w:br/>
      </w:r>
      <w:r>
        <w:rPr>
          <w:u w:val="single"/>
        </w:rPr>
        <w:t>Period</w:t>
      </w:r>
      <w:r>
        <w:rPr/>
        <w:tab/>
      </w:r>
      <w:r>
        <w:rPr>
          <w:u w:val="single"/>
        </w:rPr>
        <w:t>1.0%S</w:t>
        <w:tab/>
        <w:t>3.5%S</w:t>
      </w:r>
      <w:r>
        <w:rPr/>
        <w:tab/>
      </w:r>
      <w:r>
        <w:rPr>
          <w:u w:val="single"/>
        </w:rPr>
        <w:t>Brent</w:t>
        <w:tab/>
        <w:t>Dubai</w:t>
      </w:r>
      <w:r>
        <w:rPr/>
        <w:tab/>
      </w:r>
      <w:r>
        <w:rPr>
          <w:u w:val="single"/>
        </w:rPr>
        <w:t>Brent</w:t>
        <w:tab/>
        <w:t>Dubai</w:t>
      </w:r>
    </w:p>
    <w:p>
      <w:pPr>
        <w:pStyle w:val="bott2D"/>
        <w:rPr/>
      </w:pPr>
      <w:r>
        <w:rPr/>
        <w:t xml:space="preserve">Feb-99 </w:t>
        <w:tab/>
        <w:t xml:space="preserve">8.55 </w:t>
        <w:tab/>
        <w:t xml:space="preserve">7.85 </w:t>
        <w:tab/>
        <w:t xml:space="preserve">10.71 </w:t>
        <w:tab/>
        <w:t xml:space="preserve">11.34 </w:t>
        <w:tab/>
        <w:t>79.8%</w:t>
        <w:tab/>
        <w:t>69.3%</w:t>
      </w:r>
    </w:p>
    <w:p>
      <w:pPr>
        <w:pStyle w:val="bott2D"/>
        <w:rPr/>
      </w:pPr>
      <w:r>
        <w:rPr/>
        <w:t xml:space="preserve">Mar-99 </w:t>
        <w:tab/>
        <w:t xml:space="preserve">9.50 </w:t>
        <w:tab/>
        <w:t xml:space="preserve">8.25 </w:t>
        <w:tab/>
        <w:t xml:space="preserve">12.00 </w:t>
        <w:tab/>
        <w:t xml:space="preserve">12.75 </w:t>
        <w:tab/>
        <w:t>79.2%</w:t>
        <w:tab/>
        <w:t>64.7%</w:t>
      </w:r>
    </w:p>
    <w:p>
      <w:pPr>
        <w:pStyle w:val="bott2D"/>
        <w:rPr/>
      </w:pPr>
      <w:r>
        <w:rPr/>
        <w:t xml:space="preserve">Apr-99 </w:t>
        <w:tab/>
        <w:t xml:space="preserve">9.75 </w:t>
        <w:tab/>
        <w:t xml:space="preserve">8.50 </w:t>
        <w:tab/>
        <w:t xml:space="preserve">12.50 </w:t>
        <w:tab/>
        <w:t xml:space="preserve">13.10 </w:t>
        <w:tab/>
        <w:t>78.0%</w:t>
        <w:tab/>
        <w:t>64.9%</w:t>
      </w:r>
    </w:p>
    <w:p>
      <w:pPr>
        <w:pStyle w:val="bott2D"/>
        <w:rPr/>
      </w:pPr>
      <w:r>
        <w:rPr/>
        <w:t xml:space="preserve">May-99 </w:t>
        <w:tab/>
        <w:t xml:space="preserve">9.95 </w:t>
        <w:tab/>
        <w:t xml:space="preserve">8.75 </w:t>
        <w:tab/>
        <w:t xml:space="preserve">12.65 </w:t>
        <w:tab/>
        <w:t xml:space="preserve">13.15 </w:t>
        <w:tab/>
        <w:t>78.7%</w:t>
        <w:tab/>
        <w:t>66.5%</w:t>
      </w:r>
    </w:p>
    <w:p>
      <w:pPr>
        <w:pStyle w:val="bott2D"/>
        <w:rPr/>
      </w:pPr>
      <w:r>
        <w:rPr/>
        <w:t xml:space="preserve">Jun-99 </w:t>
        <w:tab/>
        <w:t xml:space="preserve">10.15 </w:t>
        <w:tab/>
        <w:t xml:space="preserve">8.85 </w:t>
        <w:tab/>
        <w:t xml:space="preserve">12.80 </w:t>
        <w:tab/>
        <w:t xml:space="preserve">13.25 </w:t>
        <w:tab/>
        <w:t>79.3%</w:t>
        <w:tab/>
        <w:t>66.8%</w:t>
      </w:r>
    </w:p>
    <w:p>
      <w:pPr>
        <w:pStyle w:val="bott2D"/>
        <w:rPr/>
      </w:pPr>
      <w:r>
        <w:rPr/>
        <w:t xml:space="preserve">Jul-99 </w:t>
        <w:tab/>
        <w:t xml:space="preserve">10.25 </w:t>
        <w:tab/>
        <w:t xml:space="preserve">9.00 </w:t>
        <w:tab/>
        <w:t xml:space="preserve">12.80 </w:t>
        <w:tab/>
        <w:t xml:space="preserve">13.35 </w:t>
        <w:tab/>
        <w:t>80.1%</w:t>
        <w:tab/>
        <w:t>67.4%</w:t>
      </w:r>
    </w:p>
    <w:p>
      <w:pPr>
        <w:pStyle w:val="bott2D"/>
        <w:rPr/>
      </w:pPr>
      <w:r>
        <w:rPr/>
        <w:t xml:space="preserve">Aug-99 </w:t>
        <w:tab/>
        <w:t xml:space="preserve">10.35 </w:t>
        <w:tab/>
        <w:t xml:space="preserve">9.00 </w:t>
        <w:tab/>
        <w:t xml:space="preserve">12.80 </w:t>
        <w:tab/>
        <w:t xml:space="preserve">13.45 </w:t>
        <w:tab/>
        <w:t>80.9%</w:t>
        <w:tab/>
        <w:t>66.9%</w:t>
      </w:r>
    </w:p>
    <w:p>
      <w:pPr>
        <w:pStyle w:val="bott2D"/>
        <w:rPr/>
      </w:pPr>
      <w:r>
        <w:rPr/>
        <w:t xml:space="preserve">Sep-99 </w:t>
        <w:tab/>
        <w:t xml:space="preserve">10.35 </w:t>
        <w:tab/>
        <w:t xml:space="preserve">9.15 </w:t>
        <w:tab/>
        <w:t xml:space="preserve">12.90 </w:t>
        <w:tab/>
        <w:t xml:space="preserve">13.40 </w:t>
        <w:tab/>
        <w:t>80.2%</w:t>
        <w:tab/>
        <w:t>68.3%</w:t>
      </w:r>
    </w:p>
    <w:p>
      <w:pPr>
        <w:pStyle w:val="bott2D"/>
        <w:rPr/>
      </w:pPr>
      <w:r>
        <w:rPr/>
        <w:t xml:space="preserve">Oct-99 </w:t>
        <w:tab/>
        <w:t xml:space="preserve">10.45 </w:t>
        <w:tab/>
        <w:t xml:space="preserve">9.20 </w:t>
        <w:tab/>
        <w:t xml:space="preserve">12.85 </w:t>
        <w:tab/>
        <w:t xml:space="preserve">13.40 </w:t>
        <w:tab/>
        <w:t>81.3%</w:t>
        <w:tab/>
        <w:t>68.7%</w:t>
      </w:r>
    </w:p>
    <w:p>
      <w:pPr>
        <w:pStyle w:val="bott2D"/>
        <w:rPr/>
      </w:pPr>
      <w:r>
        <w:rPr/>
        <w:t xml:space="preserve">Nov-99 </w:t>
        <w:tab/>
        <w:t xml:space="preserve">10.65 </w:t>
        <w:tab/>
        <w:t xml:space="preserve">9.50 </w:t>
        <w:tab/>
        <w:t xml:space="preserve">13.10 </w:t>
        <w:tab/>
        <w:t xml:space="preserve">13.65 </w:t>
        <w:tab/>
        <w:t>81.3%</w:t>
        <w:tab/>
        <w:t>69.6%</w:t>
      </w:r>
    </w:p>
    <w:p>
      <w:pPr>
        <w:pStyle w:val="bott2D"/>
        <w:rPr/>
      </w:pPr>
      <w:r>
        <w:rPr/>
        <w:t xml:space="preserve">Dec-99 </w:t>
        <w:tab/>
        <w:t xml:space="preserve">10.90 </w:t>
        <w:tab/>
        <w:t xml:space="preserve">9.75 </w:t>
        <w:tab/>
        <w:t xml:space="preserve">13.30 </w:t>
        <w:tab/>
        <w:t xml:space="preserve">13.75 </w:t>
        <w:tab/>
        <w:t>82.0%</w:t>
        <w:tab/>
        <w:t>70.9%</w:t>
      </w:r>
    </w:p>
    <w:p>
      <w:pPr>
        <w:pStyle w:val="bott2D"/>
        <w:rPr/>
      </w:pPr>
      <w:r>
        <w:rPr/>
        <w:t xml:space="preserve">Jan-00 </w:t>
        <w:tab/>
        <w:t xml:space="preserve">11.25 </w:t>
        <w:tab/>
        <w:t xml:space="preserve">9.95 </w:t>
        <w:tab/>
        <w:t xml:space="preserve">13.50 </w:t>
        <w:tab/>
        <w:t xml:space="preserve">13.85 </w:t>
        <w:tab/>
        <w:t>83.3%</w:t>
        <w:tab/>
        <w:t>71.8%</w:t>
      </w:r>
    </w:p>
    <w:p>
      <w:pPr>
        <w:pStyle w:val="bott2D"/>
        <w:rPr/>
      </w:pPr>
      <w:r>
        <w:rPr/>
      </w:r>
    </w:p>
    <w:p>
      <w:pPr>
        <w:pStyle w:val="Normal"/>
        <w:tabs>
          <w:tab w:val="clear" w:pos="720"/>
          <w:tab w:val="left" w:pos="792" w:leader="none"/>
          <w:tab w:val="center" w:pos="3888" w:leader="none"/>
          <w:tab w:val="center" w:pos="7776" w:leader="none"/>
          <w:tab w:val="center" w:pos="8208" w:leader="none"/>
        </w:tabs>
        <w:spacing w:lineRule="exact" w:line="240"/>
        <w:ind w:hanging="792" w:start="792" w:end="0"/>
        <w:rPr>
          <w:sz w:val="20"/>
          <w:szCs w:val="20"/>
        </w:rPr>
      </w:pPr>
      <w:r>
        <w:rPr>
          <w:sz w:val="20"/>
          <w:szCs w:val="20"/>
        </w:rPr>
        <w:t>Note:</w:t>
        <w:tab/>
        <w:t>Conversions in barrels per metric tons are 6.4367 for 1.0%S and 6.3250 for 3.5%S.</w:t>
      </w:r>
      <w:r>
        <w:br w:type="page"/>
      </w:r>
    </w:p>
    <w:p>
      <w:pPr>
        <w:pStyle w:val="Heading4"/>
        <w:ind w:hanging="0" w:start="0"/>
        <w:rPr/>
      </w:pPr>
      <w:r>
        <w:rPr/>
        <w:t>Figure II-E:  Mediterranean Resid and Crude Oil Prices</w:t>
      </w:r>
    </w:p>
    <w:p>
      <w:pPr>
        <w:pStyle w:val="Normal"/>
        <w:rPr/>
      </w:pPr>
      <w:r>
        <w:rPr/>
      </w:r>
    </w:p>
    <w:p>
      <w:pPr>
        <w:pStyle w:val="Normal"/>
        <w:jc w:val="center"/>
        <w:rPr/>
      </w:pPr>
      <w:r>
        <w:rPr/>
        <w:drawing>
          <wp:inline distT="0" distB="0" distL="0" distR="0">
            <wp:extent cx="5931535" cy="428053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5"/>
                    <a:stretch>
                      <a:fillRect/>
                    </a:stretch>
                  </pic:blipFill>
                  <pic:spPr bwMode="auto">
                    <a:xfrm>
                      <a:off x="0" y="0"/>
                      <a:ext cx="5931535" cy="4280535"/>
                    </a:xfrm>
                    <a:prstGeom prst="rect">
                      <a:avLst/>
                    </a:prstGeom>
                    <a:noFill/>
                  </pic:spPr>
                </pic:pic>
              </a:graphicData>
            </a:graphic>
          </wp:inline>
        </w:drawing>
      </w:r>
    </w:p>
    <w:p>
      <w:pPr>
        <w:pStyle w:val="Normal"/>
        <w:jc w:val="center"/>
        <w:rPr/>
      </w:pPr>
      <w:r>
        <w:rPr/>
      </w:r>
    </w:p>
    <w:p>
      <w:pPr>
        <w:pStyle w:val="L1tabs2d"/>
        <w:rPr/>
      </w:pPr>
      <w:r>
        <w:rPr/>
        <w:tab/>
        <w:tab/>
        <w:tab/>
        <w:tab/>
        <w:tab/>
        <w:t>Price Ratios</w:t>
        <w:br/>
        <w:tab/>
      </w:r>
      <w:r>
        <w:rPr>
          <w:u w:val="single"/>
        </w:rPr>
        <w:tab/>
        <w:t>Prices in US$/Barrel</w:t>
        <w:tab/>
      </w:r>
      <w:r>
        <w:rPr/>
        <w:tab/>
      </w:r>
      <w:r>
        <w:rPr>
          <w:u w:val="single"/>
        </w:rPr>
        <w:tab/>
        <w:t>in Percentages</w:t>
        <w:tab/>
      </w:r>
    </w:p>
    <w:p>
      <w:pPr>
        <w:pStyle w:val="L2tablesIId"/>
        <w:spacing w:lineRule="exact" w:line="200"/>
        <w:jc w:val="start"/>
        <w:rPr/>
      </w:pPr>
      <w:r>
        <w:rPr/>
        <w:tab/>
        <w:t>Fuel Oil</w:t>
        <w:tab/>
        <w:t>Crude Oil</w:t>
        <w:tab/>
        <w:tab/>
        <w:br/>
        <w:tab/>
        <w:t>Mediterranean</w:t>
        <w:tab/>
        <w:t>Delivered to</w:t>
        <w:tab/>
        <w:tab/>
        <w:t>FOB Fuel Oil To</w:t>
      </w:r>
    </w:p>
    <w:p>
      <w:pPr>
        <w:pStyle w:val="L3tablesIId"/>
        <w:tabs>
          <w:tab w:val="clear" w:pos="8064"/>
          <w:tab w:val="left" w:pos="1368" w:leader="none"/>
          <w:tab w:val="center" w:pos="2232" w:leader="none"/>
          <w:tab w:val="right" w:pos="3096" w:leader="none"/>
          <w:tab w:val="left" w:pos="4320" w:leader="none"/>
          <w:tab w:val="center" w:pos="5184" w:leader="none"/>
          <w:tab w:val="right" w:pos="5976" w:leader="none"/>
          <w:tab w:val="left" w:pos="7128" w:leader="none"/>
          <w:tab w:val="center" w:pos="8100" w:leader="none"/>
          <w:tab w:val="right" w:pos="9072" w:leader="none"/>
        </w:tabs>
        <w:spacing w:lineRule="exact" w:line="200"/>
        <w:jc w:val="start"/>
        <w:rPr/>
      </w:pPr>
      <w:r>
        <w:rPr/>
        <w:tab/>
      </w:r>
      <w:r>
        <w:rPr>
          <w:u w:val="single"/>
        </w:rPr>
        <w:tab/>
        <w:t>FOB Cargos</w:t>
        <w:tab/>
      </w:r>
      <w:r>
        <w:rPr/>
        <w:tab/>
      </w:r>
      <w:r>
        <w:rPr>
          <w:u w:val="single"/>
        </w:rPr>
        <w:tab/>
        <w:t>Genoa</w:t>
        <w:tab/>
      </w:r>
      <w:r>
        <w:rPr/>
        <w:tab/>
      </w:r>
      <w:r>
        <w:rPr>
          <w:u w:val="single"/>
        </w:rPr>
        <w:tab/>
        <w:t>Delivered Crude</w:t>
        <w:tab/>
      </w:r>
      <w:r>
        <w:rPr/>
        <w:br/>
      </w:r>
    </w:p>
    <w:p>
      <w:pPr>
        <w:pStyle w:val="L4tablesIId"/>
        <w:spacing w:lineRule="exact" w:line="200"/>
        <w:rPr/>
      </w:pPr>
      <w:r>
        <w:rPr/>
        <w:tab/>
        <w:tab/>
        <w:tab/>
        <w:tab/>
        <w:tab/>
        <w:t>1.0%S</w:t>
        <w:tab/>
        <w:t>3.5%S</w:t>
        <w:br/>
        <w:tab/>
        <w:tab/>
        <w:tab/>
        <w:t>Bonny</w:t>
        <w:tab/>
        <w:tab/>
        <w:t>to</w:t>
        <w:tab/>
        <w:t>to</w:t>
        <w:br/>
      </w:r>
      <w:r>
        <w:rPr>
          <w:u w:val="single"/>
        </w:rPr>
        <w:t>Period</w:t>
      </w:r>
      <w:r>
        <w:rPr/>
        <w:tab/>
      </w:r>
      <w:r>
        <w:rPr>
          <w:u w:val="single"/>
        </w:rPr>
        <w:t>1.0%S</w:t>
        <w:tab/>
        <w:t>3.5%S</w:t>
      </w:r>
      <w:r>
        <w:rPr/>
        <w:tab/>
      </w:r>
      <w:r>
        <w:rPr>
          <w:u w:val="single"/>
        </w:rPr>
        <w:t>Light</w:t>
        <w:tab/>
        <w:t>Dubai</w:t>
      </w:r>
      <w:r>
        <w:rPr/>
        <w:tab/>
      </w:r>
      <w:r>
        <w:rPr>
          <w:u w:val="single"/>
        </w:rPr>
        <w:t>Bonny</w:t>
        <w:tab/>
        <w:t>Dubai</w:t>
      </w:r>
    </w:p>
    <w:p>
      <w:pPr>
        <w:pStyle w:val="bott2D"/>
        <w:rPr/>
      </w:pPr>
      <w:r>
        <w:rPr/>
        <w:t xml:space="preserve">Feb-99 </w:t>
        <w:tab/>
        <w:t xml:space="preserve">8.70 </w:t>
        <w:tab/>
        <w:t xml:space="preserve">7.85 </w:t>
        <w:tab/>
        <w:t xml:space="preserve">11.06 </w:t>
        <w:tab/>
        <w:t xml:space="preserve">11.30 </w:t>
        <w:tab/>
        <w:t>78.6%</w:t>
        <w:tab/>
        <w:t>69.5%</w:t>
      </w:r>
    </w:p>
    <w:p>
      <w:pPr>
        <w:pStyle w:val="bott2D"/>
        <w:rPr/>
      </w:pPr>
      <w:r>
        <w:rPr/>
        <w:t xml:space="preserve">Mar-99 </w:t>
        <w:tab/>
        <w:t xml:space="preserve">9.65 </w:t>
        <w:tab/>
        <w:t xml:space="preserve">8.25 </w:t>
        <w:tab/>
        <w:t xml:space="preserve">12.25 </w:t>
        <w:tab/>
        <w:t xml:space="preserve">12.50 </w:t>
        <w:tab/>
        <w:t>78.8%</w:t>
        <w:tab/>
        <w:t>66.0%</w:t>
      </w:r>
    </w:p>
    <w:p>
      <w:pPr>
        <w:pStyle w:val="bott2D"/>
        <w:rPr/>
      </w:pPr>
      <w:r>
        <w:rPr/>
        <w:t xml:space="preserve">Apr-99 </w:t>
        <w:tab/>
        <w:t xml:space="preserve">9.85 </w:t>
        <w:tab/>
        <w:t xml:space="preserve">8.50 </w:t>
        <w:tab/>
        <w:t xml:space="preserve">12.80 </w:t>
        <w:tab/>
        <w:t xml:space="preserve">13.05 </w:t>
        <w:tab/>
        <w:t>77.0%</w:t>
        <w:tab/>
        <w:t>65.1%</w:t>
      </w:r>
    </w:p>
    <w:p>
      <w:pPr>
        <w:pStyle w:val="bott2D"/>
        <w:rPr/>
      </w:pPr>
      <w:r>
        <w:rPr/>
        <w:t xml:space="preserve">May-99 </w:t>
        <w:tab/>
        <w:t xml:space="preserve">10.10 </w:t>
        <w:tab/>
        <w:t xml:space="preserve">9.00 </w:t>
        <w:tab/>
        <w:t xml:space="preserve">12.95 </w:t>
        <w:tab/>
        <w:t xml:space="preserve">13.10 </w:t>
        <w:tab/>
        <w:t>78.0%</w:t>
        <w:tab/>
        <w:t>68.7%</w:t>
      </w:r>
    </w:p>
    <w:p>
      <w:pPr>
        <w:pStyle w:val="bott2D"/>
        <w:rPr/>
      </w:pPr>
      <w:r>
        <w:rPr/>
        <w:t xml:space="preserve">Jun-99 </w:t>
        <w:tab/>
        <w:t xml:space="preserve">10.35 </w:t>
        <w:tab/>
        <w:t xml:space="preserve">9.20 </w:t>
        <w:tab/>
        <w:t xml:space="preserve">13.15 </w:t>
        <w:tab/>
        <w:t xml:space="preserve">13.20 </w:t>
        <w:tab/>
        <w:t>78.7%</w:t>
        <w:tab/>
        <w:t>69.7%</w:t>
      </w:r>
    </w:p>
    <w:p>
      <w:pPr>
        <w:pStyle w:val="bott2D"/>
        <w:rPr/>
      </w:pPr>
      <w:r>
        <w:rPr/>
        <w:t xml:space="preserve">Jul-99 </w:t>
        <w:tab/>
        <w:t xml:space="preserve">10.60 </w:t>
        <w:tab/>
        <w:t xml:space="preserve">9.35 </w:t>
        <w:tab/>
        <w:t xml:space="preserve">13.20 </w:t>
        <w:tab/>
        <w:t xml:space="preserve">13.30 </w:t>
        <w:tab/>
        <w:t>80.3%</w:t>
        <w:tab/>
        <w:t>70.3%</w:t>
      </w:r>
    </w:p>
    <w:p>
      <w:pPr>
        <w:pStyle w:val="bott2D"/>
        <w:rPr/>
      </w:pPr>
      <w:r>
        <w:rPr/>
        <w:t xml:space="preserve">Aug-99 </w:t>
        <w:tab/>
        <w:t xml:space="preserve">10.70 </w:t>
        <w:tab/>
        <w:t xml:space="preserve">9.10 </w:t>
        <w:tab/>
        <w:t xml:space="preserve">13.15 </w:t>
        <w:tab/>
        <w:t xml:space="preserve">13.40 </w:t>
        <w:tab/>
        <w:t>81.4%</w:t>
        <w:tab/>
        <w:t>67.9%</w:t>
      </w:r>
    </w:p>
    <w:p>
      <w:pPr>
        <w:pStyle w:val="bott2D"/>
        <w:rPr/>
      </w:pPr>
      <w:r>
        <w:rPr/>
        <w:t xml:space="preserve">Sep-99 </w:t>
        <w:tab/>
        <w:t xml:space="preserve">10.60 </w:t>
        <w:tab/>
        <w:t xml:space="preserve">9.40 </w:t>
        <w:tab/>
        <w:t xml:space="preserve">13.15 </w:t>
        <w:tab/>
        <w:t xml:space="preserve">13.30 </w:t>
        <w:tab/>
        <w:t>80.6%</w:t>
        <w:tab/>
        <w:t>70.7%</w:t>
      </w:r>
    </w:p>
    <w:p>
      <w:pPr>
        <w:pStyle w:val="bott2D"/>
        <w:rPr/>
      </w:pPr>
      <w:r>
        <w:rPr/>
        <w:t xml:space="preserve">Oct-99 </w:t>
        <w:tab/>
        <w:t xml:space="preserve">10.60 </w:t>
        <w:tab/>
        <w:t xml:space="preserve">9.45 </w:t>
        <w:tab/>
        <w:t xml:space="preserve">13.15 </w:t>
        <w:tab/>
        <w:t xml:space="preserve">13.30 </w:t>
        <w:tab/>
        <w:t>80.6%</w:t>
        <w:tab/>
        <w:t>71.1%</w:t>
      </w:r>
    </w:p>
    <w:p>
      <w:pPr>
        <w:pStyle w:val="bott2D"/>
        <w:rPr/>
      </w:pPr>
      <w:r>
        <w:rPr/>
        <w:t xml:space="preserve">Nov-99 </w:t>
        <w:tab/>
        <w:t xml:space="preserve">10.80 </w:t>
        <w:tab/>
        <w:t xml:space="preserve">9.75 </w:t>
        <w:tab/>
        <w:t xml:space="preserve">13.50 </w:t>
        <w:tab/>
        <w:t xml:space="preserve">13.65 </w:t>
        <w:tab/>
        <w:t>80.0%</w:t>
        <w:tab/>
        <w:t>71.4%</w:t>
      </w:r>
    </w:p>
    <w:p>
      <w:pPr>
        <w:pStyle w:val="bott2D"/>
        <w:rPr/>
      </w:pPr>
      <w:r>
        <w:rPr/>
        <w:t xml:space="preserve">Dec-99 </w:t>
        <w:tab/>
        <w:t xml:space="preserve">11.10 </w:t>
        <w:tab/>
        <w:t xml:space="preserve">10.05 </w:t>
        <w:tab/>
        <w:t xml:space="preserve">13.75 </w:t>
        <w:tab/>
        <w:t xml:space="preserve">13.70 </w:t>
        <w:tab/>
        <w:t>80.7%</w:t>
        <w:tab/>
        <w:t>73.4%</w:t>
      </w:r>
    </w:p>
    <w:p>
      <w:pPr>
        <w:pStyle w:val="bott2D"/>
        <w:rPr/>
      </w:pPr>
      <w:r>
        <w:rPr/>
        <w:t xml:space="preserve">Jan-00 </w:t>
        <w:tab/>
        <w:t xml:space="preserve">11.45 </w:t>
        <w:tab/>
        <w:t xml:space="preserve">10.30 </w:t>
        <w:tab/>
        <w:t xml:space="preserve">13.95 </w:t>
        <w:tab/>
        <w:t xml:space="preserve">13.80 </w:t>
        <w:tab/>
        <w:t>82.1%</w:t>
        <w:tab/>
        <w:t>74.6%</w:t>
      </w:r>
    </w:p>
    <w:p>
      <w:pPr>
        <w:pStyle w:val="bott2D"/>
        <w:rPr/>
      </w:pPr>
      <w:r>
        <w:rPr/>
      </w:r>
    </w:p>
    <w:p>
      <w:pPr>
        <w:pStyle w:val="Normal"/>
        <w:tabs>
          <w:tab w:val="clear" w:pos="720"/>
          <w:tab w:val="left" w:pos="792" w:leader="none"/>
          <w:tab w:val="center" w:pos="3888" w:leader="none"/>
          <w:tab w:val="center" w:pos="7776" w:leader="none"/>
          <w:tab w:val="center" w:pos="8208" w:leader="none"/>
        </w:tabs>
        <w:spacing w:lineRule="exact" w:line="240"/>
        <w:ind w:hanging="792" w:start="792" w:end="0"/>
        <w:rPr>
          <w:sz w:val="20"/>
          <w:szCs w:val="20"/>
        </w:rPr>
      </w:pPr>
      <w:r>
        <w:rPr>
          <w:sz w:val="20"/>
          <w:szCs w:val="20"/>
        </w:rPr>
        <w:t>Note:</w:t>
        <w:tab/>
        <w:t>Conversions in barrels per metric tons are 6.4367 for 1.0%S and 6.3250 for 3.5%S.</w:t>
      </w:r>
      <w:r>
        <w:br w:type="page"/>
      </w:r>
    </w:p>
    <w:p>
      <w:pPr>
        <w:pStyle w:val="Heading4"/>
        <w:ind w:hanging="0" w:start="0"/>
        <w:rPr/>
      </w:pPr>
      <w:r>
        <w:rPr/>
        <w:t>Figure II-F:  Spot Singapore Resid and Crude Oil Prices</w:t>
      </w:r>
    </w:p>
    <w:p>
      <w:pPr>
        <w:pStyle w:val="Normal"/>
        <w:rPr/>
      </w:pPr>
      <w:r>
        <w:rPr/>
        <w:drawing>
          <wp:inline distT="0" distB="0" distL="0" distR="0">
            <wp:extent cx="5931535" cy="428053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6"/>
                    <a:stretch>
                      <a:fillRect/>
                    </a:stretch>
                  </pic:blipFill>
                  <pic:spPr bwMode="auto">
                    <a:xfrm>
                      <a:off x="0" y="0"/>
                      <a:ext cx="5931535" cy="4280535"/>
                    </a:xfrm>
                    <a:prstGeom prst="rect">
                      <a:avLst/>
                    </a:prstGeom>
                    <a:noFill/>
                  </pic:spPr>
                </pic:pic>
              </a:graphicData>
            </a:graphic>
          </wp:inline>
        </w:drawing>
      </w:r>
    </w:p>
    <w:p>
      <w:pPr>
        <w:pStyle w:val="Normal"/>
        <w:rPr/>
      </w:pPr>
      <w:r>
        <w:rPr/>
      </w:r>
    </w:p>
    <w:p>
      <w:pPr>
        <w:pStyle w:val="Normal"/>
        <w:rPr/>
      </w:pPr>
      <w:r>
        <w:rPr/>
      </w:r>
    </w:p>
    <w:p>
      <w:pPr>
        <w:pStyle w:val="L1tabs2d"/>
        <w:rPr/>
      </w:pPr>
      <w:r>
        <w:rPr/>
        <w:tab/>
        <w:tab/>
        <w:tab/>
        <w:tab/>
        <w:tab/>
        <w:t>Price Ratios</w:t>
        <w:br/>
        <w:tab/>
      </w:r>
      <w:r>
        <w:rPr>
          <w:u w:val="single"/>
        </w:rPr>
        <w:tab/>
        <w:t>Prices in US$/Barrel</w:t>
        <w:tab/>
      </w:r>
      <w:r>
        <w:rPr/>
        <w:tab/>
      </w:r>
      <w:r>
        <w:rPr>
          <w:u w:val="single"/>
        </w:rPr>
        <w:tab/>
        <w:t>in Percentages</w:t>
        <w:tab/>
      </w:r>
    </w:p>
    <w:p>
      <w:pPr>
        <w:pStyle w:val="L2tablesIId"/>
        <w:spacing w:lineRule="exact" w:line="200"/>
        <w:jc w:val="start"/>
        <w:rPr/>
      </w:pPr>
      <w:r>
        <w:rPr/>
        <w:tab/>
        <w:t>Fuel Oil</w:t>
        <w:tab/>
        <w:t>Crude Oil</w:t>
        <w:tab/>
        <w:tab/>
        <w:br/>
        <w:tab/>
        <w:t>Singapore</w:t>
        <w:tab/>
        <w:t>Delivered to</w:t>
        <w:tab/>
        <w:tab/>
        <w:t xml:space="preserve">FOB Fuel Oil to </w:t>
      </w:r>
    </w:p>
    <w:p>
      <w:pPr>
        <w:pStyle w:val="L3tablesIId"/>
        <w:tabs>
          <w:tab w:val="clear" w:pos="1368"/>
          <w:tab w:val="clear" w:pos="3096"/>
          <w:tab w:val="clear" w:pos="5976"/>
          <w:tab w:val="clear" w:pos="7128"/>
          <w:tab w:val="left" w:pos="1260" w:leader="none"/>
          <w:tab w:val="center" w:pos="2232" w:leader="none"/>
          <w:tab w:val="right" w:pos="3330" w:leader="none"/>
          <w:tab w:val="left" w:pos="4320" w:leader="none"/>
          <w:tab w:val="center" w:pos="5184" w:leader="none"/>
          <w:tab w:val="right" w:pos="6120" w:leader="none"/>
          <w:tab w:val="left" w:pos="7020" w:leader="none"/>
          <w:tab w:val="center" w:pos="8064" w:leader="none"/>
          <w:tab w:val="right" w:pos="9072" w:leader="none"/>
        </w:tabs>
        <w:jc w:val="start"/>
        <w:rPr/>
      </w:pPr>
      <w:r>
        <w:rPr/>
        <w:tab/>
      </w:r>
      <w:r>
        <w:rPr>
          <w:u w:val="single"/>
        </w:rPr>
        <w:tab/>
        <w:t>FOB Cargos</w:t>
        <w:tab/>
      </w:r>
      <w:r>
        <w:rPr/>
        <w:tab/>
      </w:r>
      <w:r>
        <w:rPr>
          <w:u w:val="single"/>
        </w:rPr>
        <w:tab/>
        <w:t>Singapore</w:t>
        <w:tab/>
      </w:r>
      <w:r>
        <w:rPr/>
        <w:tab/>
      </w:r>
      <w:r>
        <w:rPr>
          <w:u w:val="single"/>
        </w:rPr>
        <w:tab/>
        <w:t>Delivered Crude</w:t>
        <w:tab/>
      </w:r>
      <w:r>
        <w:rPr/>
        <w:br/>
      </w:r>
    </w:p>
    <w:p>
      <w:pPr>
        <w:pStyle w:val="L4tablesIId"/>
        <w:spacing w:lineRule="exact" w:line="200"/>
        <w:rPr/>
      </w:pPr>
      <w:r>
        <w:rPr/>
        <w:tab/>
        <w:tab/>
        <w:tab/>
        <w:tab/>
        <w:tab/>
        <w:t>LSWR</w:t>
        <w:tab/>
        <w:t>HSFO/380</w:t>
        <w:br/>
        <w:tab/>
        <w:tab/>
        <w:tab/>
        <w:tab/>
        <w:tab/>
        <w:t>to</w:t>
        <w:tab/>
        <w:t>to</w:t>
        <w:br/>
      </w:r>
      <w:r>
        <w:rPr>
          <w:u w:val="single"/>
        </w:rPr>
        <w:t>Period</w:t>
      </w:r>
      <w:r>
        <w:rPr/>
        <w:tab/>
      </w:r>
      <w:r>
        <w:rPr>
          <w:u w:val="single"/>
        </w:rPr>
        <w:t>LSWR</w:t>
        <w:tab/>
        <w:t>HSFO/380</w:t>
      </w:r>
      <w:r>
        <w:rPr/>
        <w:tab/>
      </w:r>
      <w:r>
        <w:rPr>
          <w:u w:val="single"/>
        </w:rPr>
        <w:t>Minas</w:t>
        <w:tab/>
        <w:t>Dubai</w:t>
      </w:r>
      <w:r>
        <w:rPr/>
        <w:tab/>
      </w:r>
      <w:r>
        <w:rPr>
          <w:u w:val="single"/>
        </w:rPr>
        <w:t>Minas</w:t>
        <w:tab/>
        <w:t>Dubai</w:t>
      </w:r>
    </w:p>
    <w:p>
      <w:pPr>
        <w:pStyle w:val="bott2D"/>
        <w:rPr/>
      </w:pPr>
      <w:r>
        <w:rPr/>
        <w:t xml:space="preserve">Feb-99 </w:t>
        <w:tab/>
        <w:t xml:space="preserve">9.00 </w:t>
        <w:tab/>
        <w:t xml:space="preserve">8.50 </w:t>
        <w:tab/>
        <w:t xml:space="preserve">10.92 </w:t>
        <w:tab/>
        <w:t xml:space="preserve">10.54 </w:t>
        <w:tab/>
        <w:t>82.4%</w:t>
        <w:tab/>
        <w:t>80.6%</w:t>
      </w:r>
    </w:p>
    <w:p>
      <w:pPr>
        <w:pStyle w:val="bott2D"/>
        <w:rPr/>
      </w:pPr>
      <w:r>
        <w:rPr/>
        <w:t xml:space="preserve">Mar-99 </w:t>
        <w:tab/>
        <w:t xml:space="preserve">10.25 </w:t>
        <w:tab/>
        <w:t xml:space="preserve">9.50 </w:t>
        <w:tab/>
        <w:t xml:space="preserve">11.90 </w:t>
        <w:tab/>
        <w:t xml:space="preserve">11.95 </w:t>
        <w:tab/>
        <w:t>86.1%</w:t>
        <w:tab/>
        <w:t>79.5%</w:t>
      </w:r>
    </w:p>
    <w:p>
      <w:pPr>
        <w:pStyle w:val="bott2D"/>
        <w:rPr/>
      </w:pPr>
      <w:r>
        <w:rPr/>
        <w:t xml:space="preserve">Apr-99 </w:t>
        <w:tab/>
        <w:t xml:space="preserve">10.50 </w:t>
        <w:tab/>
        <w:t xml:space="preserve">9.65 </w:t>
        <w:tab/>
        <w:t xml:space="preserve">12.25 </w:t>
        <w:tab/>
        <w:t xml:space="preserve">12.35 </w:t>
        <w:tab/>
        <w:t>85.7%</w:t>
        <w:tab/>
        <w:t>78.1%</w:t>
      </w:r>
    </w:p>
    <w:p>
      <w:pPr>
        <w:pStyle w:val="bott2D"/>
        <w:rPr/>
      </w:pPr>
      <w:r>
        <w:rPr/>
        <w:t xml:space="preserve">May-99 </w:t>
        <w:tab/>
        <w:t xml:space="preserve">10.50 </w:t>
        <w:tab/>
        <w:t xml:space="preserve">10.25 </w:t>
        <w:tab/>
        <w:t xml:space="preserve">12.10 </w:t>
        <w:tab/>
        <w:t xml:space="preserve">12.35 </w:t>
        <w:tab/>
        <w:t>86.8%</w:t>
        <w:tab/>
        <w:t>83.0%</w:t>
      </w:r>
    </w:p>
    <w:p>
      <w:pPr>
        <w:pStyle w:val="bott2D"/>
        <w:rPr/>
      </w:pPr>
      <w:r>
        <w:rPr/>
        <w:t xml:space="preserve">Jun-99 </w:t>
        <w:tab/>
        <w:t xml:space="preserve">10.60 </w:t>
        <w:tab/>
        <w:t xml:space="preserve">10.35 </w:t>
        <w:tab/>
        <w:t xml:space="preserve">12.20 </w:t>
        <w:tab/>
        <w:t xml:space="preserve">12.45 </w:t>
        <w:tab/>
        <w:t>86.9%</w:t>
        <w:tab/>
        <w:t>83.1%</w:t>
      </w:r>
    </w:p>
    <w:p>
      <w:pPr>
        <w:pStyle w:val="bott2D"/>
        <w:rPr/>
      </w:pPr>
      <w:r>
        <w:rPr/>
        <w:t xml:space="preserve">Jul-99 </w:t>
        <w:tab/>
        <w:t xml:space="preserve">10.95 </w:t>
        <w:tab/>
        <w:t xml:space="preserve">10.40 </w:t>
        <w:tab/>
        <w:t xml:space="preserve">12.60 </w:t>
        <w:tab/>
        <w:t xml:space="preserve">12.55 </w:t>
        <w:tab/>
        <w:t>86.9%</w:t>
        <w:tab/>
        <w:t>82.9%</w:t>
      </w:r>
    </w:p>
    <w:p>
      <w:pPr>
        <w:pStyle w:val="bott2D"/>
        <w:rPr/>
      </w:pPr>
      <w:r>
        <w:rPr/>
        <w:t xml:space="preserve">Aug-99 </w:t>
        <w:tab/>
        <w:t xml:space="preserve">11.20 </w:t>
        <w:tab/>
        <w:t xml:space="preserve">10.60 </w:t>
        <w:tab/>
        <w:t xml:space="preserve">12.80 </w:t>
        <w:tab/>
        <w:t xml:space="preserve">12.65 </w:t>
        <w:tab/>
        <w:t>87.5%</w:t>
        <w:tab/>
        <w:t>83.8%</w:t>
      </w:r>
    </w:p>
    <w:p>
      <w:pPr>
        <w:pStyle w:val="bott2D"/>
        <w:rPr/>
      </w:pPr>
      <w:r>
        <w:rPr/>
        <w:t xml:space="preserve">Sep-99 </w:t>
        <w:tab/>
        <w:t xml:space="preserve">11.00 </w:t>
        <w:tab/>
        <w:t xml:space="preserve">10.65 </w:t>
        <w:tab/>
        <w:t xml:space="preserve">12.80 </w:t>
        <w:tab/>
        <w:t xml:space="preserve">12.70 </w:t>
        <w:tab/>
        <w:t>85.9%</w:t>
        <w:tab/>
        <w:t>83.9%</w:t>
      </w:r>
    </w:p>
    <w:p>
      <w:pPr>
        <w:pStyle w:val="bott2D"/>
        <w:rPr/>
      </w:pPr>
      <w:r>
        <w:rPr/>
        <w:t xml:space="preserve">Oct-99 </w:t>
        <w:tab/>
        <w:t xml:space="preserve">11.20 </w:t>
        <w:tab/>
        <w:t xml:space="preserve">10.75 </w:t>
        <w:tab/>
        <w:t xml:space="preserve">12.50 </w:t>
        <w:tab/>
        <w:t xml:space="preserve">12.70 </w:t>
        <w:tab/>
        <w:t>89.6%</w:t>
        <w:tab/>
        <w:t>84.6%</w:t>
      </w:r>
    </w:p>
    <w:p>
      <w:pPr>
        <w:pStyle w:val="bott2D"/>
        <w:rPr/>
      </w:pPr>
      <w:r>
        <w:rPr/>
        <w:t xml:space="preserve">Nov-99 </w:t>
        <w:tab/>
        <w:t xml:space="preserve">11.35 </w:t>
        <w:tab/>
        <w:t xml:space="preserve">10.85 </w:t>
        <w:tab/>
        <w:t xml:space="preserve">12.60 </w:t>
        <w:tab/>
        <w:t xml:space="preserve">12.85 </w:t>
        <w:tab/>
        <w:t>90.1%</w:t>
        <w:tab/>
        <w:t>84.4%</w:t>
      </w:r>
    </w:p>
    <w:p>
      <w:pPr>
        <w:pStyle w:val="bott2D"/>
        <w:rPr/>
      </w:pPr>
      <w:r>
        <w:rPr/>
        <w:t xml:space="preserve">Dec-99 </w:t>
        <w:tab/>
        <w:t xml:space="preserve">11.50 </w:t>
        <w:tab/>
        <w:t xml:space="preserve">11.35 </w:t>
        <w:tab/>
        <w:t xml:space="preserve">13.00 </w:t>
        <w:tab/>
        <w:t xml:space="preserve">13.00 </w:t>
        <w:tab/>
        <w:t>88.5%</w:t>
        <w:tab/>
        <w:t>87.3%</w:t>
      </w:r>
    </w:p>
    <w:p>
      <w:pPr>
        <w:pStyle w:val="bott2D"/>
        <w:rPr/>
      </w:pPr>
      <w:r>
        <w:rPr/>
        <w:t xml:space="preserve">Jan-00 </w:t>
        <w:tab/>
        <w:t xml:space="preserve">11.60 </w:t>
        <w:tab/>
        <w:t xml:space="preserve">11.45 </w:t>
        <w:tab/>
        <w:t xml:space="preserve">13.20 </w:t>
        <w:tab/>
        <w:t xml:space="preserve">13.10 </w:t>
        <w:tab/>
        <w:t>87.9%</w:t>
        <w:tab/>
        <w:t>87.4%</w:t>
      </w:r>
    </w:p>
    <w:p>
      <w:pPr>
        <w:pStyle w:val="bott2D"/>
        <w:rPr/>
      </w:pPr>
      <w:r>
        <w:rPr/>
      </w:r>
    </w:p>
    <w:p>
      <w:pPr>
        <w:pStyle w:val="Normal"/>
        <w:tabs>
          <w:tab w:val="clear" w:pos="720"/>
          <w:tab w:val="left" w:pos="792" w:leader="none"/>
          <w:tab w:val="center" w:pos="3888" w:leader="none"/>
          <w:tab w:val="center" w:pos="7776" w:leader="none"/>
          <w:tab w:val="center" w:pos="8208" w:leader="none"/>
        </w:tabs>
        <w:spacing w:lineRule="exact" w:line="240"/>
        <w:ind w:hanging="792" w:start="792" w:end="0"/>
        <w:rPr>
          <w:sz w:val="20"/>
          <w:szCs w:val="20"/>
        </w:rPr>
      </w:pPr>
      <w:r>
        <w:rPr>
          <w:sz w:val="20"/>
          <w:szCs w:val="20"/>
        </w:rPr>
        <w:t>Note:</w:t>
        <w:tab/>
        <w:t>HSFO converted at 6.4146 barrels per metric ton.</w:t>
      </w:r>
      <w:r>
        <w:br w:type="page"/>
      </w:r>
    </w:p>
    <w:p>
      <w:pPr>
        <w:pStyle w:val="Heading1"/>
        <w:ind w:hanging="0" w:start="0"/>
        <w:rPr/>
      </w:pPr>
      <w:r>
        <w:rPr/>
        <w:t>Part III:  SPECIAL FEATURE</w:t>
      </w:r>
    </w:p>
    <w:p>
      <w:pPr>
        <w:pStyle w:val="Normal"/>
        <w:jc w:val="center"/>
        <w:rPr/>
      </w:pPr>
      <w:r>
        <w:rPr/>
      </w:r>
    </w:p>
    <w:p>
      <w:pPr>
        <w:pStyle w:val="Heading4"/>
        <w:ind w:hanging="0" w:start="0"/>
        <w:rPr/>
      </w:pPr>
      <w:r>
        <w:rPr/>
        <w:t>Analysis of Resid Trades in the Eastern Mediterranean</w:t>
      </w:r>
    </w:p>
    <w:p>
      <w:pPr>
        <w:pStyle w:val="Normal"/>
        <w:rPr/>
      </w:pPr>
      <w:r>
        <w:rPr/>
      </w:r>
    </w:p>
    <w:p>
      <w:pPr>
        <w:pStyle w:val="Normal"/>
        <w:rPr/>
      </w:pPr>
      <w:r>
        <w:rPr/>
        <w:t xml:space="preserve">In this Special Feature, we assess fuel oil trades in the Eastern Mediterranean.  We selectively consider both exports and imports.  On the export side, we explore Egypt, Greece, Syria, and Turkey.  On the import side, we consider Cyprus, Greece, Israel, Lebanon, and Turkey.  </w:t>
      </w:r>
    </w:p>
    <w:p>
      <w:pPr>
        <w:pStyle w:val="Normal"/>
        <w:rPr/>
      </w:pPr>
      <w:r>
        <w:rPr/>
      </w:r>
    </w:p>
    <w:p>
      <w:pPr>
        <w:pStyle w:val="Normal"/>
        <w:rPr/>
      </w:pPr>
      <w:r>
        <w:rPr/>
        <w:t xml:space="preserve">We have examined regional trading patterns in previous Special Features.  We  considered resid trades in Scandinavia in the January 1999 issue of </w:t>
      </w:r>
      <w:r>
        <w:rPr>
          <w:i/>
          <w:iCs/>
        </w:rPr>
        <w:t>Fuel Oil in World Markets,</w:t>
      </w:r>
      <w:r>
        <w:rPr/>
        <w:t xml:space="preserve"> resid exports from South America in the November 1998 issue, and resid imports by Caribbean Islands in the April 1998 issue. </w:t>
      </w:r>
    </w:p>
    <w:p>
      <w:pPr>
        <w:pStyle w:val="Normal"/>
        <w:rPr/>
      </w:pPr>
      <w:r>
        <w:rPr/>
      </w:r>
    </w:p>
    <w:p>
      <w:pPr>
        <w:pStyle w:val="Normal"/>
        <w:keepNext w:val="true"/>
        <w:jc w:val="center"/>
        <w:rPr>
          <w:b/>
          <w:bCs/>
        </w:rPr>
      </w:pPr>
      <w:r>
        <w:rPr>
          <w:b/>
          <w:bCs/>
        </w:rPr>
        <w:t>Exports</w:t>
      </w:r>
    </w:p>
    <w:p>
      <w:pPr>
        <w:pStyle w:val="Normal"/>
        <w:keepNext w:val="true"/>
        <w:rPr>
          <w:b/>
          <w:bCs/>
        </w:rPr>
      </w:pPr>
      <w:r>
        <w:rPr>
          <w:b/>
          <w:bCs/>
        </w:rPr>
      </w:r>
    </w:p>
    <w:p>
      <w:pPr>
        <w:pStyle w:val="Normal"/>
        <w:keepNext w:val="true"/>
        <w:rPr>
          <w:b/>
          <w:bCs/>
        </w:rPr>
      </w:pPr>
      <w:r>
        <w:rPr>
          <w:b/>
          <w:bCs/>
        </w:rPr>
        <w:t>Egypt</w:t>
      </w:r>
    </w:p>
    <w:p>
      <w:pPr>
        <w:pStyle w:val="Normal"/>
        <w:keepNext w:val="true"/>
        <w:rPr>
          <w:b/>
          <w:bCs/>
        </w:rPr>
      </w:pPr>
      <w:r>
        <w:rPr>
          <w:b/>
          <w:bCs/>
        </w:rPr>
      </w:r>
    </w:p>
    <w:p>
      <w:pPr>
        <w:pStyle w:val="Normal"/>
        <w:rPr/>
      </w:pPr>
      <w:r>
        <w:rPr/>
        <w:t>The Egyptian General Petroleum Corp. exports both low- and high-sulfur long resid.</w:t>
      </w:r>
    </w:p>
    <w:p>
      <w:pPr>
        <w:pStyle w:val="Normal"/>
        <w:rPr/>
      </w:pPr>
      <w:r>
        <w:rPr/>
      </w:r>
    </w:p>
    <w:p>
      <w:pPr>
        <w:pStyle w:val="Normal"/>
        <w:rPr/>
      </w:pPr>
      <w:r>
        <w:rPr/>
        <w:t>Low-sulfur long resid is exported at Alexandria.  The material originates at both the Alexandria and Amerya refineries.  Alexandria material is 0.7%S maximum and Amerya material is 1%S maximum.  Under past practice, the two resid streams have not been blended together.  On an aggregate basis, EGPC has lately been exporting four-five cargoes a month of low-sulfur long resid on a spot basis.  Cargoes are 25-30,000 tons.</w:t>
      </w:r>
    </w:p>
    <w:p>
      <w:pPr>
        <w:pStyle w:val="Normal"/>
        <w:rPr/>
      </w:pPr>
      <w:r>
        <w:rPr/>
      </w:r>
    </w:p>
    <w:p>
      <w:pPr>
        <w:pStyle w:val="Normal"/>
        <w:rPr/>
      </w:pPr>
      <w:r>
        <w:rPr/>
        <w:t>In recent months, refiners have generally shown little interest in processing incremental volumes of long resid.  As such, Egypt’s low-sulfur long resid has mainly moved to outlets in the Mediterranean burning market, such as Italy. EGPC has just recently tendered the sale of 8 cargoes of 1%S maximum resid FOB Alexandria for lifting April to June, 1999.</w:t>
      </w:r>
    </w:p>
    <w:p>
      <w:pPr>
        <w:pStyle w:val="Normal"/>
        <w:rPr/>
      </w:pPr>
      <w:r>
        <w:rPr/>
      </w:r>
    </w:p>
    <w:p>
      <w:pPr>
        <w:pStyle w:val="Normal"/>
        <w:rPr/>
      </w:pPr>
      <w:r>
        <w:rPr/>
        <w:t>EGPC exports 2.7%S long resid from the Suez refinery.  Due to internal demand, Suez long resid is often not available for export in winter months.  Indeed, little or no Suez material has been exported since November.  EGPC, however, is offering for sale a 40-45,000 ton Suez cargo for lifting in mid-March.  In non-winter months availabilities tend to run two-three cargoes a month in 30-40,000 ton parcels.  When available for export, the 200 cSt Suez material moves East for use in the Fujairah bunker market or stays in the Mediterranean for use in refinery feedstock or burning applications.</w:t>
      </w:r>
    </w:p>
    <w:p>
      <w:pPr>
        <w:pStyle w:val="Normal"/>
        <w:rPr>
          <w:b/>
          <w:bCs/>
        </w:rPr>
      </w:pPr>
      <w:r>
        <w:rPr>
          <w:b/>
          <w:bCs/>
        </w:rPr>
      </w:r>
    </w:p>
    <w:p>
      <w:pPr>
        <w:pStyle w:val="Normal"/>
        <w:keepNext w:val="true"/>
        <w:rPr>
          <w:b/>
          <w:bCs/>
        </w:rPr>
      </w:pPr>
      <w:r>
        <w:rPr>
          <w:b/>
          <w:bCs/>
        </w:rPr>
        <w:t>Greece</w:t>
      </w:r>
    </w:p>
    <w:p>
      <w:pPr>
        <w:pStyle w:val="Normal"/>
        <w:keepNext w:val="true"/>
        <w:rPr>
          <w:b/>
          <w:bCs/>
        </w:rPr>
      </w:pPr>
      <w:r>
        <w:rPr>
          <w:b/>
          <w:bCs/>
        </w:rPr>
      </w:r>
    </w:p>
    <w:p>
      <w:pPr>
        <w:pStyle w:val="Normal"/>
        <w:rPr/>
      </w:pPr>
      <w:r>
        <w:rPr/>
        <w:t>The 100,000 b/d Petrola Hellas refinery, which mainly processes Iranian crude, produces 180,000 tons a month of high-sulfur (3.0%S maximum) long resid.  Most of Petrola Hellas’s resid finds local uses in Greece (namely, the Greek bunker market or feedstock use by another Greek refiner).  After serving local uses, some 150,000 tons a year is available for export.  Exports tend to move to market in 20-30,000 ton lots. Petrola Hellas exports fuel oil on a spot, FOB basis.  Refinery outlets for Petrola Hellas’s long resid are located in Italy and France.  In the next three or four years, Petrola Hellas plans to install upgrading equipment (hydrocracker, a solvent deasphalter, a visbreaker, and a thermal cracker) which will reduce fuel oil production by at least half.</w:t>
      </w:r>
    </w:p>
    <w:p>
      <w:pPr>
        <w:pStyle w:val="Normal"/>
        <w:jc w:val="center"/>
        <w:rPr>
          <w:b/>
          <w:bCs/>
        </w:rPr>
      </w:pPr>
      <w:r>
        <w:rPr>
          <w:b/>
          <w:bCs/>
        </w:rPr>
      </w:r>
    </w:p>
    <w:p>
      <w:pPr>
        <w:pStyle w:val="Normal"/>
        <w:keepNext w:val="true"/>
        <w:rPr>
          <w:b/>
          <w:bCs/>
        </w:rPr>
      </w:pPr>
      <w:r>
        <w:rPr>
          <w:b/>
          <w:bCs/>
        </w:rPr>
        <w:t>Syria</w:t>
      </w:r>
    </w:p>
    <w:p>
      <w:pPr>
        <w:pStyle w:val="Normal"/>
        <w:keepNext w:val="true"/>
        <w:rPr>
          <w:b/>
          <w:bCs/>
        </w:rPr>
      </w:pPr>
      <w:r>
        <w:rPr>
          <w:b/>
          <w:bCs/>
        </w:rPr>
      </w:r>
    </w:p>
    <w:p>
      <w:pPr>
        <w:pStyle w:val="Normal"/>
        <w:rPr/>
      </w:pPr>
      <w:r>
        <w:rPr/>
        <w:t>Syria’s Sytrol exports an estimated 150-180,000 tons a month of medium- and high-sulfur fuel oil.  Syria sells fuel oil directly to customers in Cyprus and Lebanon.  These sales constitute an estimated 40 percent of supply.  The rest is tendered on a spot cargo-by-cargo basis ex-Banias.  The pricing basis is FOB Mediterranean HSFO quotations.  The spot cargoes (usually 40-50,000 tons) generally find homes in the Mediterranean burning market.</w:t>
      </w:r>
    </w:p>
    <w:p>
      <w:pPr>
        <w:pStyle w:val="Normal"/>
        <w:rPr/>
      </w:pPr>
      <w:r>
        <w:rPr/>
      </w:r>
    </w:p>
    <w:p>
      <w:pPr>
        <w:pStyle w:val="Normal"/>
        <w:rPr/>
      </w:pPr>
      <w:r>
        <w:rPr/>
        <w:t>In addition to fuel oil, Sytrol exports one cargo every two or three months of low-sulfur VGO.</w:t>
      </w:r>
    </w:p>
    <w:p>
      <w:pPr>
        <w:pStyle w:val="Normal"/>
        <w:rPr/>
      </w:pPr>
      <w:r>
        <w:rPr/>
      </w:r>
    </w:p>
    <w:p>
      <w:pPr>
        <w:pStyle w:val="Normal"/>
        <w:keepNext w:val="true"/>
        <w:rPr>
          <w:b/>
          <w:bCs/>
        </w:rPr>
      </w:pPr>
      <w:r>
        <w:rPr>
          <w:b/>
          <w:bCs/>
        </w:rPr>
        <w:t>Turkey</w:t>
      </w:r>
    </w:p>
    <w:p>
      <w:pPr>
        <w:pStyle w:val="Normal"/>
        <w:keepNext w:val="true"/>
        <w:jc w:val="center"/>
        <w:rPr>
          <w:b/>
          <w:bCs/>
        </w:rPr>
      </w:pPr>
      <w:r>
        <w:rPr>
          <w:b/>
          <w:bCs/>
        </w:rPr>
      </w:r>
    </w:p>
    <w:p>
      <w:pPr>
        <w:pStyle w:val="Normal"/>
        <w:keepNext w:val="true"/>
        <w:rPr>
          <w:b/>
          <w:bCs/>
        </w:rPr>
      </w:pPr>
      <w:r>
        <w:rPr>
          <w:b/>
          <w:bCs/>
        </w:rPr>
        <w:tab/>
        <w:t>Atas</w:t>
      </w:r>
    </w:p>
    <w:p>
      <w:pPr>
        <w:pStyle w:val="Normal"/>
        <w:keepNext w:val="true"/>
        <w:rPr>
          <w:b/>
          <w:bCs/>
        </w:rPr>
      </w:pPr>
      <w:r>
        <w:rPr>
          <w:b/>
          <w:bCs/>
        </w:rPr>
      </w:r>
    </w:p>
    <w:p>
      <w:pPr>
        <w:pStyle w:val="Normal"/>
        <w:rPr/>
      </w:pPr>
      <w:r>
        <w:rPr/>
        <w:t xml:space="preserve">Anadalu Tasfiyehanesi AS (Atas) owns a 100,000 b/d topping plant at Mersin, on the Mediterranean coast.  Mobil holds a 51 percent interest in Atas, Shell 27 percent, BP 17 percent, and local Marmara Petrol ve Rafineri Isleri 5 percent.  (Under the BP-Mobil downstream joint venture, BP handles the decision making on production and exports for the BP-Mobil share of Atas.)  </w:t>
      </w:r>
    </w:p>
    <w:p>
      <w:pPr>
        <w:pStyle w:val="Normal"/>
        <w:rPr/>
      </w:pPr>
      <w:r>
        <w:rPr/>
      </w:r>
    </w:p>
    <w:p>
      <w:pPr>
        <w:pStyle w:val="Normal"/>
        <w:rPr/>
      </w:pPr>
      <w:r>
        <w:rPr/>
        <w:t xml:space="preserve">The Atas refinery produces 120-140,000 tons a month of high-sulfur long resid.  Exports of Atas resid run approximately 30,000 tons a month.  The material moves on a delivered contract basis for utility use in the Mediterranean.  The delivered price for 4%S maximum resid is based on FOB Mediterranean HSFO quotations.  </w:t>
        <w:br/>
      </w:r>
    </w:p>
    <w:p>
      <w:pPr>
        <w:pStyle w:val="Normal"/>
        <w:keepNext w:val="true"/>
        <w:rPr>
          <w:b/>
          <w:bCs/>
        </w:rPr>
      </w:pPr>
      <w:r>
        <w:rPr>
          <w:b/>
          <w:bCs/>
        </w:rPr>
        <w:tab/>
        <w:t>Tupras</w:t>
      </w:r>
    </w:p>
    <w:p>
      <w:pPr>
        <w:pStyle w:val="Normal"/>
        <w:keepNext w:val="true"/>
        <w:rPr>
          <w:b/>
          <w:bCs/>
        </w:rPr>
      </w:pPr>
      <w:r>
        <w:rPr>
          <w:b/>
          <w:bCs/>
        </w:rPr>
      </w:r>
    </w:p>
    <w:p>
      <w:pPr>
        <w:pStyle w:val="Normal"/>
        <w:keepNext w:val="true"/>
        <w:rPr/>
      </w:pPr>
      <w:r>
        <w:rPr/>
        <w:t>Tupras only exported one 50,000 ton cargo of HSFO in 1998.</w:t>
      </w:r>
    </w:p>
    <w:p>
      <w:pPr>
        <w:pStyle w:val="Normal"/>
        <w:rPr>
          <w:b/>
          <w:bCs/>
        </w:rPr>
      </w:pPr>
      <w:r>
        <w:rPr>
          <w:b/>
          <w:bCs/>
        </w:rPr>
      </w:r>
    </w:p>
    <w:p>
      <w:pPr>
        <w:pStyle w:val="Normal"/>
        <w:keepNext w:val="true"/>
        <w:jc w:val="center"/>
        <w:rPr>
          <w:b/>
          <w:bCs/>
        </w:rPr>
      </w:pPr>
      <w:r>
        <w:rPr>
          <w:b/>
          <w:bCs/>
        </w:rPr>
        <w:t>Imports</w:t>
      </w:r>
    </w:p>
    <w:p>
      <w:pPr>
        <w:pStyle w:val="Normal"/>
        <w:keepNext w:val="true"/>
        <w:jc w:val="center"/>
        <w:rPr>
          <w:b/>
          <w:bCs/>
        </w:rPr>
      </w:pPr>
      <w:r>
        <w:rPr>
          <w:b/>
          <w:bCs/>
        </w:rPr>
      </w:r>
    </w:p>
    <w:p>
      <w:pPr>
        <w:pStyle w:val="Normal"/>
        <w:keepNext w:val="true"/>
        <w:rPr>
          <w:b/>
          <w:bCs/>
        </w:rPr>
      </w:pPr>
      <w:r>
        <w:rPr>
          <w:b/>
          <w:bCs/>
        </w:rPr>
        <w:t>Cyprus</w:t>
      </w:r>
    </w:p>
    <w:p>
      <w:pPr>
        <w:pStyle w:val="Normal"/>
        <w:keepNext w:val="true"/>
        <w:rPr>
          <w:b/>
          <w:bCs/>
        </w:rPr>
      </w:pPr>
      <w:r>
        <w:rPr>
          <w:b/>
          <w:bCs/>
        </w:rPr>
      </w:r>
    </w:p>
    <w:p>
      <w:pPr>
        <w:pStyle w:val="Normal"/>
        <w:rPr/>
      </w:pPr>
      <w:r>
        <w:rPr/>
        <w:t>The Electricity Authority of Cyprus (EAC) requires 500-600,000 tons a year of imported fuel oil.  The fuel oil, with maximum sulfur content of 2%S, is supplied under term contracts by trader Glencore International and Syria’s Sytrol.  Glencore provides fuel oil with asphaltenes maximum of 7.0 percent by weight, while Sytrol provides material with an asphaltenes content of 2.0-3.0 weight percent.  Glencore and Sytrol generally deliver the resid in 30,000 ton lots.  In addition to imports, the Cyprus utility buys about 300,000 tons a year of resid with an average sulfur content of 2.0 percent from the local 27,000 b/d Cyprus Petroleum Refinery.  EAC burns fuel oil at two power plants —  Dhekelia (360 MW) and Moni (180 MW).</w:t>
      </w:r>
    </w:p>
    <w:p>
      <w:pPr>
        <w:pStyle w:val="Normal"/>
        <w:rPr/>
      </w:pPr>
      <w:r>
        <w:rPr/>
      </w:r>
    </w:p>
    <w:p>
      <w:pPr>
        <w:pStyle w:val="Normal"/>
        <w:rPr/>
      </w:pPr>
      <w:r>
        <w:rPr/>
        <w:t>EAC will require imported low-sulfur fuel oil for its new power plant at Vasilikos.  The plant will be constructed in three 240 MW stages.  The first stage is scheduled to  be completed by early 2000.  Eventually, the Moni plant will be demolished.</w:t>
      </w:r>
    </w:p>
    <w:p>
      <w:pPr>
        <w:pStyle w:val="Normal"/>
        <w:rPr>
          <w:b/>
          <w:bCs/>
        </w:rPr>
      </w:pPr>
      <w:r>
        <w:rPr>
          <w:b/>
          <w:bCs/>
        </w:rPr>
      </w:r>
    </w:p>
    <w:p>
      <w:pPr>
        <w:pStyle w:val="Normal"/>
        <w:keepNext w:val="true"/>
        <w:rPr>
          <w:b/>
          <w:bCs/>
        </w:rPr>
      </w:pPr>
      <w:r>
        <w:rPr>
          <w:b/>
          <w:bCs/>
        </w:rPr>
        <w:t>Greece</w:t>
      </w:r>
    </w:p>
    <w:p>
      <w:pPr>
        <w:pStyle w:val="Normal"/>
        <w:keepNext w:val="true"/>
        <w:rPr>
          <w:b/>
          <w:bCs/>
        </w:rPr>
      </w:pPr>
      <w:r>
        <w:rPr>
          <w:b/>
          <w:bCs/>
        </w:rPr>
      </w:r>
    </w:p>
    <w:p>
      <w:pPr>
        <w:pStyle w:val="Normal"/>
        <w:rPr/>
      </w:pPr>
      <w:r>
        <w:rPr/>
        <w:t xml:space="preserve">Hellenic Petroleum has two refineries — the 66,000 b/d Thessaloniki plant and the 121,000 b/d Aspropyrgos plant. </w:t>
      </w:r>
    </w:p>
    <w:p>
      <w:pPr>
        <w:pStyle w:val="Normal"/>
        <w:rPr/>
      </w:pPr>
      <w:r>
        <w:rPr/>
      </w:r>
    </w:p>
    <w:p>
      <w:pPr>
        <w:pStyle w:val="Normal"/>
        <w:rPr/>
      </w:pPr>
      <w:r>
        <w:rPr/>
        <w:t>The Thessaloniki plant, in northern Greece produces some 1.4 million tons a year of 2.8-3.0%S straight-run fuel oil.  The material is sold to Public Power Corporation or moves to Hellenic’s Aspropyrgos refinery in southern Greece for processing.  The Thessaloniki plant was shut down in February after a fire caused serious damage to a crude distillation unit.  The plant will remain closed for the next three or four months.</w:t>
      </w:r>
    </w:p>
    <w:p>
      <w:pPr>
        <w:pStyle w:val="Normal"/>
        <w:rPr/>
      </w:pPr>
      <w:r>
        <w:rPr/>
      </w:r>
    </w:p>
    <w:p>
      <w:pPr>
        <w:pStyle w:val="Normal"/>
        <w:rPr/>
      </w:pPr>
      <w:r>
        <w:rPr/>
        <w:t xml:space="preserve">Hellenic’s Aspropyrgos plant produces roughly 1.5 million tons a year of cracked high-sulfur fuel oil (3.2-3.5%S).  Generally, all of Aspropyrgos’s resid is used in the local inland and bunker markets.  In addition to moving long resid from its Thessaloniki plant to the Aspropyrgos refinery, Hellenic purchases heavy feedstock for Aspropyrgos.  The purchased material comes from both Greek and foreign sources.  </w:t>
      </w:r>
    </w:p>
    <w:p>
      <w:pPr>
        <w:pStyle w:val="Normal"/>
        <w:rPr/>
      </w:pPr>
      <w:r>
        <w:rPr/>
      </w:r>
    </w:p>
    <w:p>
      <w:pPr>
        <w:pStyle w:val="Normal"/>
        <w:rPr/>
      </w:pPr>
      <w:r>
        <w:rPr/>
        <w:t>In 1998, Hellenic purchased an estimated 100,000 tons of high-sulfur SRFO and 100,000 tons of VGO for use at Aspropyrgos.  A local source of high-sulfur long resid is Petrola Hellas.  A foreign source of long resid is Russia.  The long resid from Greek sources comes in 20,000 ton lots, while imports generally arrive in 30,000 ton lots.  Similarly, purchased VGO comes from local sources as well as foreign (e.g., Russia).  VGO from Greek sources arrives in 20,000 ton lots, while VGO from Russia arrives in variable size cargoes, ranging from 3,000 to 30,000 tons.</w:t>
      </w:r>
    </w:p>
    <w:p>
      <w:pPr>
        <w:pStyle w:val="Normal"/>
        <w:rPr/>
      </w:pPr>
      <w:r>
        <w:rPr/>
      </w:r>
    </w:p>
    <w:p>
      <w:pPr>
        <w:pStyle w:val="Normal"/>
        <w:keepNext w:val="true"/>
        <w:rPr>
          <w:b/>
          <w:bCs/>
        </w:rPr>
      </w:pPr>
      <w:r>
        <w:rPr>
          <w:b/>
          <w:bCs/>
        </w:rPr>
        <w:t>Israel</w:t>
      </w:r>
    </w:p>
    <w:p>
      <w:pPr>
        <w:pStyle w:val="Normal"/>
        <w:keepNext w:val="true"/>
        <w:rPr/>
      </w:pPr>
      <w:r>
        <w:rPr/>
      </w:r>
    </w:p>
    <w:p>
      <w:pPr>
        <w:pStyle w:val="Normal"/>
        <w:rPr/>
      </w:pPr>
      <w:r>
        <w:rPr/>
        <w:t>In recent years, Israel Electric Corp. (IEC) has purchased 2.0-2.3 million tons a year of fuel oil.</w:t>
      </w:r>
    </w:p>
    <w:p>
      <w:pPr>
        <w:pStyle w:val="Normal"/>
        <w:rPr/>
      </w:pPr>
      <w:r>
        <w:rPr/>
      </w:r>
    </w:p>
    <w:p>
      <w:pPr>
        <w:pStyle w:val="Normal"/>
        <w:rPr/>
      </w:pPr>
      <w:r>
        <w:rPr/>
        <w:t>The import component of IEC’s fuel oil purchases varies widely.  Imports accounted for 32 percent of purchases in 1996, 64 percent in 1997, and 82 percent in 1998.  According to an IEC forecast, imports will account for 41 percent of 1999 purchases of 2.3 million tons.</w:t>
      </w:r>
    </w:p>
    <w:p>
      <w:pPr>
        <w:pStyle w:val="Normal"/>
        <w:rPr/>
      </w:pPr>
      <w:r>
        <w:rPr/>
      </w:r>
    </w:p>
    <w:p>
      <w:pPr>
        <w:pStyle w:val="Normal"/>
        <w:rPr/>
      </w:pPr>
      <w:r>
        <w:rPr/>
        <w:t xml:space="preserve">IEC consumes three grades of fuel oil — 0.5%S, 1.0%S, and 2.0%S.  While IEC imported 64,000 tons of 0.5%S resid in 1998, it expects to import none in 1999.  Imports of 1%S resid are expected to fall from 1.3 million tons in 1998 to 650,000 tons in 1999.  Imports of 2.0%S resid are expected to fall from 443,000 tons in 1998 to 300,000 tons in 1999. </w:t>
      </w:r>
    </w:p>
    <w:p>
      <w:pPr>
        <w:pStyle w:val="Normal"/>
        <w:rPr/>
      </w:pPr>
      <w:r>
        <w:rPr/>
      </w:r>
    </w:p>
    <w:p>
      <w:pPr>
        <w:pStyle w:val="Normal"/>
        <w:rPr/>
      </w:pPr>
      <w:r>
        <w:rPr/>
        <w:t xml:space="preserve">IEC burns fuel oil primarily at three power plants — Haifa (400 MW), Tel Aviv (500 MW), and Ashdod (1,200).  The Haifa and Tel Aviv plants burns 1%S resid.  Ashdod burns mainly burns the 2%S and 1%S grades of fuel oil (s well as a modest amount of  0.5%S resid). </w:t>
      </w:r>
    </w:p>
    <w:p>
      <w:pPr>
        <w:pStyle w:val="Normal"/>
        <w:rPr/>
      </w:pPr>
      <w:r>
        <w:rPr/>
      </w:r>
    </w:p>
    <w:p>
      <w:pPr>
        <w:pStyle w:val="Normal"/>
        <w:rPr/>
      </w:pPr>
      <w:r>
        <w:rPr/>
        <w:t>Over the near term, new coal-fired generation could lead to a decline in Israeli fuel oil consumption.  Two 575 MW units are scheduled to start operation at Ashkelon between June 2000 and June 2001.</w:t>
      </w:r>
    </w:p>
    <w:p>
      <w:pPr>
        <w:pStyle w:val="Normal"/>
        <w:rPr/>
      </w:pPr>
      <w:r>
        <w:rPr/>
      </w:r>
    </w:p>
    <w:p>
      <w:pPr>
        <w:pStyle w:val="Normal"/>
        <w:keepNext w:val="true"/>
        <w:rPr>
          <w:b/>
          <w:bCs/>
        </w:rPr>
      </w:pPr>
      <w:r>
        <w:rPr>
          <w:b/>
          <w:bCs/>
        </w:rPr>
        <w:t>Lebanon</w:t>
      </w:r>
    </w:p>
    <w:p>
      <w:pPr>
        <w:pStyle w:val="Normal"/>
        <w:keepNext w:val="true"/>
        <w:rPr>
          <w:b/>
          <w:bCs/>
        </w:rPr>
      </w:pPr>
      <w:r>
        <w:rPr>
          <w:b/>
          <w:bCs/>
        </w:rPr>
      </w:r>
    </w:p>
    <w:p>
      <w:pPr>
        <w:pStyle w:val="Normal"/>
        <w:rPr/>
      </w:pPr>
      <w:r>
        <w:rPr/>
        <w:t>Lebanon imports roughly 2 million tons a year of fuel oil.  Of the total quantity imported, roughly two-thirds is 1%S resid and roughly one-third is 2%S resid.  Tenders, on behalf of Electricity du Liban, are issued by Lebanon’s Oil Ministry.  Earlier this year, the Ministry awarded a tender for 175,000 tons of 1%S resid and 125,000 tons of 2%S for delivery from February to early April.  More recently, the Ministry awarded a tender to Galaxy for 150,000 tons of 2%S resid for delivery from mid-March to mid-May.  Suppliers generally deliver 30,000 ton cargoes to Electricity du Liban.  Lebanese terms tie the 1%S resid purchase price to FOB Mediterranean 1%S quotations and the 2%S purchase price to 3.5%S FOB Mediterranean prices.</w:t>
      </w:r>
    </w:p>
    <w:p>
      <w:pPr>
        <w:pStyle w:val="Normal"/>
        <w:rPr/>
      </w:pPr>
      <w:r>
        <w:rPr/>
      </w:r>
    </w:p>
    <w:p>
      <w:pPr>
        <w:pStyle w:val="Normal"/>
        <w:keepNext w:val="true"/>
        <w:rPr>
          <w:b/>
          <w:bCs/>
        </w:rPr>
      </w:pPr>
      <w:r>
        <w:rPr>
          <w:b/>
          <w:bCs/>
        </w:rPr>
        <w:t>Turkey</w:t>
      </w:r>
    </w:p>
    <w:p>
      <w:pPr>
        <w:pStyle w:val="Normal"/>
        <w:keepNext w:val="true"/>
        <w:rPr>
          <w:b/>
          <w:bCs/>
        </w:rPr>
      </w:pPr>
      <w:r>
        <w:rPr>
          <w:b/>
          <w:bCs/>
        </w:rPr>
      </w:r>
    </w:p>
    <w:p>
      <w:pPr>
        <w:pStyle w:val="Normal"/>
        <w:rPr/>
      </w:pPr>
      <w:r>
        <w:rPr/>
        <w:t>Reflecting a shift to a sweeter crude slate, Tupras’s 1%S resid imports fell from about 500,000 tons in 1997 to about 250,000 in 1998.  Sources of sweet crude for Tupras refineries include Algeria, Libya, and Syria.  Tupras blends imported low-sulfur fuel oil with locally produced high-sulfur resid to produce a 1.5%S blend.  The blend is burned to produce heat in commercial and large residential buildings.  Recent sources of low-sulfur fuel include Northwest Europe and Tunisia.</w:t>
      </w:r>
    </w:p>
    <w:p>
      <w:pPr>
        <w:pStyle w:val="Normal"/>
        <w:rPr/>
      </w:pPr>
      <w:r>
        <w:rPr/>
      </w:r>
    </w:p>
    <w:p>
      <w:pPr>
        <w:pStyle w:val="Normal"/>
        <w:rPr/>
      </w:pPr>
      <w:r>
        <w:rPr/>
        <w:t>Tupras’s imports of HSFO surged from about 50,000 tons in 1997 to some 500,000 tons in 1998.  Tupras sold some 300,000 tons of the imported resid to  Teas for burning at a power plant in Istanbul.  Tupras imports HSFO on a cargo -by-cargo basis, with the price tied to FOB Mediterranean HSFO quotations.  A key source of HSFO for Turkey has been Italy.</w:t>
      </w:r>
    </w:p>
    <w:p>
      <w:pPr>
        <w:pStyle w:val="Normal"/>
        <w:rPr/>
      </w:pPr>
      <w:r>
        <w:rPr/>
      </w:r>
    </w:p>
    <w:p>
      <w:pPr>
        <w:pStyle w:val="Normal"/>
        <w:rPr/>
      </w:pPr>
      <w:r>
        <w:rPr/>
        <w:t xml:space="preserve">The rise in HSFO imports reflects a variety of factors.  Tupras has been producing less fuel oil in recent years because of the installation of hydrocrackers at Izmir in 1994 and Izmit in 1996.  The switch to a sweeter, and generally lighter, crude slate has acted to reduce fuel oil production.  Asphalt production rose from 1.3 million tons in 1997 to 1.7 million tons in 1998.  Furthermore, Tupras refineries may have also been affected by operational problems which have limited fuel oil production.  </w:t>
      </w:r>
    </w:p>
    <w:p>
      <w:pPr>
        <w:pStyle w:val="Normal"/>
        <w:rPr/>
      </w:pPr>
      <w:r>
        <w:rPr/>
      </w:r>
    </w:p>
    <w:p>
      <w:pPr>
        <w:pStyle w:val="Normal"/>
        <w:rPr/>
      </w:pPr>
      <w:r>
        <w:rPr/>
        <w:t>Tupras is not a frequent importer of straight run fuel oil.  However Tupras did import one 45,000 ton cargo of low-sulfur long resid from Northwest Europe in 1998.  The material was processed at Izmir and Izmit.</w:t>
      </w:r>
    </w:p>
    <w:p>
      <w:pPr>
        <w:pStyle w:val="Normal"/>
        <w:rPr/>
      </w:pPr>
      <w:r>
        <w:rPr/>
      </w:r>
    </w:p>
    <w:p>
      <w:pPr>
        <w:pStyle w:val="Normal"/>
        <w:keepNext w:val="true"/>
        <w:rPr>
          <w:b/>
          <w:bCs/>
        </w:rPr>
      </w:pPr>
      <w:r>
        <w:rPr>
          <w:b/>
          <w:bCs/>
        </w:rPr>
        <w:t>Conclusion</w:t>
      </w:r>
    </w:p>
    <w:p>
      <w:pPr>
        <w:pStyle w:val="Normal"/>
        <w:keepNext w:val="true"/>
        <w:rPr>
          <w:b/>
          <w:bCs/>
        </w:rPr>
      </w:pPr>
      <w:r>
        <w:rPr>
          <w:b/>
          <w:bCs/>
        </w:rPr>
      </w:r>
    </w:p>
    <w:p>
      <w:pPr>
        <w:pStyle w:val="Normal"/>
        <w:rPr>
          <w:b/>
          <w:bCs/>
        </w:rPr>
      </w:pPr>
      <w:r>
        <w:rPr/>
        <w:t xml:space="preserve">The Eastern Mediterranean is marked by a rich variety of resid trades.  The ranks of the low-sulfur importers (Israel, Lebanon, and Turkey) will soon be joined by Cyprus.  Syria has two nearby customers for its medium-sulfur resid — Cyprus and Lebanon.  While Egypt exports low-and medium-sulfur long resid.  Greece and Turkey export high-sulfur long resid.  While Turkey unexpectedly emerged as a major importer of HSFO in 1998, one wonders whether Greece’s HSFO imports will rise sharply in the coming months due to the unplanned shutdown of the Thessaloniki refinery. </w:t>
      </w:r>
    </w:p>
    <w:p>
      <w:pPr>
        <w:pStyle w:val="Normal"/>
        <w:rPr>
          <w:b/>
          <w:bCs/>
        </w:rPr>
      </w:pPr>
      <w:r>
        <w:rPr>
          <w:b/>
          <w:bCs/>
        </w:rPr>
      </w:r>
    </w:p>
    <w:p>
      <w:pPr>
        <w:pStyle w:val="Normal"/>
        <w:rPr>
          <w:b/>
          <w:bCs/>
          <w:sz w:val="20"/>
          <w:szCs w:val="20"/>
        </w:rPr>
      </w:pPr>
      <w:r>
        <w:rPr>
          <w:b/>
          <w:bCs/>
          <w:sz w:val="20"/>
          <w:szCs w:val="20"/>
        </w:rPr>
      </w:r>
    </w:p>
    <w:sectPr>
      <w:headerReference w:type="default" r:id="rId17"/>
      <w:footerReference w:type="default" r:id="rId18"/>
      <w:type w:val="nextPage"/>
      <w:pgSz w:w="12240" w:h="15840"/>
      <w:pgMar w:left="1440" w:right="1440" w:gutter="0" w:header="576" w:top="1152" w:footer="576"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 w:name="Helvetica">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pBdr>
        <w:top w:val="single" w:sz="6" w:space="1" w:color="000000"/>
        <w:left w:val="single" w:sz="6" w:space="1" w:color="000000"/>
        <w:bottom w:val="single" w:sz="6" w:space="1" w:color="000000"/>
        <w:right w:val="single" w:sz="6" w:space="1" w:color="000000"/>
      </w:pBdr>
      <w:spacing w:lineRule="atLeast" w:line="160"/>
      <w:rPr>
        <w:sz w:val="16"/>
        <w:szCs w:val="16"/>
      </w:rPr>
    </w:pPr>
    <w:r>
      <w:rPr>
        <w:sz w:val="16"/>
        <w:szCs w:val="16"/>
      </w:rPr>
      <w:t>Pursuant to the subscription order, this report and the contents thereof shall be held in strictest confidence by, and solely for the internal use of, the subscriber, its officers and employees, and for no other purpose.  No part of this report issued by Poten may be reproduced in whole or in part, or stored in a retrieval system, or transmitted in any form or by any means, electronic, mechanical, photocopying, recording or otherwise, without permission of Poten.  Copyright 1999 by Poten &amp; Partners, Inc.</w:t>
    </w:r>
  </w:p>
  <w:p>
    <w:pPr>
      <w:pStyle w:val="Footer"/>
      <w:rPr>
        <w:sz w:val="16"/>
        <w:szCs w:val="16"/>
      </w:rPr>
    </w:pPr>
    <w:r>
      <w:rPr>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3" w:color="000000"/>
      </w:pBdr>
      <w:tabs>
        <w:tab w:val="clear" w:pos="720"/>
        <w:tab w:val="decimal" w:pos="4680" w:leader="none"/>
        <w:tab w:val="right" w:pos="9360" w:leader="none"/>
      </w:tabs>
      <w:spacing w:lineRule="exact" w:line="200" w:before="240" w:after="0"/>
      <w:rPr/>
    </w:pPr>
    <w:r>
      <w:rPr>
        <w:sz w:val="20"/>
        <w:szCs w:val="20"/>
      </w:rPr>
      <w:t>Poten &amp; Partners, Inc.</w:t>
      <w:tab/>
    </w:r>
    <w:r>
      <w:rPr>
        <w:sz w:val="20"/>
        <w:szCs w:val="20"/>
      </w:rPr>
      <w:fldChar w:fldCharType="begin"/>
    </w:r>
    <w:r>
      <w:rPr>
        <w:sz w:val="20"/>
        <w:szCs w:val="20"/>
      </w:rPr>
      <w:instrText xml:space="preserve"> PAGE \* ARABIC </w:instrText>
    </w:r>
    <w:r>
      <w:rPr>
        <w:sz w:val="20"/>
        <w:szCs w:val="20"/>
      </w:rPr>
      <w:fldChar w:fldCharType="separate"/>
    </w:r>
    <w:r>
      <w:rPr>
        <w:sz w:val="20"/>
        <w:szCs w:val="20"/>
      </w:rPr>
      <w:t>11</w:t>
    </w:r>
    <w:r>
      <w:rPr>
        <w:sz w:val="20"/>
        <w:szCs w:val="20"/>
      </w:rPr>
      <w:fldChar w:fldCharType="end"/>
    </w:r>
    <w:r>
      <w:rPr>
        <w:sz w:val="20"/>
        <w:szCs w:val="20"/>
      </w:rPr>
      <w:tab/>
      <w:t>February 1999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6" w:space="3" w:color="000000"/>
      </w:pBdr>
      <w:spacing w:lineRule="exact" w:line="240" w:before="0" w:after="240"/>
      <w:jc w:val="center"/>
      <w:rPr>
        <w:sz w:val="20"/>
        <w:szCs w:val="20"/>
      </w:rPr>
    </w:pPr>
    <w:r>
      <w:rPr>
        <w:sz w:val="20"/>
        <w:szCs w:val="20"/>
      </w:rPr>
      <w:t>Fuel Oil in World Markets©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spacing w:lineRule="exact" w:line="240" w:before="120" w:after="0"/>
      <w:jc w:val="center"/>
      <w:outlineLvl w:val="0"/>
    </w:pPr>
    <w:rPr/>
  </w:style>
  <w:style w:type="paragraph" w:styleId="Heading2">
    <w:name w:val="heading 2"/>
    <w:basedOn w:val="Normal"/>
    <w:next w:val="Normal"/>
    <w:qFormat/>
    <w:pPr>
      <w:keepNext w:val="true"/>
      <w:numPr>
        <w:ilvl w:val="1"/>
        <w:numId w:val="1"/>
      </w:numPr>
      <w:spacing w:before="240" w:after="0"/>
      <w:outlineLvl w:val="1"/>
    </w:pPr>
    <w:rPr>
      <w:b/>
      <w:bCs/>
    </w:rPr>
  </w:style>
  <w:style w:type="paragraph" w:styleId="Heading3">
    <w:name w:val="heading 3"/>
    <w:basedOn w:val="Normal"/>
    <w:next w:val="Normal"/>
    <w:qFormat/>
    <w:pPr>
      <w:keepNext w:val="true"/>
      <w:numPr>
        <w:ilvl w:val="2"/>
        <w:numId w:val="1"/>
      </w:numPr>
      <w:spacing w:before="480" w:after="240"/>
      <w:outlineLvl w:val="2"/>
    </w:pPr>
    <w:rPr>
      <w:b/>
      <w:bCs/>
    </w:rPr>
  </w:style>
  <w:style w:type="paragraph" w:styleId="Heading4">
    <w:name w:val="heading 4"/>
    <w:basedOn w:val="Normal"/>
    <w:next w:val="Normal"/>
    <w:qFormat/>
    <w:pPr>
      <w:numPr>
        <w:ilvl w:val="3"/>
        <w:numId w:val="1"/>
      </w:numPr>
      <w:tabs>
        <w:tab w:val="clear" w:pos="720"/>
        <w:tab w:val="left" w:pos="1440" w:leader="none"/>
      </w:tabs>
      <w:jc w:val="center"/>
      <w:outlineLvl w:val="3"/>
    </w:pPr>
    <w:rPr>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0" w:after="240"/>
      <w:jc w:val="center"/>
      <w:outlineLvl w:val="5"/>
    </w:pPr>
    <w:rPr/>
  </w:style>
  <w:style w:type="character" w:styleId="DefaultParagraphFont">
    <w:name w:val="Default Paragraph Font"/>
    <w:qForma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TOC2"/>
    <w:pPr>
      <w:spacing w:before="240" w:after="240"/>
      <w:jc w:val="center"/>
    </w:pPr>
    <w:rPr/>
  </w:style>
  <w:style w:type="paragraph" w:styleId="TOC2">
    <w:name w:val="toc 2"/>
    <w:basedOn w:val="Normal"/>
    <w:next w:val="Normal"/>
    <w:pPr>
      <w:tabs>
        <w:tab w:val="clear" w:pos="720"/>
        <w:tab w:val="right" w:pos="9360" w:leader="dot"/>
      </w:tabs>
      <w:ind w:hanging="0" w:start="240" w:end="0"/>
    </w:pPr>
    <w:rPr/>
  </w:style>
  <w:style w:type="paragraph" w:styleId="TOC3">
    <w:name w:val="toc 3"/>
    <w:basedOn w:val="Normal"/>
    <w:next w:val="Normal"/>
    <w:pPr>
      <w:tabs>
        <w:tab w:val="clear" w:pos="720"/>
        <w:tab w:val="right" w:pos="9360" w:leader="dot"/>
      </w:tabs>
    </w:pPr>
    <w:rPr/>
  </w:style>
  <w:style w:type="paragraph" w:styleId="TOC4">
    <w:name w:val="toc 4"/>
    <w:basedOn w:val="Normal"/>
    <w:next w:val="Normal"/>
    <w:pPr>
      <w:tabs>
        <w:tab w:val="clear" w:pos="720"/>
        <w:tab w:val="right" w:pos="9360" w:leader="dot"/>
      </w:tabs>
    </w:pPr>
    <w:rPr/>
  </w:style>
  <w:style w:type="paragraph" w:styleId="editorialinfo">
    <w:name w:val="editorial info"/>
    <w:basedOn w:val="Normal"/>
    <w:qFormat/>
    <w:pPr>
      <w:jc w:val="center"/>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rial10">
    <w:name w:val="arial 10"/>
    <w:basedOn w:val="Normal"/>
    <w:qFormat/>
    <w:pPr/>
    <w:rPr>
      <w:sz w:val="20"/>
      <w:szCs w:val="20"/>
    </w:rPr>
  </w:style>
  <w:style w:type="paragraph" w:styleId="tabsfor1b">
    <w:name w:val="tabs for1b"/>
    <w:basedOn w:val="Normal"/>
    <w:qFormat/>
    <w:pPr>
      <w:tabs>
        <w:tab w:val="clear" w:pos="720"/>
        <w:tab w:val="right" w:pos="3600" w:leader="none"/>
        <w:tab w:val="right" w:pos="5040" w:leader="none"/>
        <w:tab w:val="right" w:pos="6480" w:leader="none"/>
        <w:tab w:val="right" w:pos="7920" w:leader="none"/>
        <w:tab w:val="right" w:pos="9180" w:leader="none"/>
      </w:tabs>
      <w:spacing w:lineRule="exact" w:line="220"/>
    </w:pPr>
    <w:rPr>
      <w:color w:val="000000"/>
      <w:sz w:val="20"/>
      <w:szCs w:val="20"/>
    </w:rPr>
  </w:style>
  <w:style w:type="paragraph" w:styleId="text">
    <w:name w:val="text"/>
    <w:basedOn w:val="Normal"/>
    <w:qFormat/>
    <w:pPr>
      <w:spacing w:lineRule="exact" w:line="240"/>
    </w:pPr>
    <w:rPr>
      <w:rFonts w:ascii="Arial" w:hAnsi="Arial" w:eastAsia="Arial" w:cs="Arial"/>
    </w:rPr>
  </w:style>
  <w:style w:type="paragraph" w:styleId="footnotesfortables">
    <w:name w:val="footnotes for tables"/>
    <w:basedOn w:val="Normal"/>
    <w:qFormat/>
    <w:pPr>
      <w:tabs>
        <w:tab w:val="clear" w:pos="720"/>
        <w:tab w:val="left" w:pos="360" w:leader="none"/>
        <w:tab w:val="left" w:pos="1440" w:leader="none"/>
        <w:tab w:val="left" w:pos="1800" w:leader="none"/>
        <w:tab w:val="left" w:pos="2880" w:leader="none"/>
        <w:tab w:val="left" w:pos="3240" w:leader="none"/>
        <w:tab w:val="left" w:pos="4320" w:leader="none"/>
        <w:tab w:val="left" w:pos="4680" w:leader="none"/>
        <w:tab w:val="left" w:pos="5760" w:leader="none"/>
        <w:tab w:val="left" w:pos="6120" w:leader="none"/>
      </w:tabs>
      <w:spacing w:lineRule="atLeast" w:line="200"/>
    </w:pPr>
    <w:rPr>
      <w:sz w:val="20"/>
      <w:szCs w:val="20"/>
    </w:rPr>
  </w:style>
  <w:style w:type="paragraph" w:styleId="generalinfo">
    <w:name w:val="general_info"/>
    <w:basedOn w:val="Normal"/>
    <w:qFormat/>
    <w:pPr>
      <w:spacing w:lineRule="exact" w:line="264"/>
      <w:jc w:val="center"/>
    </w:pPr>
    <w:rPr>
      <w:sz w:val="20"/>
      <w:szCs w:val="20"/>
    </w:rPr>
  </w:style>
  <w:style w:type="paragraph" w:styleId="left-1ab">
    <w:name w:val="left-1ab"/>
    <w:basedOn w:val="Normal"/>
    <w:qFormat/>
    <w:pPr>
      <w:spacing w:lineRule="atLeast" w:line="200"/>
    </w:pPr>
    <w:rPr>
      <w:sz w:val="20"/>
      <w:szCs w:val="20"/>
    </w:rPr>
  </w:style>
  <w:style w:type="paragraph" w:styleId="right-1ab">
    <w:name w:val="right-1ab"/>
    <w:basedOn w:val="left-1ab"/>
    <w:qFormat/>
    <w:pPr>
      <w:tabs>
        <w:tab w:val="clear" w:pos="720"/>
        <w:tab w:val="right" w:pos="1170" w:leader="none"/>
        <w:tab w:val="right" w:pos="2520" w:leader="none"/>
        <w:tab w:val="right" w:pos="3780" w:leader="none"/>
        <w:tab w:val="right" w:pos="5040" w:leader="none"/>
        <w:tab w:val="right" w:pos="6390" w:leader="none"/>
      </w:tabs>
    </w:pPr>
    <w:rPr/>
  </w:style>
  <w:style w:type="paragraph" w:styleId="LEFT1D">
    <w:name w:val="LEFT1D"/>
    <w:basedOn w:val="left-1ab"/>
    <w:qFormat/>
    <w:pPr>
      <w:tabs>
        <w:tab w:val="clear" w:pos="720"/>
        <w:tab w:val="left" w:pos="1440" w:leader="none"/>
        <w:tab w:val="center" w:pos="2970" w:leader="none"/>
      </w:tabs>
      <w:spacing w:lineRule="atLeast" w:line="220"/>
    </w:pPr>
    <w:rPr/>
  </w:style>
  <w:style w:type="paragraph" w:styleId="RIGHT1D">
    <w:name w:val="RIGHT1D"/>
    <w:basedOn w:val="right-1ab"/>
    <w:qFormat/>
    <w:pPr>
      <w:tabs>
        <w:tab w:val="clear" w:pos="1170"/>
        <w:tab w:val="clear" w:pos="2520"/>
        <w:tab w:val="clear" w:pos="3780"/>
        <w:tab w:val="clear" w:pos="5040"/>
        <w:tab w:val="clear" w:pos="6390"/>
        <w:tab w:val="right" w:pos="1260" w:leader="none"/>
        <w:tab w:val="right" w:pos="2700" w:leader="none"/>
        <w:tab w:val="right" w:pos="4050" w:leader="none"/>
        <w:tab w:val="right" w:pos="5310" w:leader="none"/>
      </w:tabs>
      <w:spacing w:lineRule="atLeast" w:line="220"/>
    </w:pPr>
    <w:rPr/>
  </w:style>
  <w:style w:type="paragraph" w:styleId="right1dheading">
    <w:name w:val="right1dheading"/>
    <w:basedOn w:val="RIGHT1D"/>
    <w:qFormat/>
    <w:pPr>
      <w:tabs>
        <w:tab w:val="right" w:pos="1260" w:leader="none"/>
        <w:tab w:val="center" w:pos="1800" w:leader="none"/>
        <w:tab w:val="right" w:pos="2700" w:leader="none"/>
        <w:tab w:val="right" w:pos="4050" w:leader="none"/>
        <w:tab w:val="center" w:pos="4140" w:leader="none"/>
        <w:tab w:val="right" w:pos="5310" w:leader="none"/>
        <w:tab w:val="right" w:pos="5490" w:leader="none"/>
      </w:tabs>
    </w:pPr>
    <w:rPr>
      <w:u w:val="single"/>
    </w:rPr>
  </w:style>
  <w:style w:type="paragraph" w:styleId="1d-subheading">
    <w:name w:val="1d-subheading"/>
    <w:basedOn w:val="Normal"/>
    <w:qFormat/>
    <w:pPr>
      <w:tabs>
        <w:tab w:val="clear" w:pos="720"/>
        <w:tab w:val="center" w:pos="1620" w:leader="none"/>
        <w:tab w:val="center" w:pos="4230" w:leader="none"/>
      </w:tabs>
      <w:spacing w:lineRule="atLeast" w:line="220"/>
    </w:pPr>
    <w:rPr>
      <w:sz w:val="20"/>
      <w:szCs w:val="20"/>
      <w:u w:val="single"/>
    </w:rPr>
  </w:style>
  <w:style w:type="paragraph" w:styleId="toptableII-A">
    <w:name w:val="top table II-A"/>
    <w:qFormat/>
    <w:pPr>
      <w:widowControl/>
      <w:tabs>
        <w:tab w:val="clear" w:pos="720"/>
        <w:tab w:val="left" w:pos="1440" w:leader="none"/>
        <w:tab w:val="center" w:pos="3360" w:leader="none"/>
        <w:tab w:val="center" w:pos="4704" w:leader="none"/>
        <w:tab w:val="center" w:pos="6144" w:leader="none"/>
        <w:tab w:val="center" w:pos="7488" w:leader="none"/>
      </w:tabs>
      <w:bidi w:val="0"/>
      <w:ind w:hanging="0" w:start="1440" w:end="0"/>
    </w:pPr>
    <w:rPr>
      <w:rFonts w:ascii="Arial" w:hAnsi="Arial" w:eastAsia="Arial" w:cs="Arial"/>
      <w:color w:val="auto"/>
      <w:sz w:val="20"/>
      <w:szCs w:val="20"/>
      <w:lang w:val="en-US" w:eastAsia="zh-CN" w:bidi="hi-IN"/>
    </w:rPr>
  </w:style>
  <w:style w:type="paragraph" w:styleId="toptableII-B">
    <w:name w:val="top table II-B"/>
    <w:qFormat/>
    <w:pPr>
      <w:widowControl/>
      <w:tabs>
        <w:tab w:val="clear" w:pos="720"/>
        <w:tab w:val="center" w:pos="3330" w:leader="none"/>
        <w:tab w:val="center" w:pos="5400" w:leader="none"/>
        <w:tab w:val="center" w:pos="7740" w:leader="none"/>
      </w:tabs>
      <w:bidi w:val="0"/>
      <w:spacing w:lineRule="exact" w:line="240"/>
      <w:ind w:hanging="0" w:start="900" w:end="810"/>
    </w:pPr>
    <w:rPr>
      <w:rFonts w:ascii="Arial" w:hAnsi="Arial" w:eastAsia="Arial" w:cs="Arial"/>
      <w:color w:val="auto"/>
      <w:sz w:val="20"/>
      <w:szCs w:val="20"/>
      <w:lang w:val="en-US" w:eastAsia="zh-CN" w:bidi="hi-IN"/>
    </w:rPr>
  </w:style>
  <w:style w:type="paragraph" w:styleId="toplinetableII-C">
    <w:name w:val="top line table II-C"/>
    <w:qFormat/>
    <w:pPr>
      <w:widowControl/>
      <w:tabs>
        <w:tab w:val="clear" w:pos="720"/>
        <w:tab w:val="left" w:pos="1248" w:leader="none"/>
        <w:tab w:val="center" w:pos="3456" w:leader="none"/>
        <w:tab w:val="right" w:pos="5904" w:leader="none"/>
        <w:tab w:val="left" w:pos="6624" w:leader="none"/>
        <w:tab w:val="center" w:pos="7920" w:leader="none"/>
        <w:tab w:val="right" w:pos="9072" w:leader="none"/>
      </w:tabs>
      <w:bidi w:val="0"/>
    </w:pPr>
    <w:rPr>
      <w:rFonts w:ascii="Arial" w:hAnsi="Arial" w:eastAsia="Arial" w:cs="Arial"/>
      <w:color w:val="auto"/>
      <w:sz w:val="20"/>
      <w:szCs w:val="20"/>
      <w:lang w:val="en-US" w:eastAsia="zh-CN" w:bidi="hi-IN"/>
    </w:rPr>
  </w:style>
  <w:style w:type="paragraph" w:styleId="middlelinetoptabII-C">
    <w:name w:val="middle line top tab II-C"/>
    <w:qFormat/>
    <w:pPr>
      <w:widowControl/>
      <w:tabs>
        <w:tab w:val="clear" w:pos="720"/>
        <w:tab w:val="center" w:pos="2592" w:leader="none"/>
        <w:tab w:val="center" w:pos="5184" w:leader="none"/>
        <w:tab w:val="center" w:pos="7872" w:leader="none"/>
      </w:tabs>
      <w:bidi w:val="0"/>
    </w:pPr>
    <w:rPr>
      <w:rFonts w:ascii="Arial" w:hAnsi="Arial" w:eastAsia="Arial" w:cs="Arial"/>
      <w:color w:val="auto"/>
      <w:sz w:val="20"/>
      <w:szCs w:val="20"/>
      <w:lang w:val="en-US" w:eastAsia="zh-CN" w:bidi="hi-IN"/>
    </w:rPr>
  </w:style>
  <w:style w:type="paragraph" w:styleId="bottomlinetoptableII-C">
    <w:name w:val="bottom line top table II-C"/>
    <w:qFormat/>
    <w:pPr>
      <w:widowControl/>
      <w:tabs>
        <w:tab w:val="clear" w:pos="720"/>
        <w:tab w:val="left" w:pos="1080" w:leader="none"/>
        <w:tab w:val="center" w:pos="2520" w:leader="none"/>
        <w:tab w:val="right" w:pos="3744" w:leader="none"/>
        <w:tab w:val="left" w:pos="4464" w:leader="none"/>
        <w:tab w:val="center" w:pos="5184" w:leader="none"/>
        <w:tab w:val="right" w:pos="5904" w:leader="none"/>
        <w:tab w:val="left" w:pos="6552" w:leader="none"/>
        <w:tab w:val="center" w:pos="7872" w:leader="none"/>
        <w:tab w:val="right" w:pos="9216" w:leader="none"/>
      </w:tabs>
      <w:bidi w:val="0"/>
    </w:pPr>
    <w:rPr>
      <w:rFonts w:ascii="Arial" w:hAnsi="Arial" w:eastAsia="Arial" w:cs="Arial"/>
      <w:color w:val="auto"/>
      <w:sz w:val="20"/>
      <w:szCs w:val="20"/>
      <w:lang w:val="en-US" w:eastAsia="zh-CN" w:bidi="hi-IN"/>
    </w:rPr>
  </w:style>
  <w:style w:type="paragraph" w:styleId="colheadingtableII-C">
    <w:name w:val="col. heading table II-C"/>
    <w:qFormat/>
    <w:pPr>
      <w:widowControl/>
      <w:tabs>
        <w:tab w:val="clear" w:pos="720"/>
        <w:tab w:val="center" w:pos="1440" w:leader="none"/>
        <w:tab w:val="center" w:pos="2592" w:leader="none"/>
        <w:tab w:val="center" w:pos="3648" w:leader="none"/>
        <w:tab w:val="center" w:pos="4704" w:leader="none"/>
        <w:tab w:val="center" w:pos="5760" w:leader="none"/>
        <w:tab w:val="center" w:pos="6816" w:leader="none"/>
        <w:tab w:val="center" w:pos="7968" w:leader="none"/>
        <w:tab w:val="center" w:pos="9024" w:leader="none"/>
      </w:tabs>
      <w:bidi w:val="0"/>
    </w:pPr>
    <w:rPr>
      <w:rFonts w:ascii="Arial" w:hAnsi="Arial" w:eastAsia="Arial" w:cs="Arial"/>
      <w:color w:val="auto"/>
      <w:sz w:val="20"/>
      <w:szCs w:val="20"/>
      <w:lang w:val="en-US" w:eastAsia="zh-CN" w:bidi="hi-IN"/>
    </w:rPr>
  </w:style>
  <w:style w:type="paragraph" w:styleId="bodytableII-C">
    <w:name w:val="body table II-C"/>
    <w:qFormat/>
    <w:pPr>
      <w:widowControl/>
      <w:tabs>
        <w:tab w:val="clear" w:pos="720"/>
        <w:tab w:val="decimal" w:pos="1440" w:leader="none"/>
        <w:tab w:val="decimal" w:pos="2592" w:leader="none"/>
        <w:tab w:val="decimal" w:pos="3648" w:leader="none"/>
        <w:tab w:val="decimal" w:pos="4704" w:leader="none"/>
        <w:tab w:val="decimal" w:pos="5760" w:leader="none"/>
        <w:tab w:val="decimal" w:pos="6816" w:leader="none"/>
        <w:tab w:val="decimal" w:pos="7968" w:leader="none"/>
        <w:tab w:val="decimal" w:pos="9024" w:leader="none"/>
      </w:tabs>
      <w:bidi w:val="0"/>
      <w:spacing w:lineRule="exact" w:line="240"/>
    </w:pPr>
    <w:rPr>
      <w:rFonts w:ascii="Arial" w:hAnsi="Arial" w:eastAsia="Arial" w:cs="Arial"/>
      <w:color w:val="auto"/>
      <w:sz w:val="20"/>
      <w:szCs w:val="20"/>
      <w:lang w:val="en-US" w:eastAsia="zh-CN" w:bidi="hi-IN"/>
    </w:rPr>
  </w:style>
  <w:style w:type="paragraph" w:styleId="L1tabs2d">
    <w:name w:val="L1 tabs 2d"/>
    <w:qFormat/>
    <w:pPr>
      <w:widowControl/>
      <w:tabs>
        <w:tab w:val="clear" w:pos="720"/>
        <w:tab w:val="left" w:pos="1368" w:leader="none"/>
        <w:tab w:val="center" w:pos="3528" w:leader="none"/>
        <w:tab w:val="right" w:pos="5976" w:leader="none"/>
        <w:tab w:val="left" w:pos="7128" w:leader="none"/>
        <w:tab w:val="center" w:pos="8064" w:leader="none"/>
        <w:tab w:val="right" w:pos="9072" w:leader="none"/>
      </w:tabs>
      <w:bidi w:val="0"/>
    </w:pPr>
    <w:rPr>
      <w:rFonts w:ascii="Arial" w:hAnsi="Arial" w:eastAsia="Arial" w:cs="Arial"/>
      <w:color w:val="auto"/>
      <w:sz w:val="20"/>
      <w:szCs w:val="20"/>
      <w:lang w:val="en-US" w:eastAsia="zh-CN" w:bidi="hi-IN"/>
    </w:rPr>
  </w:style>
  <w:style w:type="paragraph" w:styleId="L2tablesIId">
    <w:name w:val="L2 tables II d"/>
    <w:qFormat/>
    <w:pPr>
      <w:widowControl/>
      <w:tabs>
        <w:tab w:val="clear" w:pos="720"/>
        <w:tab w:val="center" w:pos="2232" w:leader="none"/>
        <w:tab w:val="center" w:pos="5184" w:leader="none"/>
        <w:tab w:val="left" w:pos="7128" w:leader="none"/>
        <w:tab w:val="center" w:pos="8064" w:leader="none"/>
        <w:tab w:val="right" w:pos="8928" w:leader="none"/>
      </w:tabs>
      <w:bidi w:val="0"/>
      <w:jc w:val="center"/>
    </w:pPr>
    <w:rPr>
      <w:rFonts w:ascii="Arial" w:hAnsi="Arial" w:eastAsia="Arial" w:cs="Arial"/>
      <w:color w:val="auto"/>
      <w:sz w:val="20"/>
      <w:szCs w:val="20"/>
      <w:lang w:val="en-US" w:eastAsia="zh-CN" w:bidi="hi-IN"/>
    </w:rPr>
  </w:style>
  <w:style w:type="paragraph" w:styleId="L3tablesIId">
    <w:name w:val="L3 tables II d"/>
    <w:qFormat/>
    <w:pPr>
      <w:widowControl/>
      <w:tabs>
        <w:tab w:val="clear" w:pos="720"/>
        <w:tab w:val="left" w:pos="1368" w:leader="none"/>
        <w:tab w:val="center" w:pos="2232" w:leader="none"/>
        <w:tab w:val="right" w:pos="3096" w:leader="none"/>
        <w:tab w:val="left" w:pos="4320" w:leader="none"/>
        <w:tab w:val="center" w:pos="5184" w:leader="none"/>
        <w:tab w:val="right" w:pos="5976" w:leader="none"/>
        <w:tab w:val="left" w:pos="7128" w:leader="none"/>
        <w:tab w:val="center" w:pos="8064" w:leader="none"/>
        <w:tab w:val="right" w:pos="9072" w:leader="none"/>
      </w:tabs>
      <w:bidi w:val="0"/>
      <w:jc w:val="center"/>
    </w:pPr>
    <w:rPr>
      <w:rFonts w:ascii="Arial" w:hAnsi="Arial" w:eastAsia="Arial" w:cs="Arial"/>
      <w:color w:val="auto"/>
      <w:sz w:val="20"/>
      <w:szCs w:val="20"/>
      <w:lang w:val="en-US" w:eastAsia="zh-CN" w:bidi="hi-IN"/>
    </w:rPr>
  </w:style>
  <w:style w:type="paragraph" w:styleId="L4tablesIId">
    <w:name w:val="L4 tables II d"/>
    <w:qFormat/>
    <w:pPr>
      <w:widowControl/>
      <w:tabs>
        <w:tab w:val="clear" w:pos="720"/>
        <w:tab w:val="center" w:pos="1512" w:leader="none"/>
        <w:tab w:val="center" w:pos="2880" w:leader="none"/>
        <w:tab w:val="center" w:pos="4536" w:leader="none"/>
        <w:tab w:val="center" w:pos="5832" w:leader="none"/>
        <w:tab w:val="center" w:pos="7344" w:leader="none"/>
        <w:tab w:val="center" w:pos="8712" w:leader="none"/>
      </w:tabs>
      <w:bidi w:val="0"/>
    </w:pPr>
    <w:rPr>
      <w:rFonts w:ascii="Arial" w:hAnsi="Arial" w:eastAsia="Arial" w:cs="Arial"/>
      <w:color w:val="auto"/>
      <w:sz w:val="20"/>
      <w:szCs w:val="20"/>
      <w:lang w:val="en-US" w:eastAsia="zh-CN" w:bidi="hi-IN"/>
    </w:rPr>
  </w:style>
  <w:style w:type="paragraph" w:styleId="bottomtable2B">
    <w:name w:val="bottom table 2B"/>
    <w:basedOn w:val="Normal"/>
    <w:qFormat/>
    <w:pPr>
      <w:tabs>
        <w:tab w:val="clear" w:pos="720"/>
        <w:tab w:val="decimal" w:pos="3240" w:leader="none"/>
        <w:tab w:val="center" w:pos="3330" w:leader="none"/>
        <w:tab w:val="decimal" w:pos="5400" w:leader="none"/>
        <w:tab w:val="decimal" w:pos="7740" w:leader="none"/>
      </w:tabs>
      <w:spacing w:lineRule="exact" w:line="240"/>
      <w:ind w:hanging="0" w:start="900" w:end="720"/>
    </w:pPr>
    <w:rPr>
      <w:sz w:val="20"/>
      <w:szCs w:val="20"/>
    </w:rPr>
  </w:style>
  <w:style w:type="paragraph" w:styleId="Subtitle">
    <w:name w:val="Subtitle"/>
    <w:basedOn w:val="Normal"/>
    <w:next w:val="BodyText"/>
    <w:qFormat/>
    <w:pPr>
      <w:keepNext w:val="true"/>
      <w:spacing w:before="240" w:after="240"/>
    </w:pPr>
    <w:rPr>
      <w:b/>
      <w:bCs/>
    </w:rPr>
  </w:style>
  <w:style w:type="paragraph" w:styleId="Text1">
    <w:name w:val="Text1"/>
    <w:basedOn w:val="Normal"/>
    <w:qFormat/>
    <w:pPr>
      <w:ind w:hanging="0" w:start="360" w:end="0"/>
    </w:pPr>
    <w:rPr/>
  </w:style>
  <w:style w:type="paragraph" w:styleId="Style11">
    <w:name w:val="Style1"/>
    <w:basedOn w:val="Heading1"/>
    <w:next w:val="Normal"/>
    <w:qFormat/>
    <w:pPr>
      <w:numPr>
        <w:ilvl w:val="0"/>
        <w:numId w:val="0"/>
      </w:numPr>
      <w:spacing w:before="120" w:after="0"/>
      <w:outlineLvl w:val="9"/>
    </w:pPr>
    <w:rPr/>
  </w:style>
  <w:style w:type="paragraph" w:styleId="SectionCovers">
    <w:name w:val="Section Covers"/>
    <w:basedOn w:val="Normal"/>
    <w:qFormat/>
    <w:pPr>
      <w:pBdr>
        <w:top w:val="single" w:sz="6" w:space="1" w:color="000000"/>
        <w:left w:val="single" w:sz="6" w:space="1" w:color="000000"/>
        <w:bottom w:val="single" w:sz="6" w:space="1" w:color="000000"/>
        <w:right w:val="single" w:sz="6" w:space="1" w:color="000000"/>
      </w:pBdr>
      <w:jc w:val="center"/>
    </w:pPr>
    <w:rPr>
      <w:i/>
      <w:iCs/>
      <w:sz w:val="48"/>
      <w:szCs w:val="48"/>
    </w:rPr>
  </w:style>
  <w:style w:type="paragraph" w:styleId="TOC5">
    <w:name w:val="toc 5"/>
    <w:basedOn w:val="Normal"/>
    <w:next w:val="Normal"/>
    <w:pPr>
      <w:tabs>
        <w:tab w:val="clear" w:pos="720"/>
        <w:tab w:val="right" w:pos="9360" w:leader="none"/>
      </w:tabs>
      <w:ind w:hanging="0" w:start="960" w:end="0"/>
    </w:pPr>
    <w:rPr>
      <w:rFonts w:ascii="Times New Roman" w:hAnsi="Times New Roman" w:eastAsia="Times New Roman" w:cs="Times New Roman"/>
      <w:sz w:val="20"/>
      <w:szCs w:val="20"/>
    </w:rPr>
  </w:style>
  <w:style w:type="paragraph" w:styleId="TOC6">
    <w:name w:val="toc 6"/>
    <w:basedOn w:val="Normal"/>
    <w:next w:val="Normal"/>
    <w:pPr>
      <w:tabs>
        <w:tab w:val="clear" w:pos="720"/>
        <w:tab w:val="right" w:pos="9360" w:leader="none"/>
      </w:tabs>
      <w:ind w:hanging="0" w:start="1200" w:end="0"/>
    </w:pPr>
    <w:rPr>
      <w:rFonts w:ascii="Times New Roman" w:hAnsi="Times New Roman" w:eastAsia="Times New Roman" w:cs="Times New Roman"/>
      <w:sz w:val="20"/>
      <w:szCs w:val="20"/>
    </w:rPr>
  </w:style>
  <w:style w:type="paragraph" w:styleId="24boldcent">
    <w:name w:val="24bold_cent"/>
    <w:basedOn w:val="Normal"/>
    <w:qFormat/>
    <w:pPr>
      <w:spacing w:lineRule="exact" w:line="480"/>
      <w:jc w:val="center"/>
    </w:pPr>
    <w:rPr>
      <w:b/>
      <w:bCs/>
      <w:sz w:val="48"/>
      <w:szCs w:val="48"/>
    </w:rPr>
  </w:style>
  <w:style w:type="paragraph" w:styleId="14boldcent">
    <w:name w:val="14bold_cent"/>
    <w:basedOn w:val="Normal"/>
    <w:qFormat/>
    <w:pPr>
      <w:spacing w:lineRule="exact" w:line="280"/>
      <w:jc w:val="center"/>
    </w:pPr>
    <w:rPr>
      <w:b/>
      <w:bCs/>
      <w:sz w:val="28"/>
      <w:szCs w:val="28"/>
    </w:rPr>
  </w:style>
  <w:style w:type="paragraph" w:styleId="BOLDCENTERED">
    <w:name w:val="BOLD CENTERED"/>
    <w:qFormat/>
    <w:pPr>
      <w:keepNext w:val="true"/>
      <w:widowControl/>
      <w:bidi w:val="0"/>
      <w:spacing w:before="240" w:after="0"/>
      <w:jc w:val="center"/>
    </w:pPr>
    <w:rPr>
      <w:rFonts w:ascii="Arial" w:hAnsi="Arial" w:eastAsia="Arial" w:cs="Arial"/>
      <w:b/>
      <w:bCs/>
      <w:color w:val="auto"/>
      <w:sz w:val="24"/>
      <w:szCs w:val="24"/>
      <w:lang w:val="en-US" w:eastAsia="zh-CN" w:bidi="hi-IN"/>
    </w:rPr>
  </w:style>
  <w:style w:type="paragraph" w:styleId="cen">
    <w:name w:val="cen"/>
    <w:basedOn w:val="Normal"/>
    <w:qFormat/>
    <w:pPr>
      <w:tabs>
        <w:tab w:val="clear" w:pos="720"/>
        <w:tab w:val="left" w:pos="1368" w:leader="none"/>
        <w:tab w:val="center" w:pos="3528" w:leader="none"/>
        <w:tab w:val="right" w:pos="5976" w:leader="none"/>
        <w:tab w:val="left" w:pos="7128" w:leader="none"/>
        <w:tab w:val="center" w:pos="8064" w:leader="none"/>
        <w:tab w:val="right" w:pos="9072" w:leader="none"/>
      </w:tabs>
      <w:jc w:val="center"/>
    </w:pPr>
    <w:rPr/>
  </w:style>
  <w:style w:type="paragraph" w:styleId="10">
    <w:name w:val="10"/>
    <w:basedOn w:val="Normal"/>
    <w:qFormat/>
    <w:pPr/>
    <w:rPr>
      <w:sz w:val="20"/>
      <w:szCs w:val="20"/>
    </w:rPr>
  </w:style>
  <w:style w:type="paragraph" w:styleId="TOC9">
    <w:name w:val="toc 9"/>
    <w:basedOn w:val="Normal"/>
    <w:next w:val="Normal"/>
    <w:pPr>
      <w:tabs>
        <w:tab w:val="clear" w:pos="720"/>
        <w:tab w:val="right" w:pos="9360" w:leader="dot"/>
      </w:tabs>
      <w:spacing w:before="60" w:after="60"/>
    </w:pPr>
    <w:rPr>
      <w:sz w:val="20"/>
      <w:szCs w:val="20"/>
    </w:rPr>
  </w:style>
  <w:style w:type="paragraph" w:styleId="AnnotationText">
    <w:name w:val="Annotation Text"/>
    <w:basedOn w:val="Normal"/>
    <w:qFormat/>
    <w:pPr>
      <w:spacing w:lineRule="auto" w:line="240"/>
    </w:pPr>
    <w:rPr>
      <w:sz w:val="20"/>
      <w:szCs w:val="20"/>
    </w:rPr>
  </w:style>
  <w:style w:type="paragraph" w:styleId="centunl">
    <w:name w:val="cent_unl"/>
    <w:basedOn w:val="Normal"/>
    <w:qFormat/>
    <w:pPr>
      <w:keepNext w:val="true"/>
      <w:tabs>
        <w:tab w:val="left" w:pos="216" w:leader="none"/>
        <w:tab w:val="left" w:pos="360" w:leader="none"/>
        <w:tab w:val="left" w:pos="576"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 w:val="left" w:pos="19080" w:leader="none"/>
        <w:tab w:val="left" w:pos="19800" w:leader="none"/>
        <w:tab w:val="left" w:pos="20520" w:leader="none"/>
        <w:tab w:val="left" w:pos="21240" w:leader="none"/>
        <w:tab w:val="left" w:pos="21960" w:leader="none"/>
        <w:tab w:val="left" w:pos="22680" w:leader="none"/>
        <w:tab w:val="left" w:pos="23400" w:leader="none"/>
        <w:tab w:val="left" w:pos="24120" w:leader="none"/>
        <w:tab w:val="left" w:pos="24840" w:leader="none"/>
        <w:tab w:val="left" w:pos="25560" w:leader="none"/>
        <w:tab w:val="left" w:pos="26280" w:leader="none"/>
      </w:tabs>
      <w:spacing w:before="360" w:after="240"/>
      <w:jc w:val="center"/>
    </w:pPr>
    <w:rPr>
      <w:u w:val="single"/>
    </w:rPr>
  </w:style>
  <w:style w:type="paragraph" w:styleId="TOC7">
    <w:name w:val="toc 7"/>
    <w:basedOn w:val="Normal"/>
    <w:next w:val="Normal"/>
    <w:pPr>
      <w:tabs>
        <w:tab w:val="clear" w:pos="720"/>
        <w:tab w:val="right" w:pos="9360" w:leader="dot"/>
      </w:tabs>
      <w:ind w:hanging="0" w:start="1440" w:end="0"/>
    </w:pPr>
    <w:rPr>
      <w:sz w:val="20"/>
      <w:szCs w:val="20"/>
    </w:rPr>
  </w:style>
  <w:style w:type="paragraph" w:styleId="TOC8">
    <w:name w:val="toc 8"/>
    <w:basedOn w:val="Normal"/>
    <w:next w:val="Normal"/>
    <w:pPr>
      <w:tabs>
        <w:tab w:val="clear" w:pos="720"/>
        <w:tab w:val="right" w:pos="9360" w:leader="dot"/>
      </w:tabs>
      <w:ind w:hanging="0" w:start="1680" w:end="0"/>
    </w:pPr>
    <w:rPr>
      <w:sz w:val="20"/>
      <w:szCs w:val="20"/>
    </w:rPr>
  </w:style>
  <w:style w:type="paragraph" w:styleId="TOC31">
    <w:name w:val="TOC3"/>
    <w:basedOn w:val="Normal"/>
    <w:qFormat/>
    <w:pPr>
      <w:spacing w:before="0" w:after="240"/>
      <w:jc w:val="center"/>
    </w:pPr>
    <w:rPr>
      <w:b/>
      <w:bCs/>
      <w:sz w:val="28"/>
      <w:szCs w:val="28"/>
      <w:u w:val="single"/>
    </w:rPr>
  </w:style>
  <w:style w:type="paragraph" w:styleId="PART3SUBS">
    <w:name w:val="PART3SUBS"/>
    <w:basedOn w:val="Normal"/>
    <w:qFormat/>
    <w:pPr>
      <w:keepNext w:val="true"/>
      <w:spacing w:before="0" w:after="240"/>
    </w:pPr>
    <w:rPr>
      <w:b/>
      <w:bCs/>
    </w:rPr>
  </w:style>
  <w:style w:type="paragraph" w:styleId="bottableIIa">
    <w:name w:val="bot table IIa"/>
    <w:basedOn w:val="toptableII-A"/>
    <w:qFormat/>
    <w:pPr>
      <w:tabs>
        <w:tab w:val="clear" w:pos="3360"/>
        <w:tab w:val="clear" w:pos="4704"/>
        <w:tab w:val="clear" w:pos="6144"/>
        <w:tab w:val="clear" w:pos="7488"/>
        <w:tab w:val="left" w:pos="1440" w:leader="none"/>
        <w:tab w:val="decimal" w:pos="3330" w:leader="none"/>
        <w:tab w:val="decimal" w:pos="4680" w:leader="none"/>
        <w:tab w:val="decimal" w:pos="6120" w:leader="none"/>
        <w:tab w:val="decimal" w:pos="7470" w:leader="none"/>
      </w:tabs>
    </w:pPr>
    <w:rPr/>
  </w:style>
  <w:style w:type="paragraph" w:styleId="bott2D">
    <w:name w:val="bott 2 D"/>
    <w:basedOn w:val="L4tablesIId"/>
    <w:qFormat/>
    <w:pPr>
      <w:tabs>
        <w:tab w:val="clear" w:pos="1512"/>
        <w:tab w:val="clear" w:pos="4536"/>
        <w:tab w:val="clear" w:pos="5832"/>
        <w:tab w:val="clear" w:pos="7344"/>
        <w:tab w:val="clear" w:pos="8712"/>
        <w:tab w:val="decimal" w:pos="1530" w:leader="none"/>
        <w:tab w:val="decimal" w:pos="2880" w:leader="none"/>
        <w:tab w:val="decimal" w:pos="4500" w:leader="none"/>
        <w:tab w:val="decimal" w:pos="5850" w:leader="none"/>
        <w:tab w:val="decimal" w:pos="7290" w:leader="none"/>
        <w:tab w:val="decimal" w:pos="8640" w:leader="none"/>
      </w:tabs>
    </w:pPr>
    <w:rPr/>
  </w:style>
  <w:style w:type="paragraph" w:styleId="subheaders">
    <w:name w:val="sub headers"/>
    <w:qFormat/>
    <w:pPr>
      <w:keepNext w:val="true"/>
      <w:widowControl/>
      <w:bidi w:val="0"/>
      <w:spacing w:before="480" w:after="240"/>
    </w:pPr>
    <w:rPr>
      <w:rFonts w:ascii="Helvetica" w:hAnsi="Helvetica" w:eastAsia="Helvetica" w:cs="Helvetica"/>
      <w:b/>
      <w:bCs/>
      <w:color w:val="auto"/>
      <w:sz w:val="24"/>
      <w:szCs w:val="24"/>
      <w:lang w:val="en-US" w:eastAsia="zh-CN" w:bidi="hi-IN"/>
    </w:rPr>
  </w:style>
  <w:style w:type="paragraph" w:styleId="11">
    <w:name w:val="11"/>
    <w:basedOn w:val="Normal"/>
    <w:qFormat/>
    <w:pPr>
      <w:spacing w:lineRule="auto" w:line="240"/>
    </w:pPr>
    <w:rPr>
      <w:sz w:val="20"/>
      <w:szCs w:val="20"/>
    </w:rPr>
  </w:style>
  <w:style w:type="paragraph" w:styleId="12">
    <w:name w:val="12"/>
    <w:basedOn w:val="Normal"/>
    <w:qFormat/>
    <w:pPr>
      <w:spacing w:lineRule="auto" w:line="240"/>
    </w:pPr>
    <w:rPr>
      <w:sz w:val="20"/>
      <w:szCs w:val="20"/>
    </w:rPr>
  </w:style>
  <w:style w:type="paragraph" w:styleId="la">
    <w:name w:val="la"/>
    <w:basedOn w:val="Normal"/>
    <w:qFormat/>
    <w:pPr>
      <w:keepNext w:val="true"/>
      <w:spacing w:before="0" w:after="24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2.xml"/><Relationship Id="rId10" Type="http://schemas.openxmlformats.org/officeDocument/2006/relationships/footer" Target="footer5.xml"/><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image" Target="media/image5.emf"/><Relationship Id="rId15" Type="http://schemas.openxmlformats.org/officeDocument/2006/relationships/image" Target="media/image6.emf"/><Relationship Id="rId16" Type="http://schemas.openxmlformats.org/officeDocument/2006/relationships/image" Target="media/image7.emf"/><Relationship Id="rId17" Type="http://schemas.openxmlformats.org/officeDocument/2006/relationships/header" Target="header3.xml"/><Relationship Id="rId18" Type="http://schemas.openxmlformats.org/officeDocument/2006/relationships/footer" Target="footer6.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R:\FOWM.DOT</Template>
  <TotalTime>380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1999-02-19T06:32:00Z</dcterms:created>
  <dc:creator>Poten &amp; Partners</dc:creator>
  <dc:description/>
  <dc:language>en-CA</dc:language>
  <cp:lastModifiedBy>Poten &amp; Parteners, Inc.</cp:lastModifiedBy>
  <cp:lastPrinted>1999-03-18T14:46:00Z</cp:lastPrinted>
  <dcterms:modified xsi:type="dcterms:W3CDTF">1999-04-12T10:44:00Z</dcterms:modified>
  <cp:revision>48</cp:revision>
  <dc:subject/>
  <dc:title>FEBRUARY 1997 FOWM </dc:title>
</cp:coreProperties>
</file>