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media/image6.emf" ContentType="image/x-emf"/>
  <Override PartName="/word/media/image10.emf" ContentType="image/x-emf"/>
  <Override PartName="/word/media/image7.emf" ContentType="image/x-emf"/>
  <Override PartName="/word/media/image8.emf" ContentType="image/x-emf"/>
  <Override PartName="/word/media/image9.emf" ContentType="image/x-emf"/>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object w:dxaOrig="15360" w:dyaOrig="779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0.15pt;height:45.75pt" filled="f" o:ole="">
            <v:imagedata r:id="rId3" o:title=""/>
          </v:shape>
          <o:OLEObject Type="Embed" ProgID="" ShapeID="ole_rId2" DrawAspect="Content" ObjectID="_2041870848" r:id="rId2"/>
        </w:object>
      </w:r>
    </w:p>
    <w:p>
      <w:pPr>
        <w:pStyle w:val="Normal"/>
        <w:rPr/>
      </w:pPr>
      <w:r>
        <w:rPr/>
      </w:r>
    </w:p>
    <w:p>
      <w:pPr>
        <w:pStyle w:val="Normal"/>
        <w:jc w:val="center"/>
        <w:rPr>
          <w:b/>
          <w:bCs/>
          <w:sz w:val="48"/>
          <w:szCs w:val="48"/>
        </w:rPr>
      </w:pPr>
      <w:r>
        <w:rPr>
          <w:b/>
          <w:bCs/>
          <w:sz w:val="48"/>
          <w:szCs w:val="48"/>
        </w:rPr>
        <w:t>Poten &amp; Partners, Inc.</w:t>
      </w:r>
    </w:p>
    <w:p>
      <w:pPr>
        <w:pStyle w:val="Normal"/>
        <w:rPr>
          <w:b/>
          <w:bCs/>
          <w:sz w:val="48"/>
          <w:szCs w:val="48"/>
        </w:rPr>
      </w:pPr>
      <w:r>
        <w:rPr>
          <w:b/>
          <w:bCs/>
          <w:sz w:val="48"/>
          <w:szCs w:val="48"/>
        </w:rPr>
      </w:r>
    </w:p>
    <w:p>
      <w:pPr>
        <w:pStyle w:val="Normal"/>
        <w:jc w:val="center"/>
        <w:rPr>
          <w:b/>
          <w:bCs/>
          <w:sz w:val="28"/>
          <w:szCs w:val="28"/>
        </w:rPr>
      </w:pPr>
      <w:r>
        <w:rPr>
          <w:b/>
          <w:bCs/>
          <w:sz w:val="28"/>
          <w:szCs w:val="28"/>
        </w:rPr>
        <w:t>FUEL OIL IN WORLD MARKETS</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December 1999</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pPr>
      <w:r>
        <w:rPr>
          <w:b/>
          <w:bCs/>
          <w:sz w:val="28"/>
          <w:szCs w:val="28"/>
        </w:rPr>
        <w:t>A Monthly Report</w:t>
        <w:br/>
        <w:br/>
        <w:t>Providing Market Intelligence and Pricing Outlook</w:t>
        <w:br/>
      </w:r>
      <w:r>
        <w:rPr/>
        <w:br/>
      </w:r>
      <w:r>
        <w:rPr>
          <w:b/>
          <w:bCs/>
          <w:sz w:val="28"/>
          <w:szCs w:val="28"/>
        </w:rPr>
        <w:t>by the Consulting Department</w:t>
      </w:r>
    </w:p>
    <w:p>
      <w:pPr>
        <w:pStyle w:val="Normal"/>
        <w:rPr>
          <w:b/>
          <w:bCs/>
          <w:sz w:val="28"/>
          <w:szCs w:val="28"/>
        </w:rPr>
      </w:pPr>
      <w:r>
        <w:rPr>
          <w:b/>
          <w:bCs/>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Cs/>
          <w:sz w:val="28"/>
          <w:szCs w:val="28"/>
        </w:rPr>
      </w:pPr>
      <w:r>
        <w:rPr>
          <w:b/>
          <w:bCs/>
          <w:sz w:val="28"/>
          <w:szCs w:val="28"/>
        </w:rPr>
        <w:t>Premium</w:t>
      </w:r>
    </w:p>
    <w:p>
      <w:pPr>
        <w:pStyle w:val="Normal"/>
        <w:jc w:val="center"/>
        <w:rPr>
          <w:b/>
          <w:bCs/>
          <w:sz w:val="28"/>
          <w:szCs w:val="28"/>
        </w:rPr>
      </w:pPr>
      <w:r>
        <w:rPr>
          <w:b/>
          <w:bCs/>
          <w:sz w:val="28"/>
          <w:szCs w:val="28"/>
        </w:rPr>
        <w:t>Edition</w:t>
      </w:r>
    </w:p>
    <w:p>
      <w:pPr>
        <w:pStyle w:val="Normal"/>
        <w:rPr>
          <w:b/>
          <w:bCs/>
          <w:sz w:val="28"/>
          <w:szCs w:val="28"/>
        </w:rPr>
      </w:pPr>
      <w:r>
        <w:rPr>
          <w:b/>
          <w:bCs/>
          <w:sz w:val="28"/>
          <w:szCs w:val="28"/>
        </w:rPr>
      </w:r>
    </w:p>
    <w:p>
      <w:pPr>
        <w:pStyle w:val="Normal"/>
        <w:rPr/>
      </w:pPr>
      <w:r>
        <w:rPr/>
      </w:r>
    </w:p>
    <w:p>
      <w:pPr>
        <w:pStyle w:val="Normal"/>
        <w:rPr/>
      </w:pPr>
      <w:r>
        <w:rPr/>
      </w:r>
    </w:p>
    <w:p>
      <w:pPr>
        <w:pStyle w:val="editorialinfo"/>
        <w:spacing w:before="240" w:after="0"/>
        <w:rPr/>
      </w:pPr>
      <w:r>
        <w:rPr/>
        <w:t xml:space="preserve">Research: </w:t>
        <w:br/>
        <w:t>Lawrence Axelrod (212) 230-2038</w:t>
        <w:br/>
        <w:t>Jack Coursen (212) 230-2074</w:t>
        <w:br/>
        <w:t>Don Wessel (212) 230-2082</w:t>
        <w:br/>
        <w:t>Subscriptions:  Barbara J. Metzger (212) 230-2063</w:t>
        <w:br/>
        <w:t>885 Third Avenue, New York, NY 10022-4875</w:t>
      </w:r>
    </w:p>
    <w:p>
      <w:pPr>
        <w:pStyle w:val="editorialinfo"/>
        <w:rPr/>
      </w:pPr>
      <w:r>
        <w:rPr/>
        <w:t>http://www.poten.com</w:t>
        <w:br/>
        <w:t>Fax:  (212) 355-0295</w:t>
      </w:r>
      <w:r>
        <w:br w:type="page"/>
      </w:r>
    </w:p>
    <w:p>
      <w:pPr>
        <w:pStyle w:val="editorialinfo"/>
        <w:rPr/>
      </w:pPr>
      <w:r>
        <w:rPr/>
      </w:r>
    </w:p>
    <w:p>
      <w:pPr>
        <w:pStyle w:val="Normal"/>
        <w:rPr/>
      </w:pPr>
      <w:r>
        <w:rPr/>
      </w:r>
    </w:p>
    <w:p>
      <w:pPr>
        <w:pStyle w:val="Normal"/>
        <w:rPr/>
      </w:pPr>
      <w:r>
        <w:rPr/>
      </w:r>
    </w:p>
    <w:p>
      <w:pPr>
        <w:pStyle w:val="Normal"/>
        <w:jc w:val="center"/>
        <w:rPr>
          <w:b/>
          <w:bCs/>
          <w:sz w:val="28"/>
          <w:szCs w:val="28"/>
        </w:rPr>
      </w:pPr>
      <w:r>
        <w:rPr>
          <w:b/>
          <w:bCs/>
          <w:sz w:val="28"/>
          <w:szCs w:val="28"/>
        </w:rPr>
        <w:t>Poten &amp; Partners, Inc.</w:t>
        <w:br/>
        <w:br/>
        <w:t>FUEL OIL IN WORLD MARKETS</w:t>
        <w:br/>
        <w:br/>
        <w:t>December 1999</w:t>
      </w:r>
    </w:p>
    <w:p>
      <w:pPr>
        <w:pStyle w:val="TOC4"/>
        <w:rPr>
          <w:b/>
          <w:bCs/>
          <w:sz w:val="28"/>
          <w:szCs w:val="28"/>
        </w:rPr>
      </w:pPr>
      <w:r>
        <w:rPr>
          <w:b/>
          <w:bCs/>
          <w:sz w:val="28"/>
          <w:szCs w:val="28"/>
        </w:rPr>
      </w:r>
    </w:p>
    <w:sdt>
      <w:sdtPr>
        <w:docPartObj>
          <w:docPartGallery w:val="Table of Contents"/>
          <w:docPartUnique w:val="true"/>
        </w:docPartObj>
      </w:sdtPr>
      <w:sdtContent>
        <w:p>
          <w:pPr>
            <w:pStyle w:val="TOC1"/>
            <w:rPr/>
          </w:pPr>
          <w:r>
            <w:fldChar w:fldCharType="begin"/>
          </w:r>
          <w:r>
            <w:rPr/>
            <w:instrText xml:space="preserve"> TOC \n "1-2" \* MERGEFORMAT </w:instrText>
          </w:r>
          <w:r>
            <w:rPr/>
            <w:fldChar w:fldCharType="separate"/>
          </w:r>
          <w:r>
            <w:rPr/>
            <w:t>Part I:  CURRENT SCENE</w:t>
          </w:r>
        </w:p>
        <w:p>
          <w:pPr>
            <w:pStyle w:val="TOC3"/>
            <w:rPr/>
          </w:pPr>
          <w:r>
            <w:rPr/>
            <w:t>France Turning to Fuel Oil to Compensate for Lost Nuclear Power</w:t>
            <w:tab/>
          </w:r>
          <w:r>
            <w:fldChar w:fldCharType="begin"/>
          </w:r>
          <w:r>
            <w:rPr/>
            <w:instrText xml:space="preserve"> GOTOBUTTON _Toc472912790  </w:instrText>
          </w:r>
          <w:r>
            <w:rPr/>
          </w:r>
          <w:r>
            <w:rPr/>
            <w:fldChar w:fldCharType="separate"/>
          </w:r>
          <w:r>
            <w:rPr/>
          </w:r>
          <w:r/>
          <w:r>
            <w:rPr/>
            <w:fldChar w:fldCharType="end"/>
          </w:r>
          <w:r>
            <w:rPr/>
          </w:r>
        </w:p>
        <w:p>
          <w:pPr>
            <w:pStyle w:val="TOC3"/>
            <w:rPr/>
          </w:pPr>
          <w:r>
            <w:rPr/>
            <w:t>Brazil’s Petrobras Signs New Term Deal with US East Coast Utility</w:t>
            <w:tab/>
          </w:r>
          <w:r>
            <w:fldChar w:fldCharType="begin"/>
          </w:r>
          <w:r>
            <w:rPr/>
            <w:instrText xml:space="preserve"> GOTOBUTTON _Toc472912791  </w:instrText>
          </w:r>
          <w:r>
            <w:rPr/>
          </w:r>
          <w:r>
            <w:rPr/>
            <w:fldChar w:fldCharType="separate"/>
          </w:r>
          <w:r>
            <w:rPr/>
          </w:r>
          <w:r/>
          <w:r>
            <w:rPr/>
            <w:fldChar w:fldCharType="end"/>
          </w:r>
          <w:r>
            <w:rPr/>
          </w:r>
        </w:p>
        <w:p>
          <w:pPr>
            <w:pStyle w:val="TOC3"/>
            <w:rPr/>
          </w:pPr>
          <w:r>
            <w:rPr/>
            <w:t>Petroleum Coke to Displace Fuel Oil at Florida Utility</w:t>
            <w:tab/>
          </w:r>
          <w:r>
            <w:fldChar w:fldCharType="begin"/>
          </w:r>
          <w:r>
            <w:rPr/>
            <w:instrText xml:space="preserve"> GOTOBUTTON _Toc472912792  </w:instrText>
          </w:r>
          <w:r>
            <w:rPr/>
          </w:r>
          <w:r>
            <w:rPr/>
            <w:fldChar w:fldCharType="separate"/>
          </w:r>
          <w:r>
            <w:rPr/>
          </w:r>
          <w:r/>
          <w:r>
            <w:rPr/>
            <w:fldChar w:fldCharType="end"/>
          </w:r>
          <w:r>
            <w:rPr/>
          </w:r>
        </w:p>
        <w:p>
          <w:pPr>
            <w:pStyle w:val="TOC3"/>
            <w:rPr/>
          </w:pPr>
          <w:r>
            <w:rPr/>
            <w:t>Kildair Sells Fuel Oil Export Cargoes from Quebec Terminal</w:t>
            <w:tab/>
          </w:r>
          <w:r>
            <w:fldChar w:fldCharType="begin"/>
          </w:r>
          <w:r>
            <w:rPr/>
            <w:instrText xml:space="preserve"> GOTOBUTTON _Toc472912793  </w:instrText>
          </w:r>
          <w:r>
            <w:rPr/>
          </w:r>
          <w:r>
            <w:rPr/>
            <w:fldChar w:fldCharType="separate"/>
          </w:r>
          <w:r>
            <w:rPr/>
          </w:r>
          <w:r/>
          <w:r>
            <w:rPr/>
            <w:fldChar w:fldCharType="end"/>
          </w:r>
          <w:r>
            <w:rPr/>
          </w:r>
        </w:p>
        <w:p>
          <w:pPr>
            <w:pStyle w:val="TOC3"/>
            <w:rPr/>
          </w:pPr>
          <w:r>
            <w:rPr/>
            <w:t>Puerto Rican Refinery Selling More Resid for Use in Local Bunker Market</w:t>
            <w:tab/>
          </w:r>
          <w:r>
            <w:fldChar w:fldCharType="begin"/>
          </w:r>
          <w:r>
            <w:rPr/>
            <w:instrText xml:space="preserve"> GOTOBUTTON _Toc472912794  </w:instrText>
          </w:r>
          <w:r>
            <w:rPr/>
          </w:r>
          <w:r>
            <w:rPr/>
            <w:fldChar w:fldCharType="separate"/>
          </w:r>
          <w:r>
            <w:rPr/>
          </w:r>
          <w:r/>
          <w:r>
            <w:rPr/>
            <w:fldChar w:fldCharType="end"/>
          </w:r>
          <w:r>
            <w:rPr/>
          </w:r>
        </w:p>
        <w:p>
          <w:pPr>
            <w:pStyle w:val="TOC3"/>
            <w:rPr/>
          </w:pPr>
          <w:r>
            <w:rPr/>
            <w:t>New IPE Fuel Oil Futures Contract May Not Survive</w:t>
            <w:tab/>
          </w:r>
          <w:r>
            <w:fldChar w:fldCharType="begin"/>
          </w:r>
          <w:r>
            <w:rPr/>
            <w:instrText xml:space="preserve"> GOTOBUTTON _Toc472912795  </w:instrText>
          </w:r>
          <w:r>
            <w:rPr/>
          </w:r>
          <w:r>
            <w:rPr/>
            <w:fldChar w:fldCharType="separate"/>
          </w:r>
          <w:r>
            <w:rPr/>
          </w:r>
          <w:r/>
          <w:r>
            <w:rPr/>
            <w:fldChar w:fldCharType="end"/>
          </w:r>
          <w:r>
            <w:rPr/>
          </w:r>
        </w:p>
        <w:p>
          <w:pPr>
            <w:pStyle w:val="TOC4"/>
            <w:rPr/>
          </w:pPr>
          <w:r>
            <w:rPr/>
            <w:t>Table I-A:  Fuel Oil Cargo Prices (US$/Barrel)</w:t>
            <w:tab/>
          </w:r>
          <w:r>
            <w:fldChar w:fldCharType="begin"/>
          </w:r>
          <w:r>
            <w:rPr/>
            <w:instrText xml:space="preserve"> GOTOBUTTON _Toc472912796  </w:instrText>
          </w:r>
          <w:r>
            <w:rPr/>
          </w:r>
          <w:r>
            <w:rPr/>
            <w:fldChar w:fldCharType="separate"/>
          </w:r>
          <w:r>
            <w:rPr/>
          </w:r>
          <w:r/>
          <w:r>
            <w:rPr/>
            <w:fldChar w:fldCharType="end"/>
          </w:r>
          <w:r>
            <w:rPr/>
          </w:r>
        </w:p>
        <w:p>
          <w:pPr>
            <w:pStyle w:val="TOC4"/>
            <w:rPr/>
          </w:pPr>
          <w:r>
            <w:rPr/>
            <w:t>Table I-B:  Fuel Oil Cargo Prices (US$/Metric Tons)</w:t>
            <w:tab/>
          </w:r>
          <w:r>
            <w:fldChar w:fldCharType="begin"/>
          </w:r>
          <w:r>
            <w:rPr/>
            <w:instrText xml:space="preserve"> GOTOBUTTON _Toc472912797  </w:instrText>
          </w:r>
          <w:r>
            <w:rPr/>
          </w:r>
          <w:r>
            <w:rPr/>
            <w:fldChar w:fldCharType="separate"/>
          </w:r>
          <w:r>
            <w:rPr/>
          </w:r>
          <w:r/>
          <w:r>
            <w:rPr/>
            <w:fldChar w:fldCharType="end"/>
          </w:r>
          <w:r>
            <w:rPr/>
          </w:r>
        </w:p>
        <w:p>
          <w:pPr>
            <w:pStyle w:val="TOC4"/>
            <w:rPr/>
          </w:pPr>
          <w:r>
            <w:rPr/>
            <w:t>Table I-C:  Recent Spot 380 cSt Bunker Prices (US$/Metric Ton)</w:t>
            <w:tab/>
          </w:r>
          <w:r>
            <w:fldChar w:fldCharType="begin"/>
          </w:r>
          <w:r>
            <w:rPr/>
            <w:instrText xml:space="preserve"> GOTOBUTTON _Toc472912798  </w:instrText>
          </w:r>
          <w:r>
            <w:rPr/>
          </w:r>
          <w:r>
            <w:rPr/>
            <w:fldChar w:fldCharType="separate"/>
          </w:r>
          <w:r>
            <w:rPr/>
          </w:r>
          <w:r/>
          <w:r>
            <w:rPr/>
            <w:fldChar w:fldCharType="end"/>
          </w:r>
          <w:r>
            <w:rPr/>
          </w:r>
        </w:p>
        <w:p>
          <w:pPr>
            <w:pStyle w:val="TOC4"/>
            <w:rPr/>
          </w:pPr>
          <w:r>
            <w:rPr/>
            <w:t>Table I-D:  Recent Spot Freight Costs of Fuel Oil</w:t>
            <w:tab/>
          </w:r>
          <w:r>
            <w:fldChar w:fldCharType="begin"/>
          </w:r>
          <w:r>
            <w:rPr/>
            <w:instrText xml:space="preserve"> GOTOBUTTON _Toc472912799  </w:instrText>
          </w:r>
          <w:r>
            <w:rPr/>
          </w:r>
          <w:r>
            <w:rPr/>
            <w:fldChar w:fldCharType="separate"/>
          </w:r>
          <w:r>
            <w:rPr/>
          </w:r>
          <w:r/>
          <w:r>
            <w:rPr/>
            <w:fldChar w:fldCharType="end"/>
          </w:r>
          <w:r>
            <w:rPr/>
          </w:r>
        </w:p>
        <w:p>
          <w:pPr>
            <w:pStyle w:val="TOC1"/>
            <w:rPr/>
          </w:pPr>
          <w:r>
            <w:rPr/>
            <w:t>Part II:  PRICING OUTLOOK</w:t>
          </w:r>
        </w:p>
        <w:p>
          <w:pPr>
            <w:pStyle w:val="TOC3"/>
            <w:rPr/>
          </w:pPr>
          <w:r>
            <w:rPr/>
            <w:t>Crude Oil</w:t>
            <w:tab/>
          </w:r>
          <w:r>
            <w:fldChar w:fldCharType="begin"/>
          </w:r>
          <w:r>
            <w:rPr/>
            <w:instrText xml:space="preserve"> GOTOBUTTON _Toc472912800  </w:instrText>
          </w:r>
          <w:r>
            <w:rPr/>
          </w:r>
          <w:r>
            <w:rPr/>
            <w:fldChar w:fldCharType="separate"/>
          </w:r>
          <w:r>
            <w:rPr/>
          </w:r>
          <w:r/>
          <w:r>
            <w:rPr/>
            <w:fldChar w:fldCharType="end"/>
          </w:r>
          <w:r>
            <w:rPr/>
          </w:r>
        </w:p>
        <w:p>
          <w:pPr>
            <w:pStyle w:val="TOC3"/>
            <w:rPr/>
          </w:pPr>
          <w:r>
            <w:rPr/>
            <w:t>Fuel Oil Relationships to Crude</w:t>
            <w:tab/>
          </w:r>
          <w:r>
            <w:fldChar w:fldCharType="begin"/>
          </w:r>
          <w:r>
            <w:rPr/>
            <w:instrText xml:space="preserve"> GOTOBUTTON _Toc472912801  </w:instrText>
          </w:r>
          <w:r>
            <w:rPr/>
          </w:r>
          <w:r>
            <w:rPr/>
            <w:fldChar w:fldCharType="separate"/>
          </w:r>
          <w:r>
            <w:rPr/>
          </w:r>
          <w:r/>
          <w:r>
            <w:rPr/>
            <w:fldChar w:fldCharType="end"/>
          </w:r>
          <w:r>
            <w:rPr/>
          </w:r>
        </w:p>
        <w:p>
          <w:pPr>
            <w:pStyle w:val="TOC4"/>
            <w:rPr/>
          </w:pPr>
          <w:r>
            <w:rPr/>
            <w:t>Figure II-A:  Spot Crude Oil Prices</w:t>
            <w:tab/>
          </w:r>
          <w:r>
            <w:fldChar w:fldCharType="begin"/>
          </w:r>
          <w:r>
            <w:rPr/>
            <w:instrText xml:space="preserve"> GOTOBUTTON _Toc472912802  </w:instrText>
          </w:r>
          <w:r>
            <w:rPr/>
          </w:r>
          <w:r>
            <w:rPr/>
            <w:fldChar w:fldCharType="separate"/>
          </w:r>
          <w:r>
            <w:rPr/>
          </w:r>
          <w:r/>
          <w:r>
            <w:rPr/>
            <w:fldChar w:fldCharType="end"/>
          </w:r>
          <w:r>
            <w:rPr/>
          </w:r>
        </w:p>
        <w:p>
          <w:pPr>
            <w:pStyle w:val="TOC4"/>
            <w:rPr/>
          </w:pPr>
          <w:r>
            <w:rPr/>
            <w:t>Figure II-B:  Spot New York Harbor Resid Prices</w:t>
            <w:tab/>
          </w:r>
          <w:r>
            <w:fldChar w:fldCharType="begin"/>
          </w:r>
          <w:r>
            <w:rPr/>
            <w:instrText xml:space="preserve"> GOTOBUTTON _Toc472912803  </w:instrText>
          </w:r>
          <w:r>
            <w:rPr/>
          </w:r>
          <w:r>
            <w:rPr/>
            <w:fldChar w:fldCharType="separate"/>
          </w:r>
          <w:r>
            <w:rPr/>
          </w:r>
          <w:r/>
          <w:r>
            <w:rPr/>
            <w:fldChar w:fldCharType="end"/>
          </w:r>
          <w:r>
            <w:rPr/>
          </w:r>
        </w:p>
        <w:p>
          <w:pPr>
            <w:pStyle w:val="TOC4"/>
            <w:rPr/>
          </w:pPr>
          <w:r>
            <w:rPr/>
            <w:t>Figure II-C:  Spot Caribbean Resid Values and Crude Oil Prices</w:t>
            <w:tab/>
          </w:r>
          <w:r>
            <w:fldChar w:fldCharType="begin"/>
          </w:r>
          <w:r>
            <w:rPr/>
            <w:instrText xml:space="preserve"> GOTOBUTTON _Toc472912804  </w:instrText>
          </w:r>
          <w:r>
            <w:rPr/>
          </w:r>
          <w:r>
            <w:rPr/>
            <w:fldChar w:fldCharType="separate"/>
          </w:r>
          <w:r>
            <w:rPr/>
          </w:r>
          <w:r/>
          <w:r>
            <w:rPr/>
            <w:fldChar w:fldCharType="end"/>
          </w:r>
          <w:r>
            <w:rPr/>
          </w:r>
        </w:p>
        <w:p>
          <w:pPr>
            <w:pStyle w:val="TOC4"/>
            <w:rPr/>
          </w:pPr>
          <w:r>
            <w:rPr/>
            <w:t>Figure II-D:  Spot Northwest Europe Resid and Crude Oil Prices</w:t>
            <w:tab/>
          </w:r>
          <w:r>
            <w:fldChar w:fldCharType="begin"/>
          </w:r>
          <w:r>
            <w:rPr/>
            <w:instrText xml:space="preserve"> GOTOBUTTON _Toc472912805  </w:instrText>
          </w:r>
          <w:r>
            <w:rPr/>
          </w:r>
          <w:r>
            <w:rPr/>
            <w:fldChar w:fldCharType="separate"/>
          </w:r>
          <w:r>
            <w:rPr/>
          </w:r>
          <w:r/>
          <w:r>
            <w:rPr/>
            <w:fldChar w:fldCharType="end"/>
          </w:r>
          <w:r>
            <w:rPr/>
          </w:r>
        </w:p>
        <w:p>
          <w:pPr>
            <w:pStyle w:val="TOC4"/>
            <w:rPr/>
          </w:pPr>
          <w:r>
            <w:rPr/>
            <w:t>Figure II-E:  Mediterranean Resid and Crude Oil Prices</w:t>
            <w:tab/>
          </w:r>
          <w:r>
            <w:fldChar w:fldCharType="begin"/>
          </w:r>
          <w:r>
            <w:rPr/>
            <w:instrText xml:space="preserve"> GOTOBUTTON _Toc472912806  </w:instrText>
          </w:r>
          <w:r>
            <w:rPr/>
          </w:r>
          <w:r>
            <w:rPr/>
            <w:fldChar w:fldCharType="separate"/>
          </w:r>
          <w:r>
            <w:rPr/>
          </w:r>
          <w:r/>
          <w:r>
            <w:rPr/>
            <w:fldChar w:fldCharType="end"/>
          </w:r>
          <w:r>
            <w:rPr/>
          </w:r>
        </w:p>
        <w:p>
          <w:pPr>
            <w:pStyle w:val="TOC4"/>
            <w:rPr/>
          </w:pPr>
          <w:r>
            <w:rPr/>
            <w:t>Figure II-F:  Spot Singapore Resid and Crude Oil Prices</w:t>
            <w:tab/>
          </w:r>
          <w:r>
            <w:fldChar w:fldCharType="begin"/>
          </w:r>
          <w:r>
            <w:rPr/>
            <w:instrText xml:space="preserve"> GOTOBUTTON _Toc472912807  </w:instrText>
          </w:r>
          <w:r>
            <w:rPr/>
          </w:r>
          <w:r>
            <w:rPr/>
            <w:fldChar w:fldCharType="separate"/>
          </w:r>
          <w:r>
            <w:rPr/>
          </w:r>
          <w:r/>
          <w:r>
            <w:rPr/>
            <w:fldChar w:fldCharType="end"/>
          </w:r>
          <w:r>
            <w:rPr/>
          </w:r>
        </w:p>
        <w:p>
          <w:pPr>
            <w:pStyle w:val="TOC1"/>
            <w:rPr/>
          </w:pPr>
          <w:r>
            <w:rPr/>
            <w:t>Part III:  SPECIAL FEATURE</w:t>
          </w:r>
        </w:p>
        <w:p>
          <w:pPr>
            <w:pStyle w:val="TOC4"/>
            <w:rPr/>
          </w:pPr>
          <w:r>
            <w:rPr/>
            <w:t>Analysis of the Resid Market in Chile</w:t>
            <w:tab/>
          </w:r>
          <w:r>
            <w:fldChar w:fldCharType="begin"/>
          </w:r>
          <w:r>
            <w:rPr/>
            <w:instrText xml:space="preserve"> GOTOBUTTON _Toc472912808  </w:instrText>
          </w:r>
          <w:r>
            <w:rPr/>
          </w:r>
          <w:r>
            <w:rPr/>
            <w:fldChar w:fldCharType="separate"/>
          </w:r>
          <w:r>
            <w:rPr/>
          </w:r>
          <w:r/>
          <w:r>
            <w:rPr/>
            <w:fldChar w:fldCharType="end"/>
          </w:r>
          <w:r>
            <w:rPr/>
          </w:r>
          <w:r>
            <w:rPr/>
            <w:fldChar w:fldCharType="end"/>
          </w:r>
        </w:p>
      </w:sdtContent>
    </w:sdt>
    <w:p>
      <w:pPr>
        <w:sectPr>
          <w:footerReference w:type="default" r:id="rId4"/>
          <w:footerReference w:type="first" r:id="rId5"/>
          <w:type w:val="nextPage"/>
          <w:pgSz w:w="12240" w:h="15840"/>
          <w:pgMar w:left="1440" w:right="1440" w:gutter="0" w:header="0" w:top="1152" w:footer="576" w:bottom="1152"/>
          <w:pgNumType w:start="1" w:fmt="decimal"/>
          <w:formProt w:val="false"/>
          <w:titlePg/>
          <w:textDirection w:val="lrTb"/>
        </w:sectPr>
        <w:pStyle w:val="TOC4"/>
        <w:numPr>
          <w:ilvl w:val="0"/>
          <w:numId w:val="0"/>
        </w:numPr>
        <w:rPr/>
      </w:pPr>
      <w:r>
        <w:rPr/>
      </w:r>
    </w:p>
    <w:p>
      <w:pPr>
        <w:pStyle w:val="Heading1"/>
        <w:spacing w:before="0" w:after="0"/>
        <w:ind w:hanging="0" w:start="0"/>
        <w:rPr/>
      </w:pPr>
      <w:r>
        <w:rPr/>
        <w:t>Part I:  CURRENT SCENE</w:t>
      </w:r>
    </w:p>
    <w:p>
      <w:pPr>
        <w:pStyle w:val="Heading3"/>
        <w:ind w:hanging="0" w:start="0"/>
        <w:rPr/>
      </w:pPr>
      <w:r>
        <w:rPr/>
        <w:t>France Turning to Fuel Oil to Compensate for Lost Nuclear Power</w:t>
      </w:r>
    </w:p>
    <w:p>
      <w:pPr>
        <w:pStyle w:val="Normal"/>
        <w:rPr/>
      </w:pPr>
      <w:r>
        <w:rPr/>
        <w:t>Reflecting an unexpected downturn in nuclear power, Electricite de France (EdF) is sharply escalating its purchases of fuel oil.  Imports will be necessary because French refiners are unable to meet all of EdF’s requirements from local supply.  EdF is expected to receive 7-8 cargoes of 1%S fuel oil from offshore sources in January 2000.  Elf and Total will apparently bring in one cargo each from their respective refineries in the UK.  Elf will also apparently receive one cargo (of US East Coast origin) from Tosco and one cargo (of Danish origin) from Crown.   EdF will take a second cargo of Danish directly from Crown.  Additionally, Glencore will provide two or three cargoes directly to EdF.  All of the cargoes are believed to be handy-sized, except the Tosco cargo which is probably about 50,000 tons.</w:t>
      </w:r>
    </w:p>
    <w:p>
      <w:pPr>
        <w:pStyle w:val="Normal"/>
        <w:rPr/>
      </w:pPr>
      <w:r>
        <w:rPr/>
      </w:r>
    </w:p>
    <w:p>
      <w:pPr>
        <w:pStyle w:val="Normal"/>
        <w:rPr/>
      </w:pPr>
      <w:r>
        <w:rPr/>
        <w:t xml:space="preserve">Severe storms in late December 1999 caused a loss of French nuclear power.  Two of the four 900 MW reactors at the Blayais nuclear plant, on the Gironde River in western France, were shut down when the storms cut power lines.  Subsequently, the reactors were flooded when two-meter waves from the swollen Gironde River gushed over dikes built to keep out waves up to a maximum one meter high.  France’s Nuclear Safety Board will not permit the reactors to be restarted until EdF puts in place new flood precautions.  A high level official at the safety board said that construction of the new dikes could take months.  Meanwhile, a third 900 MW reactor at Blayais has been out of service due to regularly scheduled maintenance. </w:t>
      </w:r>
    </w:p>
    <w:p>
      <w:pPr>
        <w:pStyle w:val="Normal"/>
        <w:rPr/>
      </w:pPr>
      <w:r>
        <w:rPr/>
      </w:r>
    </w:p>
    <w:p>
      <w:pPr>
        <w:pStyle w:val="Normal"/>
        <w:rPr/>
      </w:pPr>
      <w:r>
        <w:rPr/>
        <w:t>In response to shortfalls in nuclear power in second half 1998 and first quarter 1999, EdF also purchased unusually large quantities of fuel oil (see</w:t>
      </w:r>
      <w:r>
        <w:rPr>
          <w:i/>
          <w:iCs/>
        </w:rPr>
        <w:t xml:space="preserve"> Fuel Oil in World Markets</w:t>
      </w:r>
      <w:r>
        <w:rPr/>
        <w:t>, October 1998, pp. 4-5).  In large measure, the shortfalls resulted from prolonged outages at the Belleville nuclear plant (2 x 1,300 MW), two 1,450 MW  reactors at Chooz, and one 1,450 MW reactor at Civaux.  According to figures published by the Comite Professionel du Petrole, EdF received an average 138,000 tons a month of fuel oil in third quarter 1998, an average 109,000 tons in fourth quarter 1998, and an average 179,000 tons a month in first quarter 1999.</w:t>
      </w:r>
    </w:p>
    <w:p>
      <w:pPr>
        <w:pStyle w:val="Heading3"/>
        <w:ind w:hanging="0" w:start="0"/>
        <w:rPr/>
      </w:pPr>
      <w:r>
        <w:rPr/>
        <w:t>Brazil’s Petrobras Signs New Term Deal with US East Coast Utility</w:t>
      </w:r>
    </w:p>
    <w:p>
      <w:pPr>
        <w:pStyle w:val="Normal"/>
        <w:rPr/>
      </w:pPr>
      <w:r>
        <w:rPr/>
        <w:t>Under a new term deal, Brazil’s Petrobras has agreed to supply 1%S fuel oil to Brooklyn-based KeySpan Energy.  The contract runs from January 1, 2000 to December 31, 2000.  The contract price is tied to New York Harbor 1%S spot quotations.  The fuel oil, for use at KeySpan’s Northport station on Long Island, will generally be delivered by Petrobras in 300,000 barrel cargoes.</w:t>
      </w:r>
    </w:p>
    <w:p>
      <w:pPr>
        <w:pStyle w:val="Normal"/>
        <w:rPr/>
      </w:pPr>
      <w:r>
        <w:rPr/>
      </w:r>
    </w:p>
    <w:p>
      <w:pPr>
        <w:pStyle w:val="Normal"/>
        <w:rPr/>
      </w:pPr>
      <w:r>
        <w:rPr/>
        <w:t>Lately, Petrobras has been exporting 150,000-200,000 tons a month of fuel oil.  The exports are divided roughly 60-40 between 0.45%S and 1.0%S fuel oil.  Petrobras sometimes moves the 0.45%S resid to Statia for storage and blending.  For the time being, all of the 0.45%S resid is being sold on a spot basis.</w:t>
      </w:r>
    </w:p>
    <w:p>
      <w:pPr>
        <w:pStyle w:val="Normal"/>
        <w:rPr/>
      </w:pPr>
      <w:r>
        <w:rPr/>
      </w:r>
    </w:p>
    <w:p>
      <w:pPr>
        <w:pStyle w:val="Normal"/>
        <w:rPr/>
      </w:pPr>
      <w:r>
        <w:rPr/>
        <w:t>The US East Coast and the Caribbean are the main outlets for Brazil’s fuel oil exports.  Occasionally, Petrobras exports fuel oil to Europe.  In 1999, Petrobras moved four cargoes of fuel oil to Italy’s Enel.  Petrobras generally sells its fuel oil cargoes (both grades of resid) on a delivered basis.</w:t>
      </w:r>
    </w:p>
    <w:p>
      <w:pPr>
        <w:pStyle w:val="Normal"/>
        <w:rPr/>
      </w:pPr>
      <w:r>
        <w:rPr/>
      </w:r>
    </w:p>
    <w:p>
      <w:pPr>
        <w:pStyle w:val="Normal"/>
        <w:rPr/>
      </w:pPr>
      <w:r>
        <w:rPr/>
        <w:t xml:space="preserve">Not long ago, KeySpan awarded contracts to Tosco for the supply of 0.37%S and 0.7%S fuel oil.  The contract for 0.37%S resid runs from October 1, 1999 to October 31, 2000, while the contract for 0.7%S fuel oil runs from October 1, 1999 to September 30, 2000 (see </w:t>
      </w:r>
      <w:r>
        <w:rPr>
          <w:i/>
          <w:iCs/>
        </w:rPr>
        <w:t>Fuel Oil in World Markets</w:t>
      </w:r>
      <w:r>
        <w:rPr/>
        <w:t>, October 1999, p. 4).</w:t>
      </w:r>
    </w:p>
    <w:p>
      <w:pPr>
        <w:pStyle w:val="Heading3"/>
        <w:ind w:hanging="0" w:start="0"/>
        <w:rPr/>
      </w:pPr>
      <w:r>
        <w:rPr/>
        <w:t>Petroleum Coke to Displace Fuel Oil at Florida Utility</w:t>
      </w:r>
    </w:p>
    <w:p>
      <w:pPr>
        <w:pStyle w:val="Normal"/>
        <w:ind w:end="-180"/>
        <w:rPr/>
      </w:pPr>
      <w:r>
        <w:rPr/>
        <w:t>Petcoke conversions by a Florida utility should lead to a sharp reduction in the company’s fuel oil requirements.  Jacksonville Electric Authority (JEA) is planning to convert two resid-fired 275 MW units at its Northside plant to petcoke in 2002.  While one of the two resid-fired units (Unit 1) is currently in service, the other unit (Unit 2) has been out of service for many years.  The Northside plant also has a 550 MW unit (Unit 3) which burns fuel oil or natural gas.  There are no plans to convert Unit 3 to petroleum coke.</w:t>
      </w:r>
    </w:p>
    <w:p>
      <w:pPr>
        <w:pStyle w:val="Normal"/>
        <w:rPr/>
      </w:pPr>
      <w:r>
        <w:rPr/>
      </w:r>
    </w:p>
    <w:p>
      <w:pPr>
        <w:pStyle w:val="Normal"/>
        <w:rPr/>
      </w:pPr>
      <w:r>
        <w:rPr/>
        <w:t>Following conversion of the two resid-fired units, JEA’s Northside plant is expected to burn about 1.7 million tons a year of petcoke.  The new boilers, based on environmentally-advanced circular fluidized bed technology, should be capable of consuming petcoke with a sulfur content of 4-6 percent and with HGI as low as 35.  Petcoke is expected to be delivered to the Northside plant in 20-40,000 ton seaborne shipments.  Unit 2 is expected to start burning petcoke in Mach 2002.  Unit 1 should begin burning petcoke three or four months later.</w:t>
      </w:r>
    </w:p>
    <w:p>
      <w:pPr>
        <w:pStyle w:val="Normal"/>
        <w:rPr/>
      </w:pPr>
      <w:r>
        <w:rPr/>
      </w:r>
    </w:p>
    <w:p>
      <w:pPr>
        <w:pStyle w:val="Normal"/>
        <w:rPr/>
      </w:pPr>
      <w:r>
        <w:rPr/>
        <w:t>In conjunction with the petcoke conversions, JEA plans to shut down two power plants — the 200 MW Southside plant and the 200 MW Kennedy plant.  Both plants burn fuel oil and natural gas.</w:t>
      </w:r>
    </w:p>
    <w:p>
      <w:pPr>
        <w:pStyle w:val="Normal"/>
        <w:rPr/>
      </w:pPr>
      <w:r>
        <w:rPr/>
      </w:r>
    </w:p>
    <w:p>
      <w:pPr>
        <w:pStyle w:val="Normal"/>
        <w:rPr/>
      </w:pPr>
      <w:r>
        <w:rPr/>
        <w:t>In recent years, JEA has been consuming about 5.0 million barrels of fuel oil.  Annual fuel oil consumption is expected to fall to about 2.5 million barrels following petcoke conversions at the Northside plant.</w:t>
      </w:r>
    </w:p>
    <w:p>
      <w:pPr>
        <w:pStyle w:val="Heading3"/>
        <w:ind w:hanging="0" w:start="0"/>
        <w:rPr/>
      </w:pPr>
      <w:r>
        <w:rPr/>
        <w:t>Kildair Sells Fuel Oil Export Cargoes from Quebec Terminal</w:t>
      </w:r>
    </w:p>
    <w:p>
      <w:pPr>
        <w:pStyle w:val="Normal"/>
        <w:rPr/>
      </w:pPr>
      <w:r>
        <w:rPr/>
        <w:t>Following the purchase of fuel oil from Hydro-Quebec in mid-1999, Kildair Service has sold  four or five cargoes of 1%S resid for export from its terminal at Tracy, Quebec</w:t>
      </w:r>
      <w:r>
        <w:rPr>
          <w:b/>
          <w:bCs/>
        </w:rPr>
        <w:t>.</w:t>
      </w:r>
      <w:r>
        <w:rPr/>
        <w:t xml:space="preserve">  In line with the shutdown of its 600 MW Tracy plant, Hydro-Quebec sold about 1.5 million barrels of 1.5%S fuel oil from inventory to Kildair.  In addition to using the material for local Canadian requirements, Kildair has used the Hydro-Quebec resid to produce 1%S fuel oil for spot sales on the cargo market.  Purchasers of the 1%S cargoes have included</w:t>
      </w:r>
      <w:r>
        <w:rPr>
          <w:b/>
          <w:bCs/>
        </w:rPr>
        <w:t xml:space="preserve"> </w:t>
      </w:r>
      <w:r>
        <w:rPr/>
        <w:t>Glencore, Hess Energy Trading, and Novarco.  The traders have apparently moved the cargoes to the US East Coast and the Caribbean.  The typical cargo size for exports from Tracy is 285,000-300,000 barrels.</w:t>
      </w:r>
    </w:p>
    <w:p>
      <w:pPr>
        <w:pStyle w:val="Normal"/>
        <w:rPr/>
      </w:pPr>
      <w:r>
        <w:rPr/>
      </w:r>
    </w:p>
    <w:p>
      <w:pPr>
        <w:pStyle w:val="Normal"/>
        <w:rPr/>
      </w:pPr>
      <w:r>
        <w:rPr/>
        <w:t>Separately, Kildair holds a contract to supply up to 525,000 barrels of 0.3-0.4%S and 0.7%S fuel oil to Ontario Power Generation by September 2000.  Fuel oil moves by rail from Kildair’s Tracy storage facility to Ontario’s Lennox power plant.  While the Kildair facility is currently capable of handling unit trains of 60 cars, Kildair management is considering upgrading the facility so that it is capable of handing unit trains of 90 cars (see</w:t>
      </w:r>
      <w:r>
        <w:rPr>
          <w:i/>
          <w:iCs/>
        </w:rPr>
        <w:t xml:space="preserve"> Fuel Oil in World Markets</w:t>
      </w:r>
      <w:r>
        <w:rPr/>
        <w:t>, October 1999, pp. 1-2).</w:t>
      </w:r>
    </w:p>
    <w:p>
      <w:pPr>
        <w:pStyle w:val="Normal"/>
        <w:rPr/>
      </w:pPr>
      <w:r>
        <w:rPr/>
      </w:r>
    </w:p>
    <w:p>
      <w:pPr>
        <w:pStyle w:val="Normal"/>
        <w:rPr/>
      </w:pPr>
      <w:r>
        <w:rPr/>
        <w:t>Kildair Service operates 1.5 million barrels of fuel oil storage capacity in Quebec.  Of that quantity, 1.3 million barrels of storage are located at Tracy and 200,000 barrels at  Montreal.  Of the fuel oil storage capacity at Tracy, 700,000 barrels are capable of handling asphalt.  The Tracy facility will soon be able to handle waterborne shipments of asphalt.  Kildair plans to install the necessary pipeline linking the dock to the storage terminal in the summer of 2000.</w:t>
      </w:r>
    </w:p>
    <w:p>
      <w:pPr>
        <w:pStyle w:val="Heading3"/>
        <w:ind w:hanging="0" w:start="0"/>
        <w:rPr/>
      </w:pPr>
      <w:r>
        <w:rPr/>
        <w:t>Puerto Rican Refinery Selling More Resid for Use in Local Bunker Market</w:t>
      </w:r>
    </w:p>
    <w:p>
      <w:pPr>
        <w:pStyle w:val="Normal"/>
        <w:rPr/>
      </w:pPr>
      <w:r>
        <w:rPr/>
        <w:t>The 50,000 b/d Bayamon refinery in Puerto Rico, owned by the Caribbean Petroleum Corp. (Capeco), is producing more fuel oil for the local bunker market and less fuel oil for export.  The plant is processing an average 42,000 b/d of Venezuelan Mesa crude and producing an average 13,000 b/d of 2.1%S fuel oil.  About 10,000 b/d of fuel oil is being sold on a term basis for use in the local bunker market.  The remainder is sold on a term basis for export.  Fuel oil exports generally move to outlets in the Caribbean and Central America.</w:t>
      </w:r>
    </w:p>
    <w:p>
      <w:pPr>
        <w:pStyle w:val="Normal"/>
        <w:rPr/>
      </w:pPr>
      <w:r>
        <w:rPr/>
      </w:r>
    </w:p>
    <w:p>
      <w:pPr>
        <w:pStyle w:val="Normal"/>
        <w:rPr/>
      </w:pPr>
      <w:r>
        <w:rPr/>
        <w:t xml:space="preserve">After several years of not operating, the Bayamon plant resumed operation in spring 1999.  In the third quarter of 1999, the plant also produced about 13,000 b/d of fuel oil.  At that time, however, about 6,000 b/d of fuel oil was going for local use (inland and bunkers) and 7,000 b/d was being exported (see </w:t>
      </w:r>
      <w:r>
        <w:rPr>
          <w:i/>
          <w:iCs/>
        </w:rPr>
        <w:t>Fuel Oil in World Markets</w:t>
      </w:r>
      <w:r>
        <w:rPr/>
        <w:t>, September 1999, p. 4).</w:t>
      </w:r>
    </w:p>
    <w:p>
      <w:pPr>
        <w:pStyle w:val="Normal"/>
        <w:rPr/>
      </w:pPr>
      <w:r>
        <w:rPr/>
      </w:r>
    </w:p>
    <w:p>
      <w:pPr>
        <w:pStyle w:val="Normal"/>
        <w:rPr/>
      </w:pPr>
      <w:r>
        <w:rPr/>
        <w:t>In December 1999, the Bayamon plant commenced producing asphalt for the local market.  When operating in the asphalt mode, the plant typically produces 1,000 b/d of asphalt, but the Bayamon plant is capable of producing a maximum 4,000 b/d of asphalt.</w:t>
      </w:r>
    </w:p>
    <w:p>
      <w:pPr>
        <w:pStyle w:val="Heading3"/>
        <w:ind w:hanging="0" w:start="0"/>
        <w:rPr/>
      </w:pPr>
      <w:r>
        <w:rPr/>
        <w:t>New IPE Fuel Oil Futures Contract May Not Survive</w:t>
      </w:r>
    </w:p>
    <w:p>
      <w:pPr>
        <w:pStyle w:val="Normal"/>
        <w:rPr/>
      </w:pPr>
      <w:r>
        <w:rPr/>
        <w:t>The recently launched International Petroleum Exchange (IPE) Fuel Oil futures contract may not survive into the new millennium.  Following expiration of the October futures contract (the initial contract of the new series), both trading volume and open interest fell to zero during November.</w:t>
      </w:r>
    </w:p>
    <w:p>
      <w:pPr>
        <w:pStyle w:val="Normal"/>
        <w:rPr/>
      </w:pPr>
      <w:r>
        <w:rPr/>
      </w:r>
    </w:p>
    <w:p>
      <w:pPr>
        <w:pStyle w:val="Normal"/>
        <w:rPr/>
      </w:pPr>
      <w:r>
        <w:rPr/>
        <w:t>In the past, attempts to establish fuel oil futures contracts on the NYMEX, IPE, and SIMEX have failed to attract enough interest from traders, producers, and consumers to achieve the “critical mass” essential for a successful contract.  In this, the IPE’s most recent try to establish a fuel oil contract, the anticipated support has not materialized.  Some fuel oil market participants claim the development of active fuel oil swaps markets has seemingly eliminated the need for an exchange traded contract.</w:t>
      </w:r>
    </w:p>
    <w:p>
      <w:pPr>
        <w:pStyle w:val="Normal"/>
        <w:rPr/>
      </w:pPr>
      <w:r>
        <w:rPr/>
      </w:r>
    </w:p>
    <w:p>
      <w:pPr>
        <w:pStyle w:val="Normal"/>
        <w:rPr/>
      </w:pPr>
      <w:r>
        <w:rPr/>
        <w:t xml:space="preserve">The IPE launched its new Fuel Oil futures contract on September 3rd, 1999 after over a year of development effort by the exchange and industry participants.  The contract is based on physical delivery of bunker specification fuel oil in the Amsterdam, Rotterdam, and Antwerp areas, and is designed to serve as a risk management tool for the oil industry.  Lot size is 100 metric tons.  Please refer to the July-August 1999 issue of </w:t>
      </w:r>
      <w:r>
        <w:rPr>
          <w:i/>
          <w:iCs/>
        </w:rPr>
        <w:t>Fuel Oil in World Markets</w:t>
      </w:r>
      <w:r>
        <w:rPr/>
        <w:t xml:space="preserve"> for contract details.</w:t>
      </w:r>
      <w:r>
        <w:br w:type="page"/>
      </w:r>
    </w:p>
    <w:p>
      <w:pPr>
        <w:pStyle w:val="Heading4"/>
        <w:ind w:hanging="0" w:start="0"/>
        <w:rPr/>
      </w:pPr>
      <w:r>
        <w:rPr/>
        <w:t>Table I-A:  Fuel Oil Cargo Prices</w:t>
        <w:br/>
        <w:t>(US$/Barrel)</w:t>
      </w:r>
    </w:p>
    <w:p>
      <w:pPr>
        <w:pStyle w:val="Normal"/>
        <w:rPr/>
      </w:pPr>
      <w:r>
        <w:rPr/>
      </w:r>
    </w:p>
    <w:p>
      <w:pPr>
        <w:sectPr>
          <w:headerReference w:type="default" r:id="rId6"/>
          <w:footerReference w:type="default" r:id="rId7"/>
          <w:footerReference w:type="first" r:id="rId8"/>
          <w:type w:val="nextPage"/>
          <w:pgSz w:w="12240" w:h="15840"/>
          <w:pgMar w:left="1440" w:right="1440" w:gutter="0" w:header="576" w:top="1008" w:footer="576" w:bottom="1008"/>
          <w:pgNumType w:start="1" w:fmt="decimal"/>
          <w:formProt w:val="false"/>
          <w:textDirection w:val="lrTb"/>
        </w:sectPr>
      </w:pPr>
    </w:p>
    <w:p>
      <w:pPr>
        <w:pStyle w:val="left-1ab"/>
        <w:rPr>
          <w:b/>
          <w:bCs/>
        </w:rPr>
      </w:pPr>
      <w:r>
        <w:rPr>
          <w:b/>
          <w:bCs/>
        </w:rPr>
        <w:t>Location</w:t>
      </w:r>
    </w:p>
    <w:p>
      <w:pPr>
        <w:pStyle w:val="left-1ab"/>
        <w:rPr/>
      </w:pPr>
      <w:r>
        <w:rPr/>
        <w:t>Grade of Resid</w:t>
        <w:br/>
        <w:br/>
      </w:r>
      <w:r>
        <w:rPr>
          <w:b/>
          <w:bCs/>
        </w:rPr>
        <w:t>New York Harbor</w:t>
      </w:r>
      <w:r>
        <w:rPr/>
        <w:br/>
        <w:t>No. 6 0.3%S HiPr</w:t>
        <w:br/>
        <w:t>No. 6 0.3%S LoPr</w:t>
        <w:br/>
        <w:t>No. 6 0.7%S Max</w:t>
        <w:br/>
        <w:t>No. 6 1.0%S Max</w:t>
        <w:br/>
        <w:t>No. 6 2.2%S Max</w:t>
        <w:br/>
        <w:t>No. 6 3.0%S Max</w:t>
        <w:br/>
        <w:br/>
      </w:r>
      <w:r>
        <w:rPr>
          <w:b/>
          <w:bCs/>
        </w:rPr>
        <w:t>Caribbean (FOB)</w:t>
      </w:r>
      <w:r>
        <w:rPr/>
        <w:br/>
        <w:t>No. 6 2.0%S</w:t>
        <w:br/>
        <w:t>No. 6 2.8%S</w:t>
        <w:br/>
        <w:br/>
      </w:r>
      <w:r>
        <w:rPr>
          <w:b/>
          <w:bCs/>
        </w:rPr>
        <w:t>US Gulf Coast</w:t>
      </w:r>
      <w:r>
        <w:rPr/>
        <w:br/>
        <w:t>No. 6 0.7%S</w:t>
        <w:br/>
        <w:t>No. 6 1.0%S 8 API</w:t>
        <w:br/>
        <w:t>No. 6 1.0%S 10.5 API</w:t>
      </w:r>
    </w:p>
    <w:p>
      <w:pPr>
        <w:pStyle w:val="left-1ab"/>
        <w:rPr/>
      </w:pPr>
      <w:r>
        <w:rPr/>
        <w:t>No. 6 3.0% S</w:t>
        <w:br/>
        <w:t>No. 6 3.5%S</w:t>
        <w:br/>
        <w:br/>
      </w:r>
      <w:r>
        <w:rPr>
          <w:b/>
          <w:bCs/>
        </w:rPr>
        <w:t>Northwest Europe (FOB)</w:t>
      </w:r>
      <w:r>
        <w:rPr/>
        <w:br/>
        <w:t>0.5 - 0.7% Straight Run</w:t>
      </w:r>
      <w:r>
        <w:rPr>
          <w:vertAlign w:val="superscript"/>
        </w:rPr>
        <w:t>a</w:t>
      </w:r>
      <w:r>
        <w:rPr/>
        <w:br/>
        <w:t>1.0% Fuel Oil</w:t>
      </w:r>
      <w:r>
        <w:rPr>
          <w:vertAlign w:val="superscript"/>
        </w:rPr>
        <w:t>b</w:t>
      </w:r>
      <w:r>
        <w:rPr/>
        <w:br/>
        <w:t>3.0% Fuel Oil</w:t>
      </w:r>
      <w:r>
        <w:rPr>
          <w:vertAlign w:val="superscript"/>
        </w:rPr>
        <w:t>c</w:t>
      </w:r>
      <w:r>
        <w:rPr/>
        <w:br/>
        <w:t>3.5% Fuel Oil</w:t>
      </w:r>
      <w:r>
        <w:rPr>
          <w:vertAlign w:val="superscript"/>
        </w:rPr>
        <w:t>c</w:t>
      </w:r>
      <w:r>
        <w:rPr/>
        <w:br/>
        <w:t>E4 Premium (CIF NWE)</w:t>
      </w:r>
      <w:r>
        <w:rPr>
          <w:vertAlign w:val="superscript"/>
        </w:rPr>
        <w:t>e</w:t>
      </w:r>
      <w:r>
        <w:rPr/>
        <w:br/>
        <w:br/>
      </w:r>
      <w:r>
        <w:rPr>
          <w:b/>
          <w:bCs/>
        </w:rPr>
        <w:t>Italy (FOB)</w:t>
      </w:r>
      <w:r>
        <w:rPr/>
        <w:br/>
        <w:t>1.0% Fuel Oil</w:t>
      </w:r>
      <w:r>
        <w:rPr>
          <w:vertAlign w:val="superscript"/>
        </w:rPr>
        <w:t>b</w:t>
      </w:r>
      <w:r>
        <w:rPr/>
        <w:br/>
        <w:t>3.5% Fuel Oil</w:t>
      </w:r>
      <w:r>
        <w:rPr>
          <w:vertAlign w:val="superscript"/>
        </w:rPr>
        <w:t>c</w:t>
        <w:br/>
      </w:r>
      <w:r>
        <w:rPr/>
        <w:t>M-40 Premium (CIF Med)</w:t>
      </w:r>
      <w:r>
        <w:rPr>
          <w:vertAlign w:val="superscript"/>
        </w:rPr>
        <w:t>e</w:t>
      </w:r>
      <w:r>
        <w:rPr/>
        <w:br/>
        <w:br/>
      </w:r>
      <w:r>
        <w:rPr>
          <w:b/>
          <w:bCs/>
        </w:rPr>
        <w:t>Arab Gulf (FOB)</w:t>
      </w:r>
      <w:r>
        <w:rPr/>
        <w:br/>
        <w:t>HSFO 180 cSt</w:t>
      </w:r>
      <w:r>
        <w:rPr>
          <w:vertAlign w:val="superscript"/>
        </w:rPr>
        <w:t>d</w:t>
      </w:r>
      <w:r>
        <w:rPr/>
        <w:br/>
        <w:br/>
      </w:r>
      <w:r>
        <w:rPr>
          <w:b/>
          <w:bCs/>
        </w:rPr>
        <w:t>Singapore</w:t>
      </w:r>
      <w:r>
        <w:rPr/>
        <w:br/>
        <w:t>HSFO 180 cSt</w:t>
      </w:r>
      <w:r>
        <w:rPr>
          <w:vertAlign w:val="superscript"/>
        </w:rPr>
        <w:t>e</w:t>
      </w:r>
      <w:r>
        <w:rPr/>
        <w:br/>
        <w:t>HSFO 380 cSt</w:t>
      </w:r>
      <w:r>
        <w:rPr>
          <w:vertAlign w:val="superscript"/>
        </w:rPr>
        <w:t>d</w:t>
      </w:r>
      <w:r>
        <w:rPr/>
        <w:br/>
        <w:t>LSWR Mixed/Cracked</w:t>
      </w:r>
    </w:p>
    <w:p>
      <w:pPr>
        <w:pStyle w:val="right-1ab"/>
        <w:rPr/>
      </w:pPr>
      <w:r>
        <w:rPr/>
      </w:r>
    </w:p>
    <w:p>
      <w:pPr>
        <w:pStyle w:val="right-1ab"/>
        <w:rPr/>
      </w:pPr>
      <w:r>
        <w:br w:type="column"/>
      </w:r>
      <w:r>
        <w:rPr/>
        <w:tab/>
      </w:r>
    </w:p>
    <w:p>
      <w:pPr>
        <w:pStyle w:val="right-1ab"/>
        <w:rPr/>
      </w:pPr>
      <w:r>
        <w:rPr/>
        <w:tab/>
        <w:t xml:space="preserve">30-Nov-99 </w:t>
        <w:tab/>
        <w:t xml:space="preserve">07-Dec-99 </w:t>
        <w:tab/>
        <w:t xml:space="preserve">14-Dec-99 </w:t>
        <w:tab/>
        <w:t xml:space="preserve">21-Dec-99 </w:t>
        <w:tab/>
        <w:t xml:space="preserve">28-Dec-99 </w:t>
      </w:r>
    </w:p>
    <w:p>
      <w:pPr>
        <w:pStyle w:val="right-1ab"/>
        <w:rPr/>
      </w:pPr>
      <w:r>
        <w:rPr/>
        <w:tab/>
        <w:tab/>
        <w:tab/>
        <w:tab/>
        <w:tab/>
      </w:r>
    </w:p>
    <w:p>
      <w:pPr>
        <w:pStyle w:val="right-1ab"/>
        <w:rPr/>
      </w:pPr>
      <w:r>
        <w:rPr/>
        <w:tab/>
        <w:tab/>
        <w:tab/>
        <w:tab/>
        <w:tab/>
      </w:r>
    </w:p>
    <w:p>
      <w:pPr>
        <w:pStyle w:val="right-1ab"/>
        <w:rPr/>
      </w:pPr>
      <w:r>
        <w:rPr/>
        <w:tab/>
        <w:t xml:space="preserve">21.63 </w:t>
        <w:tab/>
        <w:t xml:space="preserve">23.28 </w:t>
        <w:tab/>
        <w:t xml:space="preserve">22.78 </w:t>
        <w:tab/>
        <w:t xml:space="preserve">23.63 </w:t>
        <w:tab/>
        <w:t xml:space="preserve">24.38 </w:t>
      </w:r>
    </w:p>
    <w:p>
      <w:pPr>
        <w:pStyle w:val="right-1ab"/>
        <w:rPr/>
      </w:pPr>
      <w:r>
        <w:rPr/>
        <w:tab/>
        <w:t xml:space="preserve">23.23 </w:t>
        <w:tab/>
        <w:t xml:space="preserve">24.75 </w:t>
        <w:tab/>
        <w:t xml:space="preserve">23.73 </w:t>
        <w:tab/>
        <w:t xml:space="preserve">25.20 </w:t>
        <w:tab/>
        <w:t xml:space="preserve">25.88 </w:t>
      </w:r>
    </w:p>
    <w:p>
      <w:pPr>
        <w:pStyle w:val="right-1ab"/>
        <w:rPr/>
      </w:pPr>
      <w:r>
        <w:rPr/>
        <w:tab/>
        <w:t xml:space="preserve">19.38 </w:t>
        <w:tab/>
        <w:t xml:space="preserve">19.53 </w:t>
        <w:tab/>
        <w:t xml:space="preserve">19.25 </w:t>
        <w:tab/>
        <w:t xml:space="preserve">19.68 </w:t>
        <w:tab/>
        <w:t xml:space="preserve">20.03 </w:t>
      </w:r>
    </w:p>
    <w:p>
      <w:pPr>
        <w:pStyle w:val="right-1ab"/>
        <w:rPr/>
      </w:pPr>
      <w:r>
        <w:rPr/>
        <w:tab/>
        <w:t xml:space="preserve">19.08 </w:t>
        <w:tab/>
        <w:t xml:space="preserve">19.10 </w:t>
        <w:tab/>
        <w:t xml:space="preserve">18.95 </w:t>
        <w:tab/>
        <w:t xml:space="preserve">19.28 </w:t>
        <w:tab/>
        <w:t xml:space="preserve">19.23 </w:t>
      </w:r>
    </w:p>
    <w:p>
      <w:pPr>
        <w:pStyle w:val="right-1ab"/>
        <w:rPr/>
      </w:pPr>
      <w:r>
        <w:rPr/>
        <w:tab/>
        <w:t xml:space="preserve">18.38 </w:t>
        <w:tab/>
        <w:t xml:space="preserve">19.00 </w:t>
        <w:tab/>
        <w:t xml:space="preserve">18.58 </w:t>
        <w:tab/>
        <w:t xml:space="preserve">18.78 </w:t>
        <w:tab/>
        <w:t xml:space="preserve">18.33 </w:t>
      </w:r>
    </w:p>
    <w:p>
      <w:pPr>
        <w:pStyle w:val="right-1ab"/>
        <w:rPr/>
      </w:pPr>
      <w:r>
        <w:rPr/>
        <w:tab/>
        <w:t xml:space="preserve">18.38 </w:t>
        <w:tab/>
        <w:t xml:space="preserve">18.98 </w:t>
        <w:tab/>
        <w:t xml:space="preserve">18.38 </w:t>
        <w:tab/>
        <w:t xml:space="preserve">18.43 </w:t>
        <w:tab/>
        <w:t xml:space="preserve">18.13 </w:t>
      </w:r>
    </w:p>
    <w:p>
      <w:pPr>
        <w:pStyle w:val="right-1ab"/>
        <w:rPr/>
      </w:pPr>
      <w:r>
        <w:rPr/>
        <w:tab/>
        <w:tab/>
        <w:tab/>
        <w:tab/>
        <w:tab/>
      </w:r>
    </w:p>
    <w:p>
      <w:pPr>
        <w:pStyle w:val="right-1ab"/>
        <w:rPr/>
      </w:pPr>
      <w:r>
        <w:rPr/>
        <w:tab/>
        <w:tab/>
        <w:tab/>
        <w:tab/>
        <w:tab/>
      </w:r>
    </w:p>
    <w:p>
      <w:pPr>
        <w:pStyle w:val="right-1ab"/>
        <w:rPr/>
      </w:pPr>
      <w:r>
        <w:rPr/>
        <w:tab/>
        <w:t xml:space="preserve">17.88 </w:t>
        <w:tab/>
        <w:t xml:space="preserve">18.50 </w:t>
        <w:tab/>
        <w:t xml:space="preserve">18.08 </w:t>
        <w:tab/>
        <w:t xml:space="preserve">18.28 </w:t>
        <w:tab/>
        <w:t xml:space="preserve">17.83 </w:t>
      </w:r>
    </w:p>
    <w:p>
      <w:pPr>
        <w:pStyle w:val="right-1ab"/>
        <w:rPr/>
      </w:pPr>
      <w:r>
        <w:rPr/>
        <w:tab/>
        <w:t xml:space="preserve">17.80 </w:t>
        <w:tab/>
        <w:t xml:space="preserve">18.45 </w:t>
        <w:tab/>
        <w:t xml:space="preserve">17.58 </w:t>
        <w:tab/>
        <w:t xml:space="preserve">17.63 </w:t>
        <w:tab/>
        <w:t xml:space="preserve">17.33 </w:t>
      </w:r>
    </w:p>
    <w:p>
      <w:pPr>
        <w:pStyle w:val="right-1ab"/>
        <w:rPr/>
      </w:pPr>
      <w:r>
        <w:rPr/>
        <w:tab/>
        <w:tab/>
        <w:tab/>
        <w:tab/>
        <w:tab/>
      </w:r>
    </w:p>
    <w:p>
      <w:pPr>
        <w:pStyle w:val="right-1ab"/>
        <w:rPr/>
      </w:pPr>
      <w:r>
        <w:rPr/>
        <w:tab/>
        <w:tab/>
        <w:tab/>
        <w:tab/>
        <w:tab/>
      </w:r>
    </w:p>
    <w:p>
      <w:pPr>
        <w:pStyle w:val="right-1ab"/>
        <w:rPr/>
      </w:pPr>
      <w:r>
        <w:rPr/>
        <w:tab/>
        <w:t xml:space="preserve">20.35 </w:t>
        <w:tab/>
        <w:t xml:space="preserve">19.60 </w:t>
        <w:tab/>
        <w:t xml:space="preserve">18.85 </w:t>
        <w:tab/>
        <w:t xml:space="preserve">18.35 </w:t>
        <w:tab/>
        <w:t xml:space="preserve">18.35 </w:t>
      </w:r>
    </w:p>
    <w:p>
      <w:pPr>
        <w:pStyle w:val="right-1ab"/>
        <w:rPr/>
      </w:pPr>
      <w:r>
        <w:rPr/>
        <w:tab/>
        <w:t xml:space="preserve">19.75 </w:t>
        <w:tab/>
        <w:t xml:space="preserve">19.00 </w:t>
        <w:tab/>
        <w:t xml:space="preserve">18.25 </w:t>
        <w:tab/>
        <w:t xml:space="preserve">17.75 </w:t>
        <w:tab/>
        <w:t xml:space="preserve">17.75 </w:t>
      </w:r>
    </w:p>
    <w:p>
      <w:pPr>
        <w:pStyle w:val="right-1ab"/>
        <w:rPr/>
      </w:pPr>
      <w:r>
        <w:rPr/>
        <w:tab/>
        <w:t xml:space="preserve">19.75 </w:t>
        <w:tab/>
        <w:t xml:space="preserve">19.00 </w:t>
        <w:tab/>
        <w:t xml:space="preserve">18.25 </w:t>
        <w:tab/>
        <w:t xml:space="preserve">17.75 </w:t>
        <w:tab/>
        <w:t xml:space="preserve">17.75 </w:t>
      </w:r>
    </w:p>
    <w:p>
      <w:pPr>
        <w:pStyle w:val="right-1ab"/>
        <w:rPr/>
      </w:pPr>
      <w:r>
        <w:rPr/>
        <w:tab/>
        <w:t xml:space="preserve">19.13 </w:t>
        <w:tab/>
        <w:t xml:space="preserve">18.35 </w:t>
        <w:tab/>
        <w:t xml:space="preserve">17.90 </w:t>
        <w:tab/>
        <w:t xml:space="preserve">17.25 </w:t>
        <w:tab/>
        <w:t xml:space="preserve">17.25 </w:t>
      </w:r>
    </w:p>
    <w:p>
      <w:pPr>
        <w:pStyle w:val="right-1ab"/>
        <w:rPr/>
      </w:pPr>
      <w:r>
        <w:rPr/>
        <w:tab/>
        <w:t xml:space="preserve">19.13 </w:t>
        <w:tab/>
        <w:t xml:space="preserve">18.35 </w:t>
        <w:tab/>
        <w:t xml:space="preserve">17.63 </w:t>
        <w:tab/>
        <w:t xml:space="preserve">17.00 </w:t>
        <w:tab/>
        <w:t xml:space="preserve">16.88 </w:t>
      </w:r>
    </w:p>
    <w:p>
      <w:pPr>
        <w:pStyle w:val="right-1ab"/>
        <w:rPr/>
      </w:pPr>
      <w:r>
        <w:rPr/>
        <w:tab/>
        <w:tab/>
        <w:tab/>
        <w:tab/>
        <w:tab/>
      </w:r>
    </w:p>
    <w:p>
      <w:pPr>
        <w:pStyle w:val="right-1ab"/>
        <w:rPr/>
      </w:pPr>
      <w:r>
        <w:rPr/>
        <w:tab/>
        <w:tab/>
        <w:tab/>
        <w:tab/>
        <w:tab/>
      </w:r>
    </w:p>
    <w:p>
      <w:pPr>
        <w:pStyle w:val="right-1ab"/>
        <w:rPr/>
      </w:pPr>
      <w:r>
        <w:rPr/>
        <w:tab/>
        <w:t xml:space="preserve">22.75 </w:t>
        <w:tab/>
        <w:t xml:space="preserve">22.75 </w:t>
        <w:tab/>
        <w:t xml:space="preserve">22.29 </w:t>
        <w:tab/>
        <w:t xml:space="preserve">22.75 </w:t>
        <w:tab/>
        <w:t>n/a</w:t>
      </w:r>
    </w:p>
    <w:p>
      <w:pPr>
        <w:pStyle w:val="right-1ab"/>
        <w:rPr/>
      </w:pPr>
      <w:r>
        <w:rPr/>
        <w:tab/>
        <w:t xml:space="preserve">18.60 </w:t>
        <w:tab/>
        <w:t xml:space="preserve">18.76 </w:t>
        <w:tab/>
        <w:t xml:space="preserve">18.76 </w:t>
        <w:tab/>
        <w:t xml:space="preserve">19.07 </w:t>
        <w:tab/>
        <w:t>n/a</w:t>
      </w:r>
    </w:p>
    <w:p>
      <w:pPr>
        <w:pStyle w:val="right-1ab"/>
        <w:rPr/>
      </w:pPr>
      <w:r>
        <w:rPr/>
        <w:tab/>
        <w:t xml:space="preserve">18.42 </w:t>
        <w:tab/>
        <w:t xml:space="preserve">18.26 </w:t>
        <w:tab/>
        <w:t xml:space="preserve">18.10 </w:t>
        <w:tab/>
        <w:t xml:space="preserve">17.87 </w:t>
        <w:tab/>
        <w:t>n/a</w:t>
      </w:r>
    </w:p>
    <w:p>
      <w:pPr>
        <w:pStyle w:val="right-1ab"/>
        <w:rPr/>
      </w:pPr>
      <w:r>
        <w:rPr/>
        <w:tab/>
        <w:t xml:space="preserve">18.42 </w:t>
        <w:tab/>
        <w:t xml:space="preserve">18.26 </w:t>
        <w:tab/>
        <w:t xml:space="preserve">18.10 </w:t>
        <w:tab/>
        <w:t xml:space="preserve">17.87 </w:t>
        <w:tab/>
        <w:t>n/a</w:t>
      </w:r>
    </w:p>
    <w:p>
      <w:pPr>
        <w:pStyle w:val="right-1ab"/>
        <w:rPr/>
      </w:pPr>
      <w:r>
        <w:rPr/>
        <w:tab/>
        <w:t xml:space="preserve">1.54 </w:t>
        <w:tab/>
        <w:t xml:space="preserve">1.31 </w:t>
        <w:tab/>
        <w:t xml:space="preserve">1.31 </w:t>
        <w:tab/>
        <w:t xml:space="preserve">1.46 </w:t>
        <w:tab/>
        <w:t>n/a</w:t>
      </w:r>
    </w:p>
    <w:p>
      <w:pPr>
        <w:pStyle w:val="right-1ab"/>
        <w:rPr/>
      </w:pPr>
      <w:r>
        <w:rPr/>
        <w:tab/>
        <w:tab/>
        <w:tab/>
        <w:tab/>
        <w:tab/>
      </w:r>
    </w:p>
    <w:p>
      <w:pPr>
        <w:pStyle w:val="right-1ab"/>
        <w:rPr/>
      </w:pPr>
      <w:r>
        <w:rPr/>
        <w:tab/>
        <w:tab/>
        <w:tab/>
        <w:tab/>
        <w:tab/>
      </w:r>
    </w:p>
    <w:p>
      <w:pPr>
        <w:pStyle w:val="right-1ab"/>
        <w:rPr/>
      </w:pPr>
      <w:r>
        <w:rPr/>
        <w:tab/>
        <w:t xml:space="preserve">18.68 </w:t>
        <w:tab/>
        <w:t xml:space="preserve">18.68 </w:t>
        <w:tab/>
        <w:t xml:space="preserve">18.99 </w:t>
        <w:tab/>
        <w:t xml:space="preserve">18.99 </w:t>
        <w:tab/>
        <w:t>n/a</w:t>
      </w:r>
    </w:p>
    <w:p>
      <w:pPr>
        <w:pStyle w:val="right-1ab"/>
        <w:rPr/>
      </w:pPr>
      <w:r>
        <w:rPr/>
        <w:tab/>
        <w:t xml:space="preserve">18.42 </w:t>
        <w:tab/>
        <w:t xml:space="preserve">18.26 </w:t>
        <w:tab/>
        <w:t xml:space="preserve">18.18 </w:t>
        <w:tab/>
        <w:t xml:space="preserve">18.18 </w:t>
        <w:tab/>
        <w:t>n/a</w:t>
      </w:r>
    </w:p>
    <w:p>
      <w:pPr>
        <w:pStyle w:val="right-1ab"/>
        <w:rPr/>
      </w:pPr>
      <w:r>
        <w:rPr/>
        <w:tab/>
        <w:t xml:space="preserve">0.69 </w:t>
        <w:tab/>
        <w:t xml:space="preserve">0.69 </w:t>
        <w:tab/>
        <w:t xml:space="preserve">0.69 </w:t>
        <w:tab/>
        <w:t xml:space="preserve">0.69 </w:t>
        <w:tab/>
        <w:t>n/a</w:t>
      </w:r>
    </w:p>
    <w:p>
      <w:pPr>
        <w:pStyle w:val="right-1ab"/>
        <w:rPr/>
      </w:pPr>
      <w:r>
        <w:rPr/>
        <w:tab/>
        <w:tab/>
        <w:tab/>
        <w:tab/>
        <w:tab/>
      </w:r>
    </w:p>
    <w:p>
      <w:pPr>
        <w:pStyle w:val="right-1ab"/>
        <w:rPr/>
      </w:pPr>
      <w:r>
        <w:rPr/>
        <w:tab/>
        <w:tab/>
        <w:tab/>
        <w:tab/>
        <w:tab/>
      </w:r>
    </w:p>
    <w:p>
      <w:pPr>
        <w:pStyle w:val="right-1ab"/>
        <w:rPr/>
      </w:pPr>
      <w:r>
        <w:rPr/>
        <w:tab/>
        <w:t xml:space="preserve">20.83 </w:t>
        <w:tab/>
        <w:t xml:space="preserve">21.41 </w:t>
        <w:tab/>
        <w:t xml:space="preserve">20.84 </w:t>
        <w:tab/>
        <w:t xml:space="preserve">20.86 </w:t>
        <w:tab/>
        <w:t xml:space="preserve">20.78 </w:t>
      </w:r>
    </w:p>
    <w:p>
      <w:pPr>
        <w:pStyle w:val="right-1ab"/>
        <w:rPr/>
      </w:pPr>
      <w:r>
        <w:rPr/>
        <w:tab/>
        <w:tab/>
        <w:tab/>
        <w:tab/>
        <w:tab/>
      </w:r>
    </w:p>
    <w:p>
      <w:pPr>
        <w:pStyle w:val="right-1ab"/>
        <w:rPr/>
      </w:pPr>
      <w:r>
        <w:rPr/>
        <w:tab/>
        <w:tab/>
        <w:tab/>
        <w:tab/>
        <w:tab/>
      </w:r>
    </w:p>
    <w:p>
      <w:pPr>
        <w:pStyle w:val="right-1ab"/>
        <w:rPr/>
      </w:pPr>
      <w:r>
        <w:rPr/>
        <w:tab/>
        <w:t xml:space="preserve">21.42 </w:t>
        <w:tab/>
        <w:t xml:space="preserve">22.10 </w:t>
        <w:tab/>
        <w:t xml:space="preserve">21.60 </w:t>
        <w:tab/>
        <w:t xml:space="preserve">21.79 </w:t>
        <w:tab/>
        <w:t xml:space="preserve">21.73 </w:t>
      </w:r>
    </w:p>
    <w:p>
      <w:pPr>
        <w:pStyle w:val="right-1ab"/>
        <w:rPr/>
      </w:pPr>
      <w:r>
        <w:rPr/>
        <w:tab/>
        <w:t xml:space="preserve">21.37 </w:t>
        <w:tab/>
        <w:t xml:space="preserve">22.05 </w:t>
        <w:tab/>
        <w:t xml:space="preserve">21.58 </w:t>
        <w:tab/>
        <w:t xml:space="preserve">21.70 </w:t>
        <w:tab/>
        <w:t xml:space="preserve">21.64 </w:t>
      </w:r>
    </w:p>
    <w:p>
      <w:pPr>
        <w:pStyle w:val="right-1ab"/>
        <w:rPr/>
      </w:pPr>
      <w:r>
        <w:rPr/>
        <w:tab/>
        <w:t xml:space="preserve">20.65 </w:t>
        <w:tab/>
        <w:t xml:space="preserve">21.60 </w:t>
        <w:tab/>
        <w:t xml:space="preserve">21.40 </w:t>
        <w:tab/>
        <w:t xml:space="preserve">21.85 </w:t>
        <w:tab/>
        <w:t>21.90</w:t>
      </w:r>
    </w:p>
    <w:p>
      <w:pPr>
        <w:pStyle w:val="right-1ab"/>
        <w:rPr/>
      </w:pPr>
      <w:r>
        <w:rPr/>
      </w:r>
    </w:p>
    <w:p>
      <w:pPr>
        <w:pStyle w:val="right-1ab"/>
        <w:rPr/>
      </w:pPr>
      <w:r>
        <w:rPr/>
      </w:r>
    </w:p>
    <w:p>
      <w:pPr>
        <w:sectPr>
          <w:type w:val="continuous"/>
          <w:pgSz w:w="12240" w:h="15840"/>
          <w:pgMar w:left="1440" w:right="1440" w:gutter="0" w:header="576" w:top="1008" w:footer="576" w:bottom="1008"/>
          <w:cols w:num="2" w:equalWidth="false" w:sep="false">
            <w:col w:w="2448" w:space="346"/>
            <w:col w:w="6566"/>
          </w:cols>
          <w:formProt w:val="false"/>
          <w:textDirection w:val="lrTb"/>
        </w:sectPr>
      </w:pPr>
    </w:p>
    <w:p>
      <w:pPr>
        <w:pStyle w:val="footnotesfortables"/>
        <w:rPr/>
      </w:pPr>
      <w:r>
        <w:rPr/>
        <w:t>Factors for converting to barrels from metric tons:</w:t>
      </w:r>
    </w:p>
    <w:p>
      <w:pPr>
        <w:pStyle w:val="footnotesfortables"/>
        <w:rPr/>
      </w:pPr>
      <w:r>
        <w:rPr/>
        <w:t>a</w:t>
        <w:tab/>
        <w:t>6.55</w:t>
        <w:tab/>
        <w:t>c</w:t>
        <w:tab/>
        <w:t>6.33</w:t>
        <w:tab/>
        <w:t>e</w:t>
        <w:tab/>
        <w:t>6.5</w:t>
        <w:br/>
        <w:t>b</w:t>
        <w:tab/>
        <w:t>6.45</w:t>
        <w:tab/>
        <w:t>d</w:t>
        <w:tab/>
        <w:t>6.4</w:t>
        <w:tab/>
      </w:r>
    </w:p>
    <w:p>
      <w:pPr>
        <w:pStyle w:val="footnotesfortables"/>
        <w:rPr/>
      </w:pPr>
      <w:r>
        <w:rPr/>
      </w:r>
    </w:p>
    <w:p>
      <w:pPr>
        <w:pStyle w:val="footnotesfortables"/>
        <w:rPr/>
      </w:pPr>
      <w:r>
        <w:rPr/>
        <w:t>n/a = not available</w:t>
        <w:br/>
        <w:t xml:space="preserve">Source:  </w:t>
      </w:r>
      <w:r>
        <w:rPr>
          <w:i/>
          <w:iCs/>
        </w:rPr>
        <w:t>Platt’s Oilgram Price Report</w:t>
      </w:r>
      <w:r>
        <w:rPr/>
        <w:t>.  Prices are means of the range for the effective date.</w:t>
      </w:r>
      <w:r>
        <w:br w:type="page"/>
      </w:r>
    </w:p>
    <w:p>
      <w:pPr>
        <w:pStyle w:val="Heading4"/>
        <w:ind w:hanging="0" w:start="0"/>
        <w:rPr/>
      </w:pPr>
      <w:r>
        <w:rPr/>
        <w:t>Table I-B:  Fuel Oil Cargo Prices</w:t>
        <w:br/>
        <w:t>(US$/Metric Tons)</w:t>
      </w:r>
    </w:p>
    <w:p>
      <w:pPr>
        <w:pStyle w:val="Normal"/>
        <w:rPr/>
      </w:pPr>
      <w:r>
        <w:rPr/>
      </w:r>
    </w:p>
    <w:p>
      <w:pPr>
        <w:sectPr>
          <w:type w:val="continuous"/>
          <w:pgSz w:w="12240" w:h="15840"/>
          <w:pgMar w:left="1440" w:right="1440" w:gutter="0" w:header="576" w:top="1008" w:footer="576" w:bottom="1008"/>
          <w:formProt w:val="false"/>
          <w:textDirection w:val="lrTb"/>
        </w:sectPr>
      </w:pPr>
    </w:p>
    <w:p>
      <w:pPr>
        <w:pStyle w:val="left-1ab"/>
        <w:rPr>
          <w:b/>
          <w:bCs/>
        </w:rPr>
      </w:pPr>
      <w:r>
        <w:rPr>
          <w:b/>
          <w:bCs/>
        </w:rPr>
        <w:t>Location</w:t>
      </w:r>
    </w:p>
    <w:p>
      <w:pPr>
        <w:pStyle w:val="left-1ab"/>
        <w:rPr/>
      </w:pPr>
      <w:r>
        <w:rPr/>
        <w:t>Grade of Resid</w:t>
        <w:br/>
        <w:br/>
      </w:r>
      <w:r>
        <w:rPr>
          <w:b/>
          <w:bCs/>
        </w:rPr>
        <w:t>New York Harbor</w:t>
      </w:r>
      <w:r>
        <w:rPr/>
        <w:br/>
        <w:t>No. 6 0.3%S HiPr</w:t>
      </w:r>
      <w:r>
        <w:rPr>
          <w:vertAlign w:val="superscript"/>
        </w:rPr>
        <w:t>a</w:t>
      </w:r>
      <w:r>
        <w:rPr/>
        <w:br/>
        <w:t>No. 6 0.3%S LoPr</w:t>
      </w:r>
      <w:r>
        <w:rPr>
          <w:vertAlign w:val="superscript"/>
        </w:rPr>
        <w:t>a</w:t>
      </w:r>
      <w:r>
        <w:rPr/>
        <w:br/>
        <w:t>No. 6 0.7%S Max</w:t>
      </w:r>
      <w:r>
        <w:rPr>
          <w:vertAlign w:val="superscript"/>
        </w:rPr>
        <w:t>b</w:t>
      </w:r>
      <w:r>
        <w:rPr/>
        <w:br/>
        <w:t>No. 6 1.0%S Max</w:t>
      </w:r>
      <w:r>
        <w:rPr>
          <w:vertAlign w:val="superscript"/>
        </w:rPr>
        <w:t>b</w:t>
      </w:r>
      <w:r>
        <w:rPr/>
        <w:br/>
        <w:t>No. 6 2.2%S Max</w:t>
      </w:r>
      <w:r>
        <w:rPr>
          <w:vertAlign w:val="superscript"/>
        </w:rPr>
        <w:t>c</w:t>
      </w:r>
      <w:r>
        <w:rPr/>
        <w:br/>
        <w:t>No. 6 3.0%S Max</w:t>
      </w:r>
      <w:r>
        <w:rPr>
          <w:vertAlign w:val="superscript"/>
        </w:rPr>
        <w:t>c</w:t>
      </w:r>
      <w:r>
        <w:rPr/>
        <w:br/>
        <w:br/>
      </w:r>
      <w:r>
        <w:rPr>
          <w:b/>
          <w:bCs/>
        </w:rPr>
        <w:t>Caribbean (FOB)</w:t>
      </w:r>
      <w:r>
        <w:rPr/>
        <w:br/>
        <w:t>No. 6 2.0%S</w:t>
      </w:r>
      <w:r>
        <w:rPr>
          <w:vertAlign w:val="superscript"/>
        </w:rPr>
        <w:t>c</w:t>
      </w:r>
      <w:r>
        <w:rPr/>
        <w:br/>
        <w:t>No. 6 2.8%S</w:t>
      </w:r>
      <w:r>
        <w:rPr>
          <w:vertAlign w:val="superscript"/>
        </w:rPr>
        <w:t>c</w:t>
      </w:r>
      <w:r>
        <w:rPr/>
        <w:br/>
        <w:br/>
      </w:r>
      <w:r>
        <w:rPr>
          <w:b/>
          <w:bCs/>
        </w:rPr>
        <w:t>US Gulf Coast</w:t>
      </w:r>
      <w:r>
        <w:rPr/>
        <w:br/>
        <w:t>No. 6 0.7%S</w:t>
      </w:r>
      <w:r>
        <w:rPr>
          <w:vertAlign w:val="superscript"/>
        </w:rPr>
        <w:t>d</w:t>
      </w:r>
      <w:r>
        <w:rPr/>
        <w:br/>
        <w:t>No. 6 1.0%S 8 API</w:t>
      </w:r>
      <w:r>
        <w:rPr>
          <w:vertAlign w:val="superscript"/>
        </w:rPr>
        <w:t>e</w:t>
      </w:r>
      <w:r>
        <w:rPr/>
        <w:br/>
        <w:t>No. 6 1.0%S 10.5 API</w:t>
      </w:r>
      <w:r>
        <w:rPr>
          <w:vertAlign w:val="superscript"/>
        </w:rPr>
        <w:t>f</w:t>
      </w:r>
      <w:r>
        <w:rPr/>
        <w:br/>
        <w:t>No. 6 3.0%S</w:t>
      </w:r>
      <w:r>
        <w:rPr>
          <w:vertAlign w:val="superscript"/>
        </w:rPr>
        <w:t>c</w:t>
      </w:r>
      <w:r>
        <w:rPr/>
        <w:br/>
        <w:t>No. 6 3.5%S</w:t>
      </w:r>
      <w:r>
        <w:rPr>
          <w:vertAlign w:val="superscript"/>
        </w:rPr>
        <w:t>c</w:t>
      </w:r>
    </w:p>
    <w:p>
      <w:pPr>
        <w:pStyle w:val="left-1ab"/>
        <w:rPr/>
      </w:pPr>
      <w:r>
        <w:rPr/>
        <w:br/>
      </w:r>
      <w:r>
        <w:rPr>
          <w:b/>
          <w:bCs/>
        </w:rPr>
        <w:t>Northwest Europe (FOB)</w:t>
      </w:r>
      <w:r>
        <w:rPr/>
        <w:br/>
        <w:t>0.5 - 0.7% Straight Run</w:t>
        <w:br/>
        <w:t>1.0% Fuel Oil</w:t>
        <w:br/>
        <w:t>3.0% Fuel Oil</w:t>
        <w:br/>
        <w:t>3.5% Fuel Oil</w:t>
        <w:br/>
        <w:t>E4 Premium (CIF NWE)</w:t>
        <w:br/>
        <w:br/>
      </w:r>
      <w:r>
        <w:rPr>
          <w:b/>
          <w:bCs/>
        </w:rPr>
        <w:t>Italy (FOB)</w:t>
      </w:r>
      <w:r>
        <w:rPr/>
        <w:br/>
        <w:t>1.0% Fuel Oil</w:t>
        <w:br/>
        <w:t>3.5% Fuel Oil</w:t>
        <w:br/>
        <w:t>M-40 Premium (CIF Med)</w:t>
        <w:br/>
        <w:br/>
      </w:r>
      <w:r>
        <w:rPr>
          <w:b/>
          <w:bCs/>
        </w:rPr>
        <w:t>Arab Gulf (FOB)</w:t>
      </w:r>
      <w:r>
        <w:rPr/>
        <w:br/>
        <w:t>HSFO 180 cSt</w:t>
        <w:br/>
        <w:br/>
      </w:r>
      <w:r>
        <w:rPr>
          <w:b/>
          <w:bCs/>
        </w:rPr>
        <w:t>Singapore</w:t>
      </w:r>
      <w:r>
        <w:rPr/>
        <w:br/>
        <w:t>HSFO 180 cSt</w:t>
        <w:br/>
        <w:t>HSFO 380 cSt</w:t>
        <w:br/>
        <w:t>LSWR Mixed/Cracked</w:t>
      </w:r>
      <w:r>
        <w:rPr>
          <w:vertAlign w:val="superscript"/>
        </w:rPr>
        <w:t>a</w:t>
      </w:r>
      <w:r>
        <w:rPr/>
        <w:br/>
      </w:r>
    </w:p>
    <w:p>
      <w:pPr>
        <w:pStyle w:val="right-1ab"/>
        <w:rPr/>
      </w:pPr>
      <w:r>
        <w:br w:type="column"/>
      </w:r>
      <w:r>
        <w:rPr/>
      </w:r>
    </w:p>
    <w:p>
      <w:pPr>
        <w:pStyle w:val="right-1ab"/>
        <w:rPr/>
      </w:pPr>
      <w:r>
        <w:rPr/>
        <w:tab/>
        <w:t xml:space="preserve">30-Nov-99 </w:t>
        <w:tab/>
        <w:t xml:space="preserve">07-Dec-99 </w:t>
        <w:tab/>
        <w:t xml:space="preserve">14-Dec-99 </w:t>
        <w:tab/>
        <w:t xml:space="preserve">21-Dec-99 </w:t>
        <w:tab/>
        <w:t xml:space="preserve">28-Dec-99 </w:t>
      </w:r>
    </w:p>
    <w:p>
      <w:pPr>
        <w:pStyle w:val="right-1ab"/>
        <w:rPr/>
      </w:pPr>
      <w:r>
        <w:rPr/>
        <w:tab/>
        <w:tab/>
        <w:tab/>
        <w:tab/>
        <w:tab/>
      </w:r>
    </w:p>
    <w:p>
      <w:pPr>
        <w:pStyle w:val="right-1ab"/>
        <w:rPr/>
      </w:pPr>
      <w:r>
        <w:rPr/>
        <w:tab/>
        <w:tab/>
        <w:tab/>
        <w:tab/>
        <w:tab/>
      </w:r>
    </w:p>
    <w:p>
      <w:pPr>
        <w:pStyle w:val="right-1ab"/>
        <w:rPr/>
      </w:pPr>
      <w:r>
        <w:rPr/>
        <w:tab/>
        <w:t xml:space="preserve">144.92 </w:t>
        <w:tab/>
        <w:t xml:space="preserve">155.98 </w:t>
        <w:tab/>
        <w:t xml:space="preserve">152.63 </w:t>
        <w:tab/>
        <w:t xml:space="preserve">158.32 </w:t>
        <w:tab/>
        <w:t xml:space="preserve">163.35 </w:t>
      </w:r>
    </w:p>
    <w:p>
      <w:pPr>
        <w:pStyle w:val="right-1ab"/>
        <w:rPr/>
      </w:pPr>
      <w:r>
        <w:rPr/>
        <w:tab/>
        <w:t xml:space="preserve">155.64 </w:t>
        <w:tab/>
        <w:t xml:space="preserve">165.83 </w:t>
        <w:tab/>
        <w:t xml:space="preserve">158.99 </w:t>
        <w:tab/>
        <w:t xml:space="preserve">168.84 </w:t>
        <w:tab/>
        <w:t xml:space="preserve">173.40 </w:t>
      </w:r>
    </w:p>
    <w:p>
      <w:pPr>
        <w:pStyle w:val="right-1ab"/>
        <w:rPr/>
      </w:pPr>
      <w:r>
        <w:rPr/>
        <w:tab/>
        <w:t xml:space="preserve">125.97 </w:t>
        <w:tab/>
        <w:t xml:space="preserve">126.95 </w:t>
        <w:tab/>
        <w:t xml:space="preserve">125.13 </w:t>
        <w:tab/>
        <w:t xml:space="preserve">127.92 </w:t>
        <w:tab/>
        <w:t xml:space="preserve">130.20 </w:t>
      </w:r>
    </w:p>
    <w:p>
      <w:pPr>
        <w:pStyle w:val="right-1ab"/>
        <w:rPr/>
      </w:pPr>
      <w:r>
        <w:rPr/>
        <w:tab/>
        <w:t xml:space="preserve">124.02 </w:t>
        <w:tab/>
        <w:t xml:space="preserve">124.15 </w:t>
        <w:tab/>
        <w:t xml:space="preserve">123.18 </w:t>
        <w:tab/>
        <w:t xml:space="preserve">125.32 </w:t>
        <w:tab/>
        <w:t xml:space="preserve">125.00 </w:t>
      </w:r>
    </w:p>
    <w:p>
      <w:pPr>
        <w:pStyle w:val="right-1ab"/>
        <w:rPr/>
      </w:pPr>
      <w:r>
        <w:rPr/>
        <w:tab/>
        <w:t xml:space="preserve">117.63 </w:t>
        <w:tab/>
        <w:t xml:space="preserve">121.60 </w:t>
        <w:tab/>
        <w:t xml:space="preserve">118.91 </w:t>
        <w:tab/>
        <w:t xml:space="preserve">120.19 </w:t>
        <w:tab/>
        <w:t xml:space="preserve">117.31 </w:t>
      </w:r>
    </w:p>
    <w:p>
      <w:pPr>
        <w:pStyle w:val="right-1ab"/>
        <w:rPr/>
      </w:pPr>
      <w:r>
        <w:rPr/>
        <w:tab/>
        <w:t xml:space="preserve">117.63 </w:t>
        <w:tab/>
        <w:t xml:space="preserve">121.47 </w:t>
        <w:tab/>
        <w:t xml:space="preserve">117.63 </w:t>
        <w:tab/>
        <w:t xml:space="preserve">117.95 </w:t>
        <w:tab/>
        <w:t xml:space="preserve">116.03 </w:t>
      </w:r>
    </w:p>
    <w:p>
      <w:pPr>
        <w:pStyle w:val="right-1ab"/>
        <w:rPr/>
      </w:pPr>
      <w:r>
        <w:rPr/>
        <w:tab/>
        <w:tab/>
        <w:tab/>
        <w:tab/>
        <w:tab/>
      </w:r>
    </w:p>
    <w:p>
      <w:pPr>
        <w:pStyle w:val="right-1ab"/>
        <w:rPr/>
      </w:pPr>
      <w:r>
        <w:rPr/>
        <w:tab/>
        <w:tab/>
        <w:tab/>
        <w:tab/>
        <w:tab/>
      </w:r>
    </w:p>
    <w:p>
      <w:pPr>
        <w:pStyle w:val="right-1ab"/>
        <w:rPr/>
      </w:pPr>
      <w:r>
        <w:rPr/>
        <w:tab/>
        <w:t xml:space="preserve">114.43 </w:t>
        <w:tab/>
        <w:t xml:space="preserve">118.40 </w:t>
        <w:tab/>
        <w:t xml:space="preserve">115.71 </w:t>
        <w:tab/>
        <w:t xml:space="preserve">116.99 </w:t>
        <w:tab/>
        <w:t xml:space="preserve">114.11 </w:t>
      </w:r>
    </w:p>
    <w:p>
      <w:pPr>
        <w:pStyle w:val="right-1ab"/>
        <w:rPr/>
      </w:pPr>
      <w:r>
        <w:rPr/>
        <w:tab/>
        <w:t xml:space="preserve">113.92 </w:t>
        <w:tab/>
        <w:t xml:space="preserve">118.08 </w:t>
        <w:tab/>
        <w:t xml:space="preserve">112.51 </w:t>
        <w:tab/>
        <w:t xml:space="preserve">112.83 </w:t>
        <w:tab/>
        <w:t xml:space="preserve">110.91 </w:t>
      </w:r>
    </w:p>
    <w:p>
      <w:pPr>
        <w:pStyle w:val="right-1ab"/>
        <w:rPr/>
      </w:pPr>
      <w:r>
        <w:rPr/>
        <w:tab/>
        <w:tab/>
        <w:tab/>
        <w:tab/>
        <w:tab/>
      </w:r>
    </w:p>
    <w:p>
      <w:pPr>
        <w:pStyle w:val="right-1ab"/>
        <w:rPr/>
      </w:pPr>
      <w:r>
        <w:rPr/>
        <w:tab/>
        <w:tab/>
        <w:tab/>
        <w:tab/>
        <w:tab/>
      </w:r>
    </w:p>
    <w:p>
      <w:pPr>
        <w:pStyle w:val="right-1ab"/>
        <w:rPr/>
      </w:pPr>
      <w:r>
        <w:rPr/>
        <w:tab/>
        <w:t xml:space="preserve">130.04 </w:t>
        <w:tab/>
        <w:t xml:space="preserve">125.24 </w:t>
        <w:tab/>
        <w:t xml:space="preserve">120.45 </w:t>
        <w:tab/>
        <w:t xml:space="preserve">117.26 </w:t>
        <w:tab/>
        <w:t xml:space="preserve">117.26 </w:t>
      </w:r>
    </w:p>
    <w:p>
      <w:pPr>
        <w:pStyle w:val="right-1ab"/>
        <w:rPr/>
      </w:pPr>
      <w:r>
        <w:rPr/>
        <w:tab/>
        <w:t xml:space="preserve">122.45 </w:t>
        <w:tab/>
        <w:t xml:space="preserve">117.80 </w:t>
        <w:tab/>
        <w:t xml:space="preserve">113.15 </w:t>
        <w:tab/>
        <w:t xml:space="preserve">110.05 </w:t>
        <w:tab/>
        <w:t xml:space="preserve">110.05 </w:t>
      </w:r>
    </w:p>
    <w:p>
      <w:pPr>
        <w:pStyle w:val="right-1ab"/>
        <w:rPr/>
      </w:pPr>
      <w:r>
        <w:rPr/>
        <w:tab/>
        <w:t xml:space="preserve">124.82 </w:t>
        <w:tab/>
        <w:t xml:space="preserve">120.08 </w:t>
        <w:tab/>
        <w:t xml:space="preserve">115.34 </w:t>
        <w:tab/>
        <w:t xml:space="preserve">112.18 </w:t>
        <w:tab/>
        <w:t xml:space="preserve">112.18 </w:t>
      </w:r>
    </w:p>
    <w:p>
      <w:pPr>
        <w:pStyle w:val="right-1ab"/>
        <w:rPr/>
      </w:pPr>
      <w:r>
        <w:rPr/>
        <w:tab/>
        <w:t xml:space="preserve">122.43 </w:t>
        <w:tab/>
        <w:t xml:space="preserve">117.44 </w:t>
        <w:tab/>
        <w:t xml:space="preserve">114.56 </w:t>
        <w:tab/>
        <w:t xml:space="preserve">110.40 </w:t>
        <w:tab/>
        <w:t xml:space="preserve">110.40 </w:t>
      </w:r>
    </w:p>
    <w:p>
      <w:pPr>
        <w:pStyle w:val="right-1ab"/>
        <w:rPr/>
      </w:pPr>
      <w:r>
        <w:rPr/>
        <w:tab/>
        <w:t xml:space="preserve">122.43 </w:t>
        <w:tab/>
        <w:t xml:space="preserve">117.44 </w:t>
        <w:tab/>
        <w:t xml:space="preserve">112.83 </w:t>
        <w:tab/>
        <w:t xml:space="preserve">108.80 </w:t>
        <w:tab/>
        <w:t xml:space="preserve">108.03 </w:t>
      </w:r>
    </w:p>
    <w:p>
      <w:pPr>
        <w:pStyle w:val="right-1ab"/>
        <w:rPr/>
      </w:pPr>
      <w:r>
        <w:rPr/>
        <w:tab/>
        <w:tab/>
        <w:tab/>
        <w:tab/>
        <w:tab/>
      </w:r>
    </w:p>
    <w:p>
      <w:pPr>
        <w:pStyle w:val="right-1ab"/>
        <w:rPr/>
      </w:pPr>
      <w:r>
        <w:rPr/>
        <w:tab/>
        <w:tab/>
        <w:tab/>
        <w:tab/>
        <w:tab/>
      </w:r>
    </w:p>
    <w:p>
      <w:pPr>
        <w:pStyle w:val="right-1ab"/>
        <w:rPr/>
      </w:pPr>
      <w:r>
        <w:rPr/>
        <w:tab/>
        <w:t xml:space="preserve">149.00 </w:t>
        <w:tab/>
        <w:t xml:space="preserve">149.00 </w:t>
        <w:tab/>
        <w:t xml:space="preserve">146.00 </w:t>
        <w:tab/>
        <w:t xml:space="preserve">149.00 </w:t>
        <w:tab/>
        <w:t>n/a</w:t>
      </w:r>
    </w:p>
    <w:p>
      <w:pPr>
        <w:pStyle w:val="right-1ab"/>
        <w:rPr/>
      </w:pPr>
      <w:r>
        <w:rPr/>
        <w:tab/>
        <w:t xml:space="preserve">120.00 </w:t>
        <w:tab/>
        <w:t xml:space="preserve">121.00 </w:t>
        <w:tab/>
        <w:t xml:space="preserve">121.00 </w:t>
        <w:tab/>
        <w:t xml:space="preserve">123.00 </w:t>
        <w:tab/>
        <w:t>n/a</w:t>
      </w:r>
    </w:p>
    <w:p>
      <w:pPr>
        <w:pStyle w:val="right-1ab"/>
        <w:rPr/>
      </w:pPr>
      <w:r>
        <w:rPr/>
        <w:tab/>
        <w:t xml:space="preserve">116.50 </w:t>
        <w:tab/>
        <w:t xml:space="preserve">115.50 </w:t>
        <w:tab/>
        <w:t xml:space="preserve">114.50 </w:t>
        <w:tab/>
        <w:t xml:space="preserve">113.00 </w:t>
        <w:tab/>
        <w:t>n/a</w:t>
      </w:r>
    </w:p>
    <w:p>
      <w:pPr>
        <w:pStyle w:val="right-1ab"/>
        <w:rPr/>
      </w:pPr>
      <w:r>
        <w:rPr/>
        <w:tab/>
        <w:t xml:space="preserve">116.50 </w:t>
        <w:tab/>
        <w:t xml:space="preserve">115.50 </w:t>
        <w:tab/>
        <w:t xml:space="preserve">114.50 </w:t>
        <w:tab/>
        <w:t xml:space="preserve">113.00 </w:t>
        <w:tab/>
        <w:t>n/a</w:t>
      </w:r>
    </w:p>
    <w:p>
      <w:pPr>
        <w:pStyle w:val="right-1ab"/>
        <w:rPr/>
      </w:pPr>
      <w:r>
        <w:rPr/>
        <w:tab/>
        <w:t xml:space="preserve">10.00 </w:t>
        <w:tab/>
        <w:t xml:space="preserve">8.50 </w:t>
        <w:tab/>
        <w:t xml:space="preserve">8.50 </w:t>
        <w:tab/>
        <w:t xml:space="preserve">9.50 </w:t>
        <w:tab/>
        <w:t>n/a</w:t>
      </w:r>
    </w:p>
    <w:p>
      <w:pPr>
        <w:pStyle w:val="right-1ab"/>
        <w:rPr/>
      </w:pPr>
      <w:r>
        <w:rPr/>
        <w:tab/>
        <w:tab/>
        <w:tab/>
        <w:tab/>
        <w:tab/>
      </w:r>
    </w:p>
    <w:p>
      <w:pPr>
        <w:pStyle w:val="right-1ab"/>
        <w:rPr/>
      </w:pPr>
      <w:r>
        <w:rPr/>
        <w:tab/>
        <w:tab/>
        <w:tab/>
        <w:tab/>
        <w:tab/>
      </w:r>
    </w:p>
    <w:p>
      <w:pPr>
        <w:pStyle w:val="right-1ab"/>
        <w:rPr/>
      </w:pPr>
      <w:r>
        <w:rPr/>
        <w:tab/>
        <w:t xml:space="preserve">118.50 </w:t>
        <w:tab/>
        <w:t xml:space="preserve">120.50 </w:t>
        <w:tab/>
        <w:t xml:space="preserve">120.50 </w:t>
        <w:tab/>
        <w:t xml:space="preserve">122.50 </w:t>
        <w:tab/>
        <w:t>n/a</w:t>
      </w:r>
    </w:p>
    <w:p>
      <w:pPr>
        <w:pStyle w:val="right-1ab"/>
        <w:rPr/>
      </w:pPr>
      <w:r>
        <w:rPr/>
        <w:tab/>
        <w:t xml:space="preserve">117.25 </w:t>
        <w:tab/>
        <w:t xml:space="preserve">116.50 </w:t>
        <w:tab/>
        <w:t xml:space="preserve">115.50 </w:t>
        <w:tab/>
        <w:t xml:space="preserve">115.00 </w:t>
        <w:tab/>
        <w:t>n/a</w:t>
      </w:r>
    </w:p>
    <w:p>
      <w:pPr>
        <w:pStyle w:val="right-1ab"/>
        <w:rPr/>
      </w:pPr>
      <w:r>
        <w:rPr/>
        <w:tab/>
        <w:t xml:space="preserve">4.50 </w:t>
        <w:tab/>
        <w:t xml:space="preserve">4.50 </w:t>
        <w:tab/>
        <w:t xml:space="preserve">4.50 </w:t>
        <w:tab/>
        <w:t xml:space="preserve">4.50 </w:t>
        <w:tab/>
        <w:t>n/a</w:t>
      </w:r>
    </w:p>
    <w:p>
      <w:pPr>
        <w:pStyle w:val="right-1ab"/>
        <w:rPr/>
      </w:pPr>
      <w:r>
        <w:rPr/>
        <w:tab/>
        <w:tab/>
        <w:tab/>
        <w:tab/>
        <w:tab/>
      </w:r>
    </w:p>
    <w:p>
      <w:pPr>
        <w:pStyle w:val="right-1ab"/>
        <w:rPr/>
      </w:pPr>
      <w:r>
        <w:rPr/>
        <w:tab/>
        <w:tab/>
        <w:tab/>
        <w:tab/>
        <w:tab/>
      </w:r>
    </w:p>
    <w:p>
      <w:pPr>
        <w:pStyle w:val="right-1ab"/>
        <w:rPr/>
      </w:pPr>
      <w:r>
        <w:rPr/>
        <w:tab/>
        <w:t xml:space="preserve">133.30 </w:t>
        <w:tab/>
        <w:t xml:space="preserve">137.05 </w:t>
        <w:tab/>
        <w:t xml:space="preserve">133.40 </w:t>
        <w:tab/>
        <w:t xml:space="preserve">133.50 </w:t>
        <w:tab/>
        <w:t xml:space="preserve">133.00 </w:t>
      </w:r>
    </w:p>
    <w:p>
      <w:pPr>
        <w:pStyle w:val="right-1ab"/>
        <w:rPr/>
      </w:pPr>
      <w:r>
        <w:rPr/>
        <w:tab/>
        <w:tab/>
        <w:tab/>
        <w:tab/>
        <w:tab/>
      </w:r>
    </w:p>
    <w:p>
      <w:pPr>
        <w:pStyle w:val="right-1ab"/>
        <w:rPr/>
      </w:pPr>
      <w:r>
        <w:rPr/>
        <w:tab/>
        <w:tab/>
        <w:tab/>
        <w:tab/>
        <w:tab/>
      </w:r>
    </w:p>
    <w:p>
      <w:pPr>
        <w:pStyle w:val="right-1ab"/>
        <w:rPr/>
      </w:pPr>
      <w:r>
        <w:rPr/>
        <w:tab/>
        <w:t xml:space="preserve">139.25 </w:t>
        <w:tab/>
        <w:t xml:space="preserve">143.63 </w:t>
        <w:tab/>
        <w:t xml:space="preserve">140.38 </w:t>
        <w:tab/>
        <w:t xml:space="preserve">141.63 </w:t>
        <w:tab/>
        <w:t xml:space="preserve">141.25 </w:t>
      </w:r>
    </w:p>
    <w:p>
      <w:pPr>
        <w:pStyle w:val="right-1ab"/>
        <w:rPr/>
      </w:pPr>
      <w:r>
        <w:rPr/>
        <w:tab/>
        <w:t xml:space="preserve">136.75 </w:t>
        <w:tab/>
        <w:t xml:space="preserve">141.13 </w:t>
        <w:tab/>
        <w:t xml:space="preserve">138.13 </w:t>
        <w:tab/>
        <w:t xml:space="preserve">138.88 </w:t>
        <w:tab/>
        <w:t xml:space="preserve">138.50 </w:t>
      </w:r>
    </w:p>
    <w:p>
      <w:pPr>
        <w:pStyle w:val="right-1ab"/>
        <w:rPr/>
      </w:pPr>
      <w:r>
        <w:rPr/>
        <w:tab/>
        <w:t xml:space="preserve">138.36 </w:t>
        <w:tab/>
        <w:t xml:space="preserve">144.72 </w:t>
        <w:tab/>
        <w:t xml:space="preserve">143.38 </w:t>
        <w:tab/>
        <w:t xml:space="preserve">146.40 </w:t>
        <w:tab/>
        <w:t>146.73</w:t>
      </w:r>
    </w:p>
    <w:p>
      <w:pPr>
        <w:pStyle w:val="right-1ab"/>
        <w:rPr/>
      </w:pPr>
      <w:r>
        <w:rPr/>
      </w:r>
    </w:p>
    <w:p>
      <w:pPr>
        <w:pStyle w:val="right-1ab"/>
        <w:rPr/>
      </w:pPr>
      <w:r>
        <w:rPr/>
      </w:r>
    </w:p>
    <w:p>
      <w:pPr>
        <w:sectPr>
          <w:type w:val="continuous"/>
          <w:pgSz w:w="12240" w:h="15840"/>
          <w:pgMar w:left="1440" w:right="1440" w:gutter="0" w:header="576" w:top="1008" w:footer="576" w:bottom="1008"/>
          <w:cols w:num="2" w:equalWidth="false" w:sep="false">
            <w:col w:w="2448" w:space="346"/>
            <w:col w:w="6566"/>
          </w:cols>
          <w:formProt w:val="false"/>
          <w:textDirection w:val="lrTb"/>
        </w:sectPr>
      </w:pPr>
    </w:p>
    <w:p>
      <w:pPr>
        <w:pStyle w:val="footnotesfortables"/>
        <w:rPr/>
      </w:pPr>
      <w:r>
        <w:rPr/>
      </w:r>
    </w:p>
    <w:p>
      <w:pPr>
        <w:pStyle w:val="footnotesfortables"/>
        <w:rPr/>
      </w:pPr>
      <w:r>
        <w:rPr/>
        <w:t>Factors for converting to metric tons from barrels:</w:t>
      </w:r>
    </w:p>
    <w:p>
      <w:pPr>
        <w:pStyle w:val="footnotesfortables"/>
        <w:rPr/>
      </w:pPr>
      <w:r>
        <w:rPr/>
        <w:t>a</w:t>
        <w:tab/>
        <w:t>6.7</w:t>
        <w:tab/>
        <w:t>c</w:t>
        <w:tab/>
        <w:t>6.40</w:t>
        <w:tab/>
        <w:t>e</w:t>
        <w:tab/>
        <w:t>6.2</w:t>
        <w:br/>
        <w:t>b</w:t>
        <w:tab/>
        <w:t>6.5</w:t>
        <w:tab/>
        <w:t>d</w:t>
        <w:tab/>
        <w:t>6.39</w:t>
        <w:tab/>
        <w:t>f</w:t>
        <w:tab/>
        <w:t>6.32</w:t>
      </w:r>
    </w:p>
    <w:p>
      <w:pPr>
        <w:pStyle w:val="footnotesfortables"/>
        <w:rPr/>
      </w:pPr>
      <w:r>
        <w:rPr/>
      </w:r>
    </w:p>
    <w:p>
      <w:pPr>
        <w:pStyle w:val="footnotesfortables"/>
        <w:rPr/>
      </w:pPr>
      <w:r>
        <w:rPr/>
        <w:t>n/a = not available</w:t>
        <w:br/>
        <w:t xml:space="preserve">Source:  </w:t>
      </w:r>
      <w:r>
        <w:rPr>
          <w:i/>
          <w:iCs/>
        </w:rPr>
        <w:t>Platt’s Oilgram Price Report</w:t>
      </w:r>
      <w:r>
        <w:rPr/>
        <w:t>.  Prices are means of the range for the effective date.</w:t>
      </w:r>
    </w:p>
    <w:p>
      <w:pPr>
        <w:sectPr>
          <w:type w:val="continuous"/>
          <w:pgSz w:w="12240" w:h="15840"/>
          <w:pgMar w:left="1440" w:right="1440" w:gutter="0" w:header="576" w:top="1008" w:footer="576" w:bottom="1008"/>
          <w:formProt w:val="false"/>
          <w:textDirection w:val="lrTb"/>
        </w:sectPr>
      </w:pPr>
    </w:p>
    <w:p>
      <w:pPr>
        <w:pStyle w:val="Heading4"/>
        <w:ind w:hanging="0" w:start="0"/>
        <w:rPr/>
      </w:pPr>
      <w:r>
        <w:rPr/>
        <w:t>Table I-C:  Recent Spot 380 cSt Bunker Prices</w:t>
        <w:br/>
        <w:t>(US$/Metric Ton)</w:t>
      </w:r>
    </w:p>
    <w:p>
      <w:pPr>
        <w:pStyle w:val="right-1ab"/>
        <w:rPr>
          <w:sz w:val="16"/>
          <w:szCs w:val="16"/>
        </w:rPr>
      </w:pPr>
      <w:r>
        <w:rPr>
          <w:sz w:val="16"/>
          <w:szCs w:val="16"/>
        </w:rPr>
      </w:r>
    </w:p>
    <w:p>
      <w:pPr>
        <w:sectPr>
          <w:type w:val="nextPage"/>
          <w:pgSz w:w="12240" w:h="15840"/>
          <w:pgMar w:left="1440" w:right="1440" w:gutter="0" w:header="0" w:top="1152" w:footer="0" w:bottom="1152"/>
          <w:pgNumType w:fmt="decimal"/>
          <w:formProt w:val="false"/>
          <w:textDirection w:val="lrTb"/>
        </w:sectPr>
      </w:pPr>
    </w:p>
    <w:p>
      <w:pPr>
        <w:pStyle w:val="left-1c"/>
        <w:rPr/>
      </w:pPr>
      <w:r>
        <w:rPr/>
        <w:t>Location</w:t>
      </w:r>
    </w:p>
    <w:p>
      <w:pPr>
        <w:pStyle w:val="left-1c"/>
        <w:rPr/>
      </w:pPr>
      <w:r>
        <w:rPr/>
      </w:r>
    </w:p>
    <w:p>
      <w:pPr>
        <w:pStyle w:val="left-1c"/>
        <w:rPr/>
      </w:pPr>
      <w:r>
        <w:rPr/>
        <w:t>US West Coast</w:t>
      </w:r>
    </w:p>
    <w:p>
      <w:pPr>
        <w:pStyle w:val="left-1c"/>
        <w:rPr>
          <w:b w:val="false"/>
          <w:bCs w:val="false"/>
        </w:rPr>
      </w:pPr>
      <w:r>
        <w:rPr>
          <w:b w:val="false"/>
          <w:bCs w:val="false"/>
        </w:rPr>
        <w:t>Los Angeles</w:t>
      </w:r>
      <w:r>
        <w:rPr>
          <w:b w:val="false"/>
          <w:bCs w:val="false"/>
          <w:vertAlign w:val="superscript"/>
        </w:rPr>
        <w:t>a</w:t>
      </w:r>
    </w:p>
    <w:p>
      <w:pPr>
        <w:pStyle w:val="left-1c"/>
        <w:rPr>
          <w:b w:val="false"/>
          <w:bCs w:val="false"/>
        </w:rPr>
      </w:pPr>
      <w:r>
        <w:rPr>
          <w:b w:val="false"/>
          <w:bCs w:val="false"/>
        </w:rPr>
        <w:t>Seattle</w:t>
      </w:r>
      <w:r>
        <w:rPr>
          <w:b w:val="false"/>
          <w:bCs w:val="false"/>
          <w:vertAlign w:val="superscript"/>
        </w:rPr>
        <w:t>a</w:t>
      </w:r>
    </w:p>
    <w:p>
      <w:pPr>
        <w:pStyle w:val="left-1c"/>
        <w:rPr>
          <w:b w:val="false"/>
          <w:bCs w:val="false"/>
        </w:rPr>
      </w:pPr>
      <w:r>
        <w:rPr>
          <w:b w:val="false"/>
          <w:bCs w:val="false"/>
        </w:rPr>
      </w:r>
    </w:p>
    <w:p>
      <w:pPr>
        <w:pStyle w:val="left-1c"/>
        <w:rPr/>
      </w:pPr>
      <w:r>
        <w:rPr/>
        <w:t>US Gulf Coast</w:t>
      </w:r>
    </w:p>
    <w:p>
      <w:pPr>
        <w:pStyle w:val="left-1c"/>
        <w:rPr>
          <w:b w:val="false"/>
          <w:bCs w:val="false"/>
        </w:rPr>
      </w:pPr>
      <w:r>
        <w:rPr>
          <w:b w:val="false"/>
          <w:bCs w:val="false"/>
        </w:rPr>
        <w:t>Houston</w:t>
      </w:r>
      <w:r>
        <w:rPr>
          <w:b w:val="false"/>
          <w:bCs w:val="false"/>
          <w:vertAlign w:val="superscript"/>
        </w:rPr>
        <w:t>a</w:t>
      </w:r>
    </w:p>
    <w:p>
      <w:pPr>
        <w:pStyle w:val="left-1c"/>
        <w:rPr/>
      </w:pPr>
      <w:r>
        <w:rPr>
          <w:b w:val="false"/>
          <w:bCs w:val="false"/>
        </w:rPr>
        <w:t>New Orleans</w:t>
      </w:r>
      <w:r>
        <w:rPr>
          <w:b w:val="false"/>
          <w:bCs w:val="false"/>
          <w:vertAlign w:val="superscript"/>
        </w:rPr>
        <w:t>a</w:t>
      </w:r>
    </w:p>
    <w:p>
      <w:pPr>
        <w:pStyle w:val="left-1c"/>
        <w:rPr/>
      </w:pPr>
      <w:r>
        <w:rPr/>
      </w:r>
    </w:p>
    <w:p>
      <w:pPr>
        <w:pStyle w:val="left-1c"/>
        <w:rPr/>
      </w:pPr>
      <w:r>
        <w:rPr/>
        <w:t>US Atlantic Coast</w:t>
      </w:r>
    </w:p>
    <w:p>
      <w:pPr>
        <w:pStyle w:val="left-1c"/>
        <w:rPr>
          <w:b w:val="false"/>
          <w:bCs w:val="false"/>
        </w:rPr>
      </w:pPr>
      <w:r>
        <w:rPr>
          <w:b w:val="false"/>
          <w:bCs w:val="false"/>
        </w:rPr>
        <w:t>New York</w:t>
      </w:r>
      <w:r>
        <w:rPr>
          <w:b w:val="false"/>
          <w:bCs w:val="false"/>
          <w:vertAlign w:val="superscript"/>
        </w:rPr>
        <w:t>a</w:t>
      </w:r>
    </w:p>
    <w:p>
      <w:pPr>
        <w:pStyle w:val="left-1c"/>
        <w:rPr/>
      </w:pPr>
      <w:r>
        <w:rPr>
          <w:b w:val="false"/>
          <w:bCs w:val="false"/>
        </w:rPr>
        <w:t>Philadelphia</w:t>
      </w:r>
      <w:r>
        <w:rPr>
          <w:b w:val="false"/>
          <w:bCs w:val="false"/>
          <w:vertAlign w:val="superscript"/>
        </w:rPr>
        <w:t>a</w:t>
      </w:r>
    </w:p>
    <w:p>
      <w:pPr>
        <w:pStyle w:val="left-1c"/>
        <w:rPr/>
      </w:pPr>
      <w:r>
        <w:rPr/>
      </w:r>
    </w:p>
    <w:p>
      <w:pPr>
        <w:pStyle w:val="left-1c"/>
        <w:rPr/>
      </w:pPr>
      <w:r>
        <w:rPr/>
        <w:t>Canada</w:t>
      </w:r>
    </w:p>
    <w:p>
      <w:pPr>
        <w:pStyle w:val="left-1c"/>
        <w:rPr>
          <w:b w:val="false"/>
          <w:bCs w:val="false"/>
        </w:rPr>
      </w:pPr>
      <w:r>
        <w:rPr>
          <w:b w:val="false"/>
          <w:bCs w:val="false"/>
        </w:rPr>
        <w:t>Montreal</w:t>
      </w:r>
      <w:r>
        <w:rPr>
          <w:b w:val="false"/>
          <w:bCs w:val="false"/>
          <w:vertAlign w:val="superscript"/>
        </w:rPr>
        <w:t>a</w:t>
      </w:r>
    </w:p>
    <w:p>
      <w:pPr>
        <w:pStyle w:val="left-1c"/>
        <w:rPr>
          <w:vertAlign w:val="superscript"/>
        </w:rPr>
      </w:pPr>
      <w:r>
        <w:rPr>
          <w:b w:val="false"/>
          <w:bCs w:val="false"/>
        </w:rPr>
        <w:t>Vancouver</w:t>
      </w:r>
      <w:r>
        <w:rPr>
          <w:b w:val="false"/>
          <w:bCs w:val="false"/>
          <w:vertAlign w:val="superscript"/>
        </w:rPr>
        <w:t>a</w:t>
      </w:r>
    </w:p>
    <w:p>
      <w:pPr>
        <w:pStyle w:val="left-1c"/>
        <w:rPr>
          <w:vertAlign w:val="superscript"/>
        </w:rPr>
      </w:pPr>
      <w:r>
        <w:rPr>
          <w:vertAlign w:val="superscript"/>
        </w:rPr>
      </w:r>
    </w:p>
    <w:p>
      <w:pPr>
        <w:pStyle w:val="left-1c"/>
        <w:rPr/>
      </w:pPr>
      <w:r>
        <w:rPr/>
        <w:t>Central America/Caribbean</w:t>
      </w:r>
    </w:p>
    <w:p>
      <w:pPr>
        <w:pStyle w:val="left-1c"/>
        <w:rPr>
          <w:b w:val="false"/>
          <w:bCs w:val="false"/>
        </w:rPr>
      </w:pPr>
      <w:r>
        <w:rPr>
          <w:b w:val="false"/>
          <w:bCs w:val="false"/>
        </w:rPr>
        <w:t>Cristobal/Balboa</w:t>
      </w:r>
      <w:r>
        <w:rPr>
          <w:b w:val="false"/>
          <w:bCs w:val="false"/>
          <w:vertAlign w:val="superscript"/>
        </w:rPr>
        <w:t>a</w:t>
      </w:r>
    </w:p>
    <w:p>
      <w:pPr>
        <w:pStyle w:val="left-1c"/>
        <w:rPr/>
      </w:pPr>
      <w:r>
        <w:rPr>
          <w:b w:val="false"/>
          <w:bCs w:val="false"/>
        </w:rPr>
        <w:t>St. Eustatius</w:t>
      </w:r>
      <w:r>
        <w:rPr>
          <w:b w:val="false"/>
          <w:bCs w:val="false"/>
          <w:vertAlign w:val="superscript"/>
        </w:rPr>
        <w:t>b</w:t>
      </w:r>
    </w:p>
    <w:p>
      <w:pPr>
        <w:pStyle w:val="left-1c"/>
        <w:rPr/>
      </w:pPr>
      <w:r>
        <w:rPr/>
      </w:r>
    </w:p>
    <w:p>
      <w:pPr>
        <w:pStyle w:val="left-1c"/>
        <w:rPr/>
      </w:pPr>
      <w:r>
        <w:rPr/>
        <w:t>South America</w:t>
      </w:r>
    </w:p>
    <w:p>
      <w:pPr>
        <w:pStyle w:val="left-1c"/>
        <w:rPr>
          <w:b w:val="false"/>
          <w:bCs w:val="false"/>
        </w:rPr>
      </w:pPr>
      <w:r>
        <w:rPr>
          <w:b w:val="false"/>
          <w:bCs w:val="false"/>
        </w:rPr>
        <w:t>Venezuela</w:t>
      </w:r>
      <w:r>
        <w:rPr>
          <w:b w:val="false"/>
          <w:bCs w:val="false"/>
          <w:vertAlign w:val="superscript"/>
        </w:rPr>
        <w:t>a</w:t>
      </w:r>
    </w:p>
    <w:p>
      <w:pPr>
        <w:pStyle w:val="left-1c"/>
        <w:rPr>
          <w:b w:val="false"/>
          <w:bCs w:val="false"/>
        </w:rPr>
      </w:pPr>
      <w:r>
        <w:rPr>
          <w:b w:val="false"/>
          <w:bCs w:val="false"/>
        </w:rPr>
        <w:t>Rio de Janeiro</w:t>
      </w:r>
      <w:r>
        <w:rPr>
          <w:b w:val="false"/>
          <w:bCs w:val="false"/>
          <w:vertAlign w:val="superscript"/>
        </w:rPr>
        <w:t>b</w:t>
      </w:r>
    </w:p>
    <w:p>
      <w:pPr>
        <w:pStyle w:val="left-1c"/>
        <w:rPr>
          <w:b w:val="false"/>
          <w:bCs w:val="false"/>
        </w:rPr>
      </w:pPr>
      <w:r>
        <w:rPr>
          <w:b w:val="false"/>
          <w:bCs w:val="false"/>
        </w:rPr>
      </w:r>
    </w:p>
    <w:p>
      <w:pPr>
        <w:pStyle w:val="left-1c"/>
        <w:rPr/>
      </w:pPr>
      <w:r>
        <w:rPr/>
        <w:t>Europe</w:t>
      </w:r>
    </w:p>
    <w:p>
      <w:pPr>
        <w:pStyle w:val="left-1c"/>
        <w:rPr>
          <w:b w:val="false"/>
          <w:bCs w:val="false"/>
        </w:rPr>
      </w:pPr>
      <w:r>
        <w:rPr>
          <w:b w:val="false"/>
          <w:bCs w:val="false"/>
        </w:rPr>
        <w:t>Rotterdam/Amsterdam</w:t>
      </w:r>
      <w:r>
        <w:rPr>
          <w:b w:val="false"/>
          <w:bCs w:val="false"/>
          <w:vertAlign w:val="superscript"/>
        </w:rPr>
        <w:t>b</w:t>
      </w:r>
    </w:p>
    <w:p>
      <w:pPr>
        <w:pStyle w:val="left-1c"/>
        <w:rPr>
          <w:b w:val="false"/>
          <w:bCs w:val="false"/>
        </w:rPr>
      </w:pPr>
      <w:r>
        <w:rPr>
          <w:b w:val="false"/>
          <w:bCs w:val="false"/>
        </w:rPr>
        <w:t>Hamburg</w:t>
      </w:r>
      <w:r>
        <w:rPr>
          <w:b w:val="false"/>
          <w:bCs w:val="false"/>
          <w:vertAlign w:val="superscript"/>
        </w:rPr>
        <w:t>b</w:t>
      </w:r>
    </w:p>
    <w:p>
      <w:pPr>
        <w:pStyle w:val="left-1c"/>
        <w:rPr/>
      </w:pPr>
      <w:r>
        <w:rPr>
          <w:b w:val="false"/>
          <w:bCs w:val="false"/>
        </w:rPr>
        <w:t>Le Havre</w:t>
      </w:r>
      <w:r>
        <w:rPr>
          <w:b w:val="false"/>
          <w:bCs w:val="false"/>
          <w:vertAlign w:val="superscript"/>
        </w:rPr>
        <w:t>a</w:t>
      </w:r>
    </w:p>
    <w:p>
      <w:pPr>
        <w:pStyle w:val="left-1c"/>
        <w:rPr/>
      </w:pPr>
      <w:r>
        <w:rPr/>
      </w:r>
    </w:p>
    <w:p>
      <w:pPr>
        <w:pStyle w:val="left-1c"/>
        <w:rPr/>
      </w:pPr>
      <w:r>
        <w:rPr/>
        <w:t>Gibraltar Straits</w:t>
      </w:r>
    </w:p>
    <w:p>
      <w:pPr>
        <w:pStyle w:val="left-1c"/>
        <w:rPr>
          <w:b w:val="false"/>
          <w:bCs w:val="false"/>
        </w:rPr>
      </w:pPr>
      <w:r>
        <w:rPr>
          <w:b w:val="false"/>
          <w:bCs w:val="false"/>
        </w:rPr>
        <w:t>Gibraltar</w:t>
      </w:r>
      <w:r>
        <w:rPr>
          <w:b w:val="false"/>
          <w:bCs w:val="false"/>
          <w:vertAlign w:val="superscript"/>
        </w:rPr>
        <w:t>a</w:t>
      </w:r>
    </w:p>
    <w:p>
      <w:pPr>
        <w:pStyle w:val="left-1c"/>
        <w:rPr>
          <w:b w:val="false"/>
          <w:bCs w:val="false"/>
        </w:rPr>
      </w:pPr>
      <w:r>
        <w:rPr>
          <w:b w:val="false"/>
          <w:bCs w:val="false"/>
        </w:rPr>
      </w:r>
    </w:p>
    <w:p>
      <w:pPr>
        <w:pStyle w:val="left-1c"/>
        <w:rPr/>
      </w:pPr>
      <w:r>
        <w:rPr/>
        <w:t>Mediterranean</w:t>
      </w:r>
    </w:p>
    <w:p>
      <w:pPr>
        <w:pStyle w:val="left-1c"/>
        <w:rPr>
          <w:b w:val="false"/>
          <w:bCs w:val="false"/>
        </w:rPr>
      </w:pPr>
      <w:r>
        <w:rPr>
          <w:b w:val="false"/>
          <w:bCs w:val="false"/>
        </w:rPr>
        <w:t>Augusta</w:t>
      </w:r>
      <w:r>
        <w:rPr>
          <w:b w:val="false"/>
          <w:bCs w:val="false"/>
          <w:vertAlign w:val="superscript"/>
        </w:rPr>
        <w:t>a</w:t>
      </w:r>
    </w:p>
    <w:p>
      <w:pPr>
        <w:pStyle w:val="left-1c"/>
        <w:rPr>
          <w:b w:val="false"/>
          <w:bCs w:val="false"/>
        </w:rPr>
      </w:pPr>
      <w:r>
        <w:rPr>
          <w:b w:val="false"/>
          <w:bCs w:val="false"/>
        </w:rPr>
        <w:t>Genoa</w:t>
      </w:r>
      <w:r>
        <w:rPr>
          <w:b w:val="false"/>
          <w:bCs w:val="false"/>
          <w:vertAlign w:val="superscript"/>
        </w:rPr>
        <w:t>a</w:t>
      </w:r>
    </w:p>
    <w:p>
      <w:pPr>
        <w:pStyle w:val="left-1c"/>
        <w:rPr>
          <w:b w:val="false"/>
          <w:bCs w:val="false"/>
        </w:rPr>
      </w:pPr>
      <w:r>
        <w:rPr>
          <w:b w:val="false"/>
          <w:bCs w:val="false"/>
        </w:rPr>
      </w:r>
    </w:p>
    <w:p>
      <w:pPr>
        <w:pStyle w:val="left-1c"/>
        <w:rPr/>
      </w:pPr>
      <w:r>
        <w:rPr/>
        <w:t>Africa</w:t>
      </w:r>
    </w:p>
    <w:p>
      <w:pPr>
        <w:pStyle w:val="left-1c"/>
        <w:rPr>
          <w:b w:val="false"/>
          <w:bCs w:val="false"/>
        </w:rPr>
      </w:pPr>
      <w:r>
        <w:rPr>
          <w:b w:val="false"/>
          <w:bCs w:val="false"/>
        </w:rPr>
        <w:t>Durban</w:t>
      </w:r>
      <w:r>
        <w:rPr>
          <w:b w:val="false"/>
          <w:bCs w:val="false"/>
          <w:vertAlign w:val="superscript"/>
        </w:rPr>
        <w:t>a</w:t>
      </w:r>
    </w:p>
    <w:p>
      <w:pPr>
        <w:pStyle w:val="left-1c"/>
        <w:rPr/>
      </w:pPr>
      <w:r>
        <w:rPr>
          <w:b w:val="false"/>
          <w:bCs w:val="false"/>
        </w:rPr>
        <w:t>Las Palmas</w:t>
      </w:r>
      <w:r>
        <w:rPr>
          <w:b w:val="false"/>
          <w:bCs w:val="false"/>
          <w:vertAlign w:val="superscript"/>
        </w:rPr>
        <w:t>a</w:t>
      </w:r>
    </w:p>
    <w:p>
      <w:pPr>
        <w:pStyle w:val="left-1c"/>
        <w:rPr/>
      </w:pPr>
      <w:r>
        <w:rPr/>
      </w:r>
    </w:p>
    <w:p>
      <w:pPr>
        <w:pStyle w:val="left-1c"/>
        <w:rPr/>
      </w:pPr>
      <w:r>
        <w:rPr/>
        <w:t>Middle East</w:t>
      </w:r>
    </w:p>
    <w:p>
      <w:pPr>
        <w:pStyle w:val="left-1c"/>
        <w:spacing w:lineRule="atLeast" w:line="240"/>
        <w:rPr>
          <w:b w:val="false"/>
          <w:bCs w:val="false"/>
        </w:rPr>
      </w:pPr>
      <w:r>
        <w:rPr>
          <w:b w:val="false"/>
          <w:bCs w:val="false"/>
        </w:rPr>
        <w:t>Suez Canal</w:t>
      </w:r>
      <w:r>
        <w:rPr>
          <w:b w:val="false"/>
          <w:bCs w:val="false"/>
          <w:vertAlign w:val="superscript"/>
        </w:rPr>
        <w:t>b</w:t>
      </w:r>
    </w:p>
    <w:p>
      <w:pPr>
        <w:pStyle w:val="left-1c"/>
        <w:rPr/>
      </w:pPr>
      <w:r>
        <w:rPr>
          <w:b w:val="false"/>
          <w:bCs w:val="false"/>
        </w:rPr>
        <w:t>Fujairah/Khor Fakkan</w:t>
      </w:r>
      <w:r>
        <w:rPr>
          <w:b w:val="false"/>
          <w:bCs w:val="false"/>
          <w:vertAlign w:val="superscript"/>
        </w:rPr>
        <w:t>b</w:t>
      </w:r>
    </w:p>
    <w:p>
      <w:pPr>
        <w:pStyle w:val="left-1c"/>
        <w:rPr/>
      </w:pPr>
      <w:r>
        <w:rPr/>
      </w:r>
    </w:p>
    <w:p>
      <w:pPr>
        <w:pStyle w:val="left-1c"/>
        <w:rPr/>
      </w:pPr>
      <w:r>
        <w:rPr/>
        <w:t>Asia</w:t>
      </w:r>
    </w:p>
    <w:p>
      <w:pPr>
        <w:pStyle w:val="left-1c"/>
        <w:rPr>
          <w:b w:val="false"/>
          <w:bCs w:val="false"/>
        </w:rPr>
      </w:pPr>
      <w:r>
        <w:rPr>
          <w:b w:val="false"/>
          <w:bCs w:val="false"/>
        </w:rPr>
        <w:t>Singapore</w:t>
      </w:r>
      <w:r>
        <w:rPr>
          <w:b w:val="false"/>
          <w:bCs w:val="false"/>
          <w:vertAlign w:val="superscript"/>
        </w:rPr>
        <w:t>b</w:t>
      </w:r>
    </w:p>
    <w:p>
      <w:pPr>
        <w:pStyle w:val="left-1c"/>
        <w:rPr>
          <w:b w:val="false"/>
          <w:bCs w:val="false"/>
        </w:rPr>
      </w:pPr>
      <w:r>
        <w:rPr>
          <w:b w:val="false"/>
          <w:bCs w:val="false"/>
        </w:rPr>
        <w:t>Korea</w:t>
      </w:r>
      <w:r>
        <w:rPr>
          <w:b w:val="false"/>
          <w:bCs w:val="false"/>
          <w:vertAlign w:val="superscript"/>
        </w:rPr>
        <w:t>b</w:t>
      </w:r>
    </w:p>
    <w:p>
      <w:pPr>
        <w:pStyle w:val="left-1c"/>
        <w:rPr/>
      </w:pPr>
      <w:r>
        <w:rPr>
          <w:b w:val="false"/>
          <w:bCs w:val="false"/>
        </w:rPr>
        <w:t>Japan</w:t>
      </w:r>
      <w:r>
        <w:rPr>
          <w:b w:val="false"/>
          <w:bCs w:val="false"/>
          <w:vertAlign w:val="superscript"/>
        </w:rPr>
        <w:t>b</w:t>
      </w:r>
    </w:p>
    <w:p>
      <w:pPr>
        <w:pStyle w:val="right-1c"/>
        <w:rPr/>
      </w:pPr>
      <w:r>
        <w:br w:type="column"/>
      </w:r>
      <w:r>
        <w:rPr/>
        <w:tab/>
        <w:t xml:space="preserve">30-Nov-99 </w:t>
        <w:tab/>
        <w:t xml:space="preserve">07-Dec-99 </w:t>
        <w:tab/>
        <w:t xml:space="preserve">14-Dec-99 </w:t>
        <w:tab/>
        <w:t xml:space="preserve">21-Dec-99 </w:t>
        <w:tab/>
        <w:t xml:space="preserve">28-Dec-99 </w:t>
      </w:r>
    </w:p>
    <w:p>
      <w:pPr>
        <w:pStyle w:val="right-1c"/>
        <w:rPr/>
      </w:pPr>
      <w:r>
        <w:rPr/>
        <w:tab/>
        <w:tab/>
        <w:tab/>
        <w:tab/>
        <w:tab/>
      </w:r>
    </w:p>
    <w:p>
      <w:pPr>
        <w:pStyle w:val="right-1c"/>
        <w:rPr/>
      </w:pPr>
      <w:r>
        <w:rPr/>
        <w:tab/>
        <w:tab/>
        <w:tab/>
        <w:tab/>
        <w:tab/>
      </w:r>
    </w:p>
    <w:p>
      <w:pPr>
        <w:pStyle w:val="right-1c"/>
        <w:rPr/>
      </w:pPr>
      <w:r>
        <w:rPr/>
        <w:tab/>
        <w:t xml:space="preserve">139.50 </w:t>
        <w:tab/>
        <w:t xml:space="preserve">141.00 </w:t>
        <w:tab/>
        <w:t xml:space="preserve">134.00 </w:t>
        <w:tab/>
        <w:t xml:space="preserve">140.00 </w:t>
        <w:tab/>
        <w:t xml:space="preserve">138.50 </w:t>
      </w:r>
    </w:p>
    <w:p>
      <w:pPr>
        <w:pStyle w:val="right-1c"/>
        <w:rPr/>
      </w:pPr>
      <w:r>
        <w:rPr/>
        <w:tab/>
        <w:t xml:space="preserve">148.00 </w:t>
        <w:tab/>
        <w:t xml:space="preserve">141.00 </w:t>
        <w:tab/>
        <w:t xml:space="preserve">135.50 </w:t>
        <w:tab/>
        <w:t xml:space="preserve">146.00 </w:t>
        <w:tab/>
        <w:t xml:space="preserve">149.00 </w:t>
      </w:r>
    </w:p>
    <w:p>
      <w:pPr>
        <w:pStyle w:val="right-1c"/>
        <w:rPr/>
      </w:pPr>
      <w:r>
        <w:rPr/>
        <w:tab/>
        <w:tab/>
        <w:tab/>
        <w:tab/>
        <w:tab/>
      </w:r>
    </w:p>
    <w:p>
      <w:pPr>
        <w:pStyle w:val="right-1c"/>
        <w:rPr/>
      </w:pPr>
      <w:r>
        <w:rPr/>
        <w:tab/>
        <w:tab/>
        <w:tab/>
        <w:tab/>
        <w:tab/>
      </w:r>
    </w:p>
    <w:p>
      <w:pPr>
        <w:pStyle w:val="right-1c"/>
        <w:rPr/>
      </w:pPr>
      <w:r>
        <w:rPr/>
        <w:tab/>
        <w:t xml:space="preserve">133.25 </w:t>
        <w:tab/>
        <w:t xml:space="preserve">131.00 </w:t>
        <w:tab/>
        <w:t xml:space="preserve">121.00 </w:t>
        <w:tab/>
        <w:t xml:space="preserve">125.00 </w:t>
        <w:tab/>
        <w:t xml:space="preserve">120.50 </w:t>
      </w:r>
    </w:p>
    <w:p>
      <w:pPr>
        <w:pStyle w:val="right-1c"/>
        <w:rPr/>
      </w:pPr>
      <w:r>
        <w:rPr/>
        <w:tab/>
        <w:t xml:space="preserve">139.25 </w:t>
        <w:tab/>
        <w:t xml:space="preserve">136.00 </w:t>
        <w:tab/>
        <w:t xml:space="preserve">123.00 </w:t>
        <w:tab/>
        <w:t xml:space="preserve">128.50 </w:t>
        <w:tab/>
        <w:t xml:space="preserve">125.00 </w:t>
      </w:r>
    </w:p>
    <w:p>
      <w:pPr>
        <w:pStyle w:val="right-1c"/>
        <w:rPr/>
      </w:pPr>
      <w:r>
        <w:rPr/>
        <w:tab/>
        <w:tab/>
        <w:tab/>
        <w:tab/>
        <w:tab/>
      </w:r>
    </w:p>
    <w:p>
      <w:pPr>
        <w:pStyle w:val="right-1c"/>
        <w:rPr/>
      </w:pPr>
      <w:r>
        <w:rPr/>
        <w:tab/>
        <w:tab/>
        <w:tab/>
        <w:tab/>
        <w:tab/>
      </w:r>
    </w:p>
    <w:p>
      <w:pPr>
        <w:pStyle w:val="right-1c"/>
        <w:rPr/>
      </w:pPr>
      <w:r>
        <w:rPr/>
        <w:tab/>
        <w:t xml:space="preserve">135.00 </w:t>
        <w:tab/>
        <w:t xml:space="preserve">133.00 </w:t>
        <w:tab/>
        <w:t xml:space="preserve">121.00 </w:t>
        <w:tab/>
        <w:t xml:space="preserve">131.00 </w:t>
        <w:tab/>
        <w:t xml:space="preserve">130.00 </w:t>
      </w:r>
    </w:p>
    <w:p>
      <w:pPr>
        <w:pStyle w:val="right-1c"/>
        <w:rPr/>
      </w:pPr>
      <w:r>
        <w:rPr/>
        <w:tab/>
        <w:t xml:space="preserve">138.00 </w:t>
        <w:tab/>
        <w:t xml:space="preserve">135.50 </w:t>
        <w:tab/>
        <w:t xml:space="preserve">123.25 </w:t>
        <w:tab/>
        <w:t xml:space="preserve">133.50 </w:t>
        <w:tab/>
        <w:t xml:space="preserve">129.00 </w:t>
      </w:r>
    </w:p>
    <w:p>
      <w:pPr>
        <w:pStyle w:val="right-1c"/>
        <w:rPr/>
      </w:pPr>
      <w:r>
        <w:rPr/>
        <w:tab/>
        <w:tab/>
        <w:tab/>
        <w:tab/>
        <w:tab/>
      </w:r>
    </w:p>
    <w:p>
      <w:pPr>
        <w:pStyle w:val="right-1c"/>
        <w:rPr/>
      </w:pPr>
      <w:r>
        <w:rPr/>
        <w:tab/>
        <w:tab/>
        <w:tab/>
        <w:tab/>
        <w:tab/>
      </w:r>
    </w:p>
    <w:p>
      <w:pPr>
        <w:pStyle w:val="right-1c"/>
        <w:rPr/>
      </w:pPr>
      <w:r>
        <w:rPr/>
        <w:tab/>
        <w:t>n/a</w:t>
        <w:tab/>
        <w:t xml:space="preserve">165.00 </w:t>
        <w:tab/>
        <w:t xml:space="preserve">162.50 </w:t>
        <w:tab/>
        <w:t xml:space="preserve">150.50 </w:t>
        <w:tab/>
        <w:t>n/a</w:t>
      </w:r>
    </w:p>
    <w:p>
      <w:pPr>
        <w:pStyle w:val="right-1c"/>
        <w:rPr/>
      </w:pPr>
      <w:r>
        <w:rPr/>
        <w:tab/>
        <w:t xml:space="preserve">162.50 </w:t>
        <w:tab/>
        <w:t xml:space="preserve">160.00 </w:t>
        <w:tab/>
        <w:t xml:space="preserve">152.00 </w:t>
        <w:tab/>
        <w:t xml:space="preserve">161.00 </w:t>
        <w:tab/>
        <w:t xml:space="preserve">173.00 </w:t>
      </w:r>
    </w:p>
    <w:p>
      <w:pPr>
        <w:pStyle w:val="right-1c"/>
        <w:rPr/>
      </w:pPr>
      <w:r>
        <w:rPr/>
        <w:tab/>
        <w:tab/>
        <w:tab/>
        <w:tab/>
        <w:tab/>
      </w:r>
    </w:p>
    <w:p>
      <w:pPr>
        <w:pStyle w:val="right-1c"/>
        <w:rPr/>
      </w:pPr>
      <w:r>
        <w:rPr/>
        <w:tab/>
        <w:tab/>
        <w:tab/>
        <w:tab/>
        <w:tab/>
      </w:r>
    </w:p>
    <w:p>
      <w:pPr>
        <w:pStyle w:val="right-1c"/>
        <w:rPr/>
      </w:pPr>
      <w:r>
        <w:rPr/>
        <w:tab/>
        <w:t xml:space="preserve">140.00 </w:t>
        <w:tab/>
        <w:t xml:space="preserve">136.00 </w:t>
        <w:tab/>
        <w:t xml:space="preserve">126.00 </w:t>
        <w:tab/>
        <w:t xml:space="preserve">139.50 </w:t>
        <w:tab/>
        <w:t xml:space="preserve">141.00 </w:t>
      </w:r>
    </w:p>
    <w:p>
      <w:pPr>
        <w:pStyle w:val="right-1c"/>
        <w:rPr/>
      </w:pPr>
      <w:r>
        <w:rPr/>
        <w:tab/>
        <w:t xml:space="preserve">143.00 </w:t>
        <w:tab/>
        <w:t xml:space="preserve">145.00 </w:t>
        <w:tab/>
        <w:t xml:space="preserve">143.50 </w:t>
        <w:tab/>
        <w:t xml:space="preserve">141.50 </w:t>
        <w:tab/>
        <w:t>n/a</w:t>
      </w:r>
    </w:p>
    <w:p>
      <w:pPr>
        <w:pStyle w:val="right-1c"/>
        <w:rPr/>
      </w:pPr>
      <w:r>
        <w:rPr/>
        <w:tab/>
        <w:tab/>
        <w:tab/>
        <w:tab/>
        <w:tab/>
      </w:r>
    </w:p>
    <w:p>
      <w:pPr>
        <w:pStyle w:val="right-1c"/>
        <w:rPr/>
      </w:pPr>
      <w:r>
        <w:rPr/>
        <w:tab/>
        <w:tab/>
        <w:tab/>
        <w:tab/>
        <w:tab/>
      </w:r>
    </w:p>
    <w:p>
      <w:pPr>
        <w:pStyle w:val="right-1c"/>
        <w:rPr/>
      </w:pPr>
      <w:r>
        <w:rPr/>
        <w:tab/>
        <w:t xml:space="preserve">139.50 </w:t>
        <w:tab/>
        <w:t xml:space="preserve">136.50 </w:t>
        <w:tab/>
        <w:t xml:space="preserve">122.50 </w:t>
        <w:tab/>
        <w:t xml:space="preserve">132.00 </w:t>
        <w:tab/>
        <w:t xml:space="preserve">132.50 </w:t>
      </w:r>
    </w:p>
    <w:p>
      <w:pPr>
        <w:pStyle w:val="right-1c"/>
        <w:rPr/>
      </w:pPr>
      <w:r>
        <w:rPr/>
        <w:tab/>
        <w:t xml:space="preserve">137.75 </w:t>
        <w:tab/>
        <w:t xml:space="preserve">137.75 </w:t>
        <w:tab/>
        <w:t xml:space="preserve">131.75 </w:t>
        <w:tab/>
        <w:t xml:space="preserve">131.75 </w:t>
        <w:tab/>
        <w:t xml:space="preserve">131.75 </w:t>
      </w:r>
    </w:p>
    <w:p>
      <w:pPr>
        <w:pStyle w:val="right-1c"/>
        <w:rPr/>
      </w:pPr>
      <w:r>
        <w:rPr/>
        <w:tab/>
        <w:tab/>
        <w:tab/>
        <w:tab/>
        <w:tab/>
      </w:r>
    </w:p>
    <w:p>
      <w:pPr>
        <w:pStyle w:val="right-1c"/>
        <w:rPr/>
      </w:pPr>
      <w:r>
        <w:rPr/>
        <w:tab/>
        <w:tab/>
        <w:tab/>
        <w:tab/>
        <w:tab/>
      </w:r>
    </w:p>
    <w:p>
      <w:pPr>
        <w:pStyle w:val="right-1c"/>
        <w:rPr/>
      </w:pPr>
      <w:r>
        <w:rPr/>
        <w:tab/>
        <w:t xml:space="preserve">132.50 </w:t>
        <w:tab/>
        <w:t xml:space="preserve">133.25 </w:t>
        <w:tab/>
        <w:t xml:space="preserve">125.25 </w:t>
        <w:tab/>
        <w:t xml:space="preserve">122.00 </w:t>
        <w:tab/>
        <w:t xml:space="preserve">125.00 </w:t>
      </w:r>
    </w:p>
    <w:p>
      <w:pPr>
        <w:pStyle w:val="right-1c"/>
        <w:rPr/>
      </w:pPr>
      <w:r>
        <w:rPr/>
        <w:tab/>
        <w:t xml:space="preserve">138.00 </w:t>
        <w:tab/>
        <w:t xml:space="preserve">138.00 </w:t>
        <w:tab/>
        <w:t xml:space="preserve">131.00 </w:t>
        <w:tab/>
        <w:t xml:space="preserve">127.00 </w:t>
        <w:tab/>
        <w:t xml:space="preserve">129.00 </w:t>
      </w:r>
    </w:p>
    <w:p>
      <w:pPr>
        <w:pStyle w:val="right-1c"/>
        <w:rPr/>
      </w:pPr>
      <w:r>
        <w:rPr/>
        <w:tab/>
        <w:t xml:space="preserve">139.00 </w:t>
        <w:tab/>
        <w:t xml:space="preserve">137.00 </w:t>
        <w:tab/>
        <w:t xml:space="preserve">137.00 </w:t>
        <w:tab/>
        <w:t xml:space="preserve">135.00 </w:t>
        <w:tab/>
        <w:t xml:space="preserve">138.00 </w:t>
      </w:r>
    </w:p>
    <w:p>
      <w:pPr>
        <w:pStyle w:val="right-1c"/>
        <w:rPr/>
      </w:pPr>
      <w:r>
        <w:rPr/>
        <w:tab/>
        <w:tab/>
        <w:tab/>
        <w:tab/>
        <w:tab/>
      </w:r>
    </w:p>
    <w:p>
      <w:pPr>
        <w:pStyle w:val="right-1c"/>
        <w:rPr/>
      </w:pPr>
      <w:r>
        <w:rPr/>
        <w:tab/>
        <w:tab/>
        <w:tab/>
        <w:tab/>
        <w:tab/>
      </w:r>
    </w:p>
    <w:p>
      <w:pPr>
        <w:pStyle w:val="right-1c"/>
        <w:rPr/>
      </w:pPr>
      <w:r>
        <w:rPr/>
        <w:tab/>
        <w:t xml:space="preserve">129.00 </w:t>
        <w:tab/>
        <w:t xml:space="preserve">129.00 </w:t>
        <w:tab/>
        <w:t xml:space="preserve">128.00 </w:t>
        <w:tab/>
        <w:t xml:space="preserve">126.00 </w:t>
        <w:tab/>
        <w:t xml:space="preserve">127.00 </w:t>
      </w:r>
    </w:p>
    <w:p>
      <w:pPr>
        <w:pStyle w:val="right-1c"/>
        <w:rPr/>
      </w:pPr>
      <w:r>
        <w:rPr/>
        <w:tab/>
        <w:tab/>
        <w:tab/>
        <w:tab/>
        <w:tab/>
      </w:r>
    </w:p>
    <w:p>
      <w:pPr>
        <w:pStyle w:val="right-1c"/>
        <w:rPr/>
      </w:pPr>
      <w:r>
        <w:rPr/>
        <w:tab/>
        <w:tab/>
        <w:tab/>
        <w:tab/>
        <w:tab/>
      </w:r>
    </w:p>
    <w:p>
      <w:pPr>
        <w:pStyle w:val="right-1c"/>
        <w:rPr/>
      </w:pPr>
      <w:r>
        <w:rPr/>
        <w:tab/>
        <w:t xml:space="preserve">131.00 </w:t>
        <w:tab/>
        <w:t xml:space="preserve">131.00 </w:t>
        <w:tab/>
        <w:t xml:space="preserve">139.00 </w:t>
        <w:tab/>
        <w:t xml:space="preserve">132.00 </w:t>
        <w:tab/>
        <w:t xml:space="preserve">128.00 </w:t>
      </w:r>
    </w:p>
    <w:p>
      <w:pPr>
        <w:pStyle w:val="right-1c"/>
        <w:rPr/>
      </w:pPr>
      <w:r>
        <w:rPr/>
        <w:tab/>
        <w:t xml:space="preserve">137.00 </w:t>
        <w:tab/>
        <w:t xml:space="preserve">137.00 </w:t>
        <w:tab/>
        <w:t xml:space="preserve">143.00 </w:t>
        <w:tab/>
        <w:t xml:space="preserve">139.50 </w:t>
        <w:tab/>
        <w:t xml:space="preserve">134.00 </w:t>
      </w:r>
    </w:p>
    <w:p>
      <w:pPr>
        <w:pStyle w:val="right-1c"/>
        <w:rPr/>
      </w:pPr>
      <w:r>
        <w:rPr/>
        <w:tab/>
        <w:tab/>
        <w:tab/>
        <w:tab/>
        <w:tab/>
      </w:r>
    </w:p>
    <w:p>
      <w:pPr>
        <w:pStyle w:val="right-1c"/>
        <w:rPr/>
      </w:pPr>
      <w:r>
        <w:rPr/>
        <w:tab/>
        <w:tab/>
        <w:tab/>
        <w:tab/>
        <w:tab/>
      </w:r>
    </w:p>
    <w:p>
      <w:pPr>
        <w:pStyle w:val="right-1c"/>
        <w:rPr/>
      </w:pPr>
      <w:r>
        <w:rPr/>
        <w:tab/>
        <w:t xml:space="preserve">143.00 </w:t>
        <w:tab/>
        <w:t xml:space="preserve">142.00 </w:t>
        <w:tab/>
        <w:t xml:space="preserve">141.00 </w:t>
        <w:tab/>
        <w:t xml:space="preserve">142.00 </w:t>
        <w:tab/>
        <w:t xml:space="preserve">142.00 </w:t>
      </w:r>
    </w:p>
    <w:p>
      <w:pPr>
        <w:pStyle w:val="right-1c"/>
        <w:rPr/>
      </w:pPr>
      <w:r>
        <w:rPr/>
        <w:tab/>
        <w:t xml:space="preserve">135.00 </w:t>
        <w:tab/>
        <w:t xml:space="preserve">135.00 </w:t>
        <w:tab/>
        <w:t xml:space="preserve">131.00 </w:t>
        <w:tab/>
        <w:t xml:space="preserve">133.00 </w:t>
        <w:tab/>
        <w:t xml:space="preserve">132.00 </w:t>
      </w:r>
    </w:p>
    <w:p>
      <w:pPr>
        <w:pStyle w:val="right-1c"/>
        <w:rPr/>
      </w:pPr>
      <w:r>
        <w:rPr/>
        <w:tab/>
        <w:tab/>
        <w:tab/>
        <w:tab/>
        <w:tab/>
      </w:r>
    </w:p>
    <w:p>
      <w:pPr>
        <w:pStyle w:val="right-1c"/>
        <w:rPr/>
      </w:pPr>
      <w:r>
        <w:rPr/>
        <w:tab/>
        <w:tab/>
        <w:tab/>
        <w:tab/>
        <w:tab/>
      </w:r>
    </w:p>
    <w:p>
      <w:pPr>
        <w:pStyle w:val="right-1c"/>
        <w:rPr/>
      </w:pPr>
      <w:r>
        <w:rPr/>
        <w:tab/>
        <w:t xml:space="preserve">149.00 </w:t>
        <w:tab/>
        <w:t xml:space="preserve">139.00 </w:t>
        <w:tab/>
        <w:t xml:space="preserve">139.00 </w:t>
        <w:tab/>
        <w:t xml:space="preserve">139.00 </w:t>
        <w:tab/>
        <w:t xml:space="preserve">136.50 </w:t>
      </w:r>
    </w:p>
    <w:p>
      <w:pPr>
        <w:pStyle w:val="right-1c"/>
        <w:rPr/>
      </w:pPr>
      <w:r>
        <w:rPr/>
        <w:tab/>
        <w:t xml:space="preserve">143.00 </w:t>
        <w:tab/>
        <w:t xml:space="preserve">147.00 </w:t>
        <w:tab/>
        <w:t xml:space="preserve">141.00 </w:t>
        <w:tab/>
        <w:t xml:space="preserve">142.00 </w:t>
        <w:tab/>
        <w:t xml:space="preserve">139.00 </w:t>
      </w:r>
    </w:p>
    <w:p>
      <w:pPr>
        <w:pStyle w:val="right-1c"/>
        <w:rPr/>
      </w:pPr>
      <w:r>
        <w:rPr/>
        <w:tab/>
        <w:tab/>
        <w:tab/>
        <w:tab/>
        <w:tab/>
      </w:r>
    </w:p>
    <w:p>
      <w:pPr>
        <w:pStyle w:val="right-1c"/>
        <w:rPr/>
      </w:pPr>
      <w:r>
        <w:rPr/>
        <w:tab/>
        <w:tab/>
        <w:tab/>
        <w:tab/>
        <w:tab/>
      </w:r>
    </w:p>
    <w:p>
      <w:pPr>
        <w:pStyle w:val="right-1c"/>
        <w:rPr/>
      </w:pPr>
      <w:r>
        <w:rPr/>
        <w:tab/>
        <w:t xml:space="preserve">145.50 </w:t>
        <w:tab/>
        <w:t xml:space="preserve">147.00 </w:t>
        <w:tab/>
        <w:t xml:space="preserve">141.50 </w:t>
        <w:tab/>
        <w:t xml:space="preserve">143.50 </w:t>
        <w:tab/>
        <w:t xml:space="preserve">142.75 </w:t>
      </w:r>
    </w:p>
    <w:p>
      <w:pPr>
        <w:pStyle w:val="right-1c"/>
        <w:rPr/>
      </w:pPr>
      <w:r>
        <w:rPr/>
        <w:tab/>
        <w:t xml:space="preserve">153.00 </w:t>
        <w:tab/>
        <w:t xml:space="preserve">153.50 </w:t>
        <w:tab/>
        <w:t xml:space="preserve">151.00 </w:t>
        <w:tab/>
        <w:t xml:space="preserve">153.50 </w:t>
        <w:tab/>
        <w:t xml:space="preserve">152.50 </w:t>
      </w:r>
    </w:p>
    <w:p>
      <w:pPr>
        <w:pStyle w:val="right-1c"/>
        <w:rPr/>
      </w:pPr>
      <w:r>
        <w:rPr/>
        <w:tab/>
        <w:t xml:space="preserve">170.00 </w:t>
        <w:tab/>
        <w:t xml:space="preserve">169.00 </w:t>
        <w:tab/>
        <w:t xml:space="preserve">168.50 </w:t>
        <w:tab/>
        <w:t xml:space="preserve">171.00 </w:t>
        <w:tab/>
        <w:t>169.00</w:t>
      </w:r>
    </w:p>
    <w:p>
      <w:pPr>
        <w:pStyle w:val="right-1ab"/>
        <w:rPr/>
      </w:pPr>
      <w:r>
        <w:rPr/>
      </w:r>
    </w:p>
    <w:p>
      <w:pPr>
        <w:sectPr>
          <w:type w:val="continuous"/>
          <w:pgSz w:w="12240" w:h="15840"/>
          <w:pgMar w:left="1440" w:right="1440" w:gutter="0" w:header="0" w:top="1152" w:footer="0" w:bottom="1152"/>
          <w:cols w:num="2" w:equalWidth="false" w:sep="false">
            <w:col w:w="2610" w:space="184"/>
            <w:col w:w="6566"/>
          </w:cols>
          <w:formProt w:val="false"/>
          <w:textDirection w:val="lrTb"/>
        </w:sectPr>
      </w:pPr>
    </w:p>
    <w:p>
      <w:pPr>
        <w:sectPr>
          <w:type w:val="continuous"/>
          <w:pgSz w:w="12240" w:h="15840"/>
          <w:pgMar w:left="1440" w:right="1440" w:gutter="0" w:header="0" w:top="1152" w:footer="0" w:bottom="1152"/>
          <w:formProt w:val="false"/>
          <w:textDirection w:val="lrTb"/>
        </w:sectPr>
        <w:pStyle w:val="footnotesfortables"/>
        <w:tabs>
          <w:tab w:val="clear" w:pos="360"/>
          <w:tab w:val="clear" w:pos="1440"/>
          <w:tab w:val="clear" w:pos="1800"/>
          <w:tab w:val="clear" w:pos="2880"/>
          <w:tab w:val="clear" w:pos="3240"/>
          <w:tab w:val="clear" w:pos="4320"/>
          <w:tab w:val="clear" w:pos="4680"/>
          <w:tab w:val="clear" w:pos="5760"/>
          <w:tab w:val="clear" w:pos="6120"/>
        </w:tabs>
        <w:rPr/>
      </w:pPr>
      <w:r>
        <w:rPr/>
        <w:t xml:space="preserve">Source:  </w:t>
      </w:r>
      <w:r>
        <w:rPr>
          <w:i/>
          <w:iCs/>
        </w:rPr>
        <w:t>Bunkerfuels Report</w:t>
      </w:r>
      <w:r>
        <w:rPr/>
        <w:t>.  Prices are means of the range</w:t>
        <w:br/>
        <w:t>a Ex wharf</w:t>
        <w:tab/>
        <w:t>b Delivered.</w:t>
        <w:tab/>
        <w:t>n/a - not available</w:t>
      </w:r>
      <w:r>
        <w:br w:type="page"/>
      </w:r>
    </w:p>
    <w:p>
      <w:pPr>
        <w:pStyle w:val="Heading4"/>
        <w:ind w:hanging="0" w:start="0"/>
        <w:rPr/>
      </w:pPr>
      <w:r>
        <w:rPr/>
        <w:t>Table I-D:  Recent Spot Freight Costs of Fuel Oil</w:t>
      </w:r>
    </w:p>
    <w:p>
      <w:pPr>
        <w:pStyle w:val="RIGHT1D"/>
        <w:tabs>
          <w:tab w:val="clear" w:pos="1260"/>
          <w:tab w:val="clear" w:pos="2700"/>
          <w:tab w:val="clear" w:pos="4050"/>
          <w:tab w:val="clear" w:pos="5310"/>
          <w:tab w:val="center" w:pos="5220" w:leader="none"/>
          <w:tab w:val="center" w:pos="7920" w:leader="none"/>
        </w:tabs>
        <w:rPr/>
      </w:pPr>
      <w:r>
        <w:rPr/>
        <w:tab/>
      </w:r>
    </w:p>
    <w:p>
      <w:pPr>
        <w:pStyle w:val="RIGHT1D"/>
        <w:tabs>
          <w:tab w:val="clear" w:pos="1260"/>
          <w:tab w:val="clear" w:pos="2700"/>
          <w:tab w:val="clear" w:pos="4050"/>
          <w:tab w:val="clear" w:pos="5310"/>
          <w:tab w:val="center" w:pos="5220" w:leader="none"/>
          <w:tab w:val="center" w:pos="7920" w:leader="none"/>
        </w:tabs>
        <w:rPr/>
      </w:pPr>
      <w:r>
        <w:rPr/>
        <w:tab/>
        <w:t xml:space="preserve">Worldscale Percentage or </w:t>
        <w:tab/>
      </w:r>
    </w:p>
    <w:p>
      <w:pPr>
        <w:pStyle w:val="RIGHT1D"/>
        <w:tabs>
          <w:tab w:val="clear" w:pos="1260"/>
          <w:tab w:val="clear" w:pos="2700"/>
          <w:tab w:val="clear" w:pos="4050"/>
          <w:tab w:val="clear" w:pos="5310"/>
          <w:tab w:val="center" w:pos="5220" w:leader="none"/>
          <w:tab w:val="center" w:pos="7920" w:leader="none"/>
        </w:tabs>
        <w:rPr/>
      </w:pPr>
      <w:r>
        <w:rPr/>
        <w:tab/>
      </w:r>
      <w:r>
        <w:rPr>
          <w:u w:val="single"/>
        </w:rPr>
        <w:t>Lump Sum in 000's US$</w:t>
      </w:r>
      <w:r>
        <w:rPr/>
        <w:tab/>
      </w:r>
      <w:r>
        <w:rPr>
          <w:u w:val="single"/>
        </w:rPr>
        <w:t>US$/Metric Ton</w:t>
      </w:r>
    </w:p>
    <w:p>
      <w:pPr>
        <w:sectPr>
          <w:headerReference w:type="default" r:id="rId9"/>
          <w:footerReference w:type="default" r:id="rId10"/>
          <w:type w:val="nextPage"/>
          <w:pgSz w:w="12240" w:h="15840"/>
          <w:pgMar w:left="1440" w:right="1440" w:gutter="0" w:header="576" w:top="1152" w:footer="576" w:bottom="1152"/>
          <w:pgNumType w:fmt="decimal"/>
          <w:formProt w:val="false"/>
          <w:textDirection w:val="lrTb"/>
        </w:sectPr>
      </w:pPr>
    </w:p>
    <w:p>
      <w:pPr>
        <w:pStyle w:val="LEFT1D"/>
        <w:tabs>
          <w:tab w:val="clear" w:pos="2970"/>
          <w:tab w:val="left" w:pos="1440" w:leader="none"/>
          <w:tab w:val="center" w:pos="3060" w:leader="none"/>
        </w:tabs>
        <w:rPr>
          <w:sz w:val="8"/>
          <w:szCs w:val="8"/>
          <w:u w:val="single"/>
        </w:rPr>
      </w:pPr>
      <w:r>
        <w:rPr>
          <w:sz w:val="8"/>
          <w:szCs w:val="8"/>
          <w:u w:val="single"/>
        </w:rPr>
      </w:r>
    </w:p>
    <w:p>
      <w:pPr>
        <w:pStyle w:val="LEFT1D"/>
        <w:tabs>
          <w:tab w:val="clear" w:pos="2970"/>
          <w:tab w:val="left" w:pos="1440" w:leader="none"/>
          <w:tab w:val="center" w:pos="3060" w:leader="none"/>
        </w:tabs>
        <w:rPr/>
      </w:pPr>
      <w:r>
        <w:rPr/>
      </w:r>
    </w:p>
    <w:p>
      <w:pPr>
        <w:pStyle w:val="LEFT1D"/>
        <w:tabs>
          <w:tab w:val="clear" w:pos="2970"/>
          <w:tab w:val="left" w:pos="1440" w:leader="none"/>
          <w:tab w:val="center" w:pos="3060" w:leader="none"/>
        </w:tabs>
        <w:spacing w:lineRule="exact" w:line="240"/>
        <w:rPr/>
      </w:pPr>
      <w:r>
        <w:rPr/>
        <w:t>Voyage:</w:t>
        <w:tab/>
        <w:tab/>
        <w:t>Cargo Size</w:t>
        <w:br/>
      </w:r>
      <w:r>
        <w:rPr>
          <w:u w:val="single"/>
        </w:rPr>
        <w:t>From</w:t>
      </w:r>
      <w:r>
        <w:rPr/>
        <w:tab/>
      </w:r>
      <w:r>
        <w:rPr>
          <w:u w:val="single"/>
        </w:rPr>
        <w:t>To</w:t>
      </w:r>
      <w:r>
        <w:rPr/>
        <w:tab/>
      </w:r>
      <w:r>
        <w:rPr>
          <w:u w:val="single"/>
        </w:rPr>
        <w:t>(000's MT)</w:t>
        <w:br/>
      </w:r>
      <w:r>
        <w:rPr/>
        <w:tab/>
        <w:tab/>
        <w:br/>
        <w:t>Caribbean</w:t>
        <w:tab/>
        <w:t xml:space="preserve">USEC </w:t>
        <w:tab/>
        <w:t xml:space="preserve">50 </w:t>
        <w:br/>
        <w:tab/>
        <w:t>NWE</w:t>
        <w:tab/>
        <w:t xml:space="preserve">50 </w:t>
        <w:br/>
        <w:tab/>
        <w:t>Italy</w:t>
        <w:tab/>
        <w:t xml:space="preserve">50 </w:t>
        <w:br/>
        <w:tab/>
        <w:t>Singapore</w:t>
        <w:tab/>
        <w:t xml:space="preserve">80 </w:t>
        <w:br/>
        <w:tab/>
        <w:tab/>
        <w:br/>
        <w:t>USGC</w:t>
        <w:tab/>
        <w:t>USEC</w:t>
      </w:r>
      <w:r>
        <w:rPr>
          <w:vertAlign w:val="superscript"/>
        </w:rPr>
        <w:t>a</w:t>
      </w:r>
      <w:r>
        <w:rPr/>
        <w:tab/>
        <w:t xml:space="preserve">50 </w:t>
        <w:br/>
        <w:tab/>
        <w:t>NWE</w:t>
        <w:tab/>
        <w:t xml:space="preserve">50 </w:t>
        <w:br/>
        <w:tab/>
        <w:t>Italy</w:t>
        <w:tab/>
        <w:t xml:space="preserve">50 </w:t>
        <w:br/>
        <w:tab/>
        <w:t>Singapore</w:t>
        <w:tab/>
        <w:t xml:space="preserve">80 </w:t>
        <w:br/>
        <w:tab/>
        <w:tab/>
        <w:br/>
        <w:t>NWE</w:t>
        <w:tab/>
        <w:t>Italy</w:t>
        <w:tab/>
        <w:t xml:space="preserve">50 </w:t>
        <w:br/>
        <w:tab/>
        <w:t>USEC</w:t>
        <w:tab/>
        <w:t xml:space="preserve">50 </w:t>
        <w:br/>
        <w:tab/>
        <w:t>Singapore</w:t>
      </w:r>
      <w:r>
        <w:rPr>
          <w:vertAlign w:val="superscript"/>
        </w:rPr>
        <w:t>b</w:t>
      </w:r>
      <w:r>
        <w:rPr/>
        <w:tab/>
        <w:t xml:space="preserve">80 </w:t>
        <w:br/>
        <w:tab/>
        <w:tab/>
        <w:br/>
        <w:t>Italy</w:t>
        <w:tab/>
        <w:t>NWE</w:t>
        <w:tab/>
        <w:t xml:space="preserve">50 </w:t>
        <w:br/>
        <w:tab/>
        <w:t>USEC</w:t>
        <w:tab/>
        <w:t xml:space="preserve">50 </w:t>
        <w:br/>
        <w:tab/>
        <w:t>Singapore</w:t>
      </w:r>
      <w:r>
        <w:rPr>
          <w:vertAlign w:val="superscript"/>
        </w:rPr>
        <w:t>b</w:t>
      </w:r>
      <w:r>
        <w:rPr/>
        <w:tab/>
        <w:t xml:space="preserve">80 </w:t>
        <w:br/>
        <w:tab/>
        <w:tab/>
        <w:br/>
        <w:t>Mideast Gulf</w:t>
        <w:tab/>
        <w:t>Fujairah</w:t>
        <w:tab/>
        <w:t xml:space="preserve">80 </w:t>
        <w:br/>
        <w:tab/>
        <w:t>Singapore</w:t>
        <w:tab/>
        <w:t xml:space="preserve">80 </w:t>
        <w:br/>
        <w:tab/>
        <w:t>NWE</w:t>
      </w:r>
      <w:r>
        <w:rPr>
          <w:vertAlign w:val="superscript"/>
        </w:rPr>
        <w:t>b</w:t>
      </w:r>
      <w:r>
        <w:rPr/>
        <w:tab/>
        <w:t xml:space="preserve">80 </w:t>
        <w:br/>
        <w:tab/>
        <w:t>Italy</w:t>
      </w:r>
      <w:r>
        <w:rPr>
          <w:vertAlign w:val="superscript"/>
        </w:rPr>
        <w:t>b</w:t>
      </w:r>
      <w:r>
        <w:rPr/>
        <w:tab/>
        <w:t xml:space="preserve">80 </w:t>
        <w:br/>
        <w:tab/>
        <w:t>USEC</w:t>
      </w:r>
      <w:r>
        <w:rPr>
          <w:vertAlign w:val="superscript"/>
        </w:rPr>
        <w:t>b</w:t>
      </w:r>
      <w:r>
        <w:rPr/>
        <w:tab/>
        <w:t xml:space="preserve">80 </w:t>
        <w:br/>
        <w:tab/>
        <w:t>USGC</w:t>
      </w:r>
      <w:r>
        <w:rPr>
          <w:vertAlign w:val="superscript"/>
        </w:rPr>
        <w:t>b</w:t>
      </w:r>
      <w:r>
        <w:rPr/>
        <w:tab/>
        <w:t xml:space="preserve">80 </w:t>
        <w:br/>
        <w:tab/>
        <w:tab/>
        <w:br/>
        <w:t>Singapore</w:t>
        <w:tab/>
        <w:t>Japan</w:t>
        <w:tab/>
        <w:t xml:space="preserve">80 </w:t>
        <w:br/>
        <w:tab/>
        <w:t>Taiwan</w:t>
        <w:tab/>
        <w:t xml:space="preserve">80 </w:t>
        <w:br/>
        <w:tab/>
        <w:t>South Korea</w:t>
        <w:tab/>
        <w:t xml:space="preserve">80 </w:t>
        <w:br/>
        <w:tab/>
        <w:t>USWC</w:t>
        <w:tab/>
        <w:t xml:space="preserve">80 </w:t>
        <w:br/>
        <w:tab/>
        <w:t>USEC</w:t>
        <w:tab/>
        <w:t xml:space="preserve">80 </w:t>
        <w:br/>
        <w:tab/>
        <w:t>USGC</w:t>
        <w:tab/>
        <w:t xml:space="preserve">80 </w:t>
        <w:br/>
        <w:tab/>
        <w:tab/>
        <w:br/>
        <w:t>USWC</w:t>
        <w:tab/>
        <w:t>Japan</w:t>
        <w:tab/>
        <w:t xml:space="preserve">80 </w:t>
        <w:br/>
        <w:tab/>
        <w:t>Taiwan</w:t>
        <w:tab/>
        <w:t xml:space="preserve">80 </w:t>
        <w:br/>
        <w:tab/>
        <w:t>South Korea</w:t>
        <w:tab/>
        <w:t xml:space="preserve">80 </w:t>
        <w:br/>
        <w:tab/>
        <w:t>Singapore</w:t>
        <w:tab/>
        <w:t>80</w:t>
        <w:br/>
      </w:r>
    </w:p>
    <w:p>
      <w:pPr>
        <w:pStyle w:val="RIGHT1D"/>
        <w:rPr/>
      </w:pPr>
      <w:r>
        <w:br w:type="column"/>
      </w:r>
      <w:r>
        <w:rPr/>
        <w:tab/>
        <w:tab/>
        <w:tab/>
        <w:tab/>
      </w:r>
    </w:p>
    <w:p>
      <w:pPr>
        <w:pStyle w:val="RIGHT1D"/>
        <w:spacing w:lineRule="atLeast" w:line="240"/>
        <w:rPr/>
      </w:pPr>
      <w:r>
        <w:rPr/>
        <w:tab/>
        <w:t>lst Week</w:t>
        <w:tab/>
        <w:t>lst Week</w:t>
        <w:tab/>
        <w:t>lst Week</w:t>
        <w:tab/>
        <w:t>lst Week</w:t>
      </w:r>
    </w:p>
    <w:p>
      <w:pPr>
        <w:pStyle w:val="RIGHT1D"/>
        <w:spacing w:lineRule="atLeast" w:line="240"/>
        <w:rPr/>
      </w:pPr>
      <w:r>
        <w:rPr/>
        <w:tab/>
        <w:t>Nov</w:t>
        <w:tab/>
        <w:t>Dec</w:t>
        <w:tab/>
        <w:t>Nov</w:t>
        <w:tab/>
        <w:t>Dec</w:t>
      </w:r>
    </w:p>
    <w:p>
      <w:pPr>
        <w:pStyle w:val="RIGHT1D"/>
        <w:spacing w:lineRule="atLeast" w:line="240"/>
        <w:rPr/>
      </w:pPr>
      <w:r>
        <w:rPr/>
        <w:tab/>
      </w:r>
      <w:r>
        <w:rPr>
          <w:u w:val="single"/>
        </w:rPr>
        <w:t xml:space="preserve">1999 </w:t>
        <w:tab/>
        <w:t xml:space="preserve">1999 </w:t>
        <w:tab/>
        <w:t>1999</w:t>
        <w:tab/>
        <w:t>1999</w:t>
      </w:r>
    </w:p>
    <w:p>
      <w:pPr>
        <w:pStyle w:val="RIGHT1D"/>
        <w:spacing w:lineRule="atLeast" w:line="240"/>
        <w:rPr/>
      </w:pPr>
      <w:r>
        <w:rPr/>
        <w:tab/>
        <w:tab/>
        <w:tab/>
        <w:tab/>
      </w:r>
    </w:p>
    <w:p>
      <w:pPr>
        <w:pStyle w:val="RIGHT1D"/>
        <w:spacing w:lineRule="atLeast" w:line="240"/>
        <w:rPr/>
      </w:pPr>
      <w:r>
        <w:rPr/>
        <w:tab/>
        <w:t xml:space="preserve">115 </w:t>
        <w:tab/>
        <w:t xml:space="preserve">150 </w:t>
        <w:tab/>
        <w:t xml:space="preserve">4.43 </w:t>
        <w:tab/>
        <w:t xml:space="preserve">5.78 </w:t>
      </w:r>
    </w:p>
    <w:p>
      <w:pPr>
        <w:pStyle w:val="RIGHT1D"/>
        <w:spacing w:lineRule="atLeast" w:line="240"/>
        <w:rPr/>
      </w:pPr>
      <w:r>
        <w:rPr/>
        <w:tab/>
        <w:t xml:space="preserve">93 </w:t>
        <w:tab/>
        <w:t xml:space="preserve">118 </w:t>
        <w:tab/>
        <w:t xml:space="preserve">7.04 </w:t>
        <w:tab/>
        <w:t xml:space="preserve">8.94 </w:t>
      </w:r>
    </w:p>
    <w:p>
      <w:pPr>
        <w:pStyle w:val="RIGHT1D"/>
        <w:spacing w:lineRule="atLeast" w:line="240"/>
        <w:rPr/>
      </w:pPr>
      <w:r>
        <w:rPr/>
        <w:tab/>
        <w:t xml:space="preserve">90 </w:t>
        <w:tab/>
        <w:t xml:space="preserve">120 </w:t>
        <w:tab/>
        <w:t xml:space="preserve">7.25 </w:t>
        <w:tab/>
        <w:t xml:space="preserve">9.66 </w:t>
      </w:r>
    </w:p>
    <w:p>
      <w:pPr>
        <w:pStyle w:val="RIGHT1D"/>
        <w:spacing w:lineRule="atLeast" w:line="240"/>
        <w:rPr/>
      </w:pPr>
      <w:r>
        <w:rPr/>
        <w:tab/>
        <w:t xml:space="preserve">$700 </w:t>
        <w:tab/>
        <w:t xml:space="preserve">$700 </w:t>
        <w:tab/>
        <w:t xml:space="preserve">8.75 </w:t>
        <w:tab/>
        <w:t xml:space="preserve">8.75 </w:t>
      </w:r>
    </w:p>
    <w:p>
      <w:pPr>
        <w:pStyle w:val="RIGHT1D"/>
        <w:spacing w:lineRule="atLeast" w:line="240"/>
        <w:rPr/>
      </w:pPr>
      <w:r>
        <w:rPr/>
        <w:tab/>
        <w:tab/>
        <w:tab/>
        <w:tab/>
      </w:r>
    </w:p>
    <w:p>
      <w:pPr>
        <w:pStyle w:val="RIGHT1D"/>
        <w:spacing w:lineRule="atLeast" w:line="240"/>
        <w:rPr/>
      </w:pPr>
      <w:r>
        <w:rPr/>
        <w:tab/>
        <w:t xml:space="preserve">160 </w:t>
        <w:tab/>
        <w:t xml:space="preserve">165 </w:t>
        <w:tab/>
        <w:t xml:space="preserve">8.94 </w:t>
        <w:tab/>
        <w:t xml:space="preserve">9.22 </w:t>
      </w:r>
    </w:p>
    <w:p>
      <w:pPr>
        <w:pStyle w:val="RIGHT1D"/>
        <w:spacing w:lineRule="atLeast" w:line="240"/>
        <w:rPr/>
      </w:pPr>
      <w:r>
        <w:rPr/>
        <w:tab/>
        <w:t xml:space="preserve">90 </w:t>
        <w:tab/>
        <w:t xml:space="preserve">115 </w:t>
        <w:tab/>
        <w:t xml:space="preserve">7.70 </w:t>
        <w:tab/>
        <w:t xml:space="preserve">9.83 </w:t>
      </w:r>
    </w:p>
    <w:p>
      <w:pPr>
        <w:pStyle w:val="RIGHT1D"/>
        <w:spacing w:lineRule="atLeast" w:line="240"/>
        <w:rPr/>
      </w:pPr>
      <w:r>
        <w:rPr/>
        <w:tab/>
        <w:t xml:space="preserve">90 </w:t>
        <w:tab/>
        <w:t xml:space="preserve">120 </w:t>
        <w:tab/>
        <w:t xml:space="preserve">8.40 </w:t>
        <w:tab/>
        <w:t xml:space="preserve">11.20 </w:t>
      </w:r>
    </w:p>
    <w:p>
      <w:pPr>
        <w:pStyle w:val="RIGHT1D"/>
        <w:spacing w:lineRule="atLeast" w:line="240"/>
        <w:rPr/>
      </w:pPr>
      <w:r>
        <w:rPr/>
        <w:tab/>
        <w:t xml:space="preserve">$750 </w:t>
        <w:tab/>
        <w:t xml:space="preserve">$725 </w:t>
        <w:tab/>
        <w:t xml:space="preserve">9.38 </w:t>
        <w:tab/>
        <w:t xml:space="preserve">9.06 </w:t>
      </w:r>
    </w:p>
    <w:p>
      <w:pPr>
        <w:pStyle w:val="RIGHT1D"/>
        <w:spacing w:lineRule="atLeast" w:line="240"/>
        <w:rPr/>
      </w:pPr>
      <w:r>
        <w:rPr/>
        <w:tab/>
        <w:tab/>
        <w:tab/>
        <w:tab/>
      </w:r>
    </w:p>
    <w:p>
      <w:pPr>
        <w:pStyle w:val="RIGHT1D"/>
        <w:spacing w:lineRule="atLeast" w:line="240"/>
        <w:rPr/>
      </w:pPr>
      <w:r>
        <w:rPr/>
        <w:tab/>
        <w:t xml:space="preserve">125 </w:t>
        <w:tab/>
        <w:t xml:space="preserve">120 </w:t>
        <w:tab/>
        <w:t xml:space="preserve">6.94 </w:t>
        <w:tab/>
        <w:t xml:space="preserve">6.66 </w:t>
      </w:r>
    </w:p>
    <w:p>
      <w:pPr>
        <w:pStyle w:val="RIGHT1D"/>
        <w:spacing w:lineRule="atLeast" w:line="240"/>
        <w:rPr/>
      </w:pPr>
      <w:r>
        <w:rPr/>
        <w:tab/>
        <w:t xml:space="preserve">113 </w:t>
        <w:tab/>
        <w:t xml:space="preserve">123 </w:t>
        <w:tab/>
        <w:t xml:space="preserve">7.39 </w:t>
        <w:tab/>
        <w:t xml:space="preserve">8.05 </w:t>
      </w:r>
    </w:p>
    <w:p>
      <w:pPr>
        <w:pStyle w:val="RIGHT1D"/>
        <w:spacing w:lineRule="atLeast" w:line="240"/>
        <w:rPr/>
      </w:pPr>
      <w:r>
        <w:rPr/>
        <w:tab/>
        <w:t xml:space="preserve">$800 </w:t>
        <w:tab/>
        <w:t xml:space="preserve">$1,000 </w:t>
        <w:tab/>
        <w:t xml:space="preserve">10.00 </w:t>
        <w:tab/>
        <w:t xml:space="preserve">12.50 </w:t>
      </w:r>
    </w:p>
    <w:p>
      <w:pPr>
        <w:pStyle w:val="RIGHT1D"/>
        <w:spacing w:lineRule="atLeast" w:line="240"/>
        <w:rPr/>
      </w:pPr>
      <w:r>
        <w:rPr/>
        <w:tab/>
        <w:tab/>
        <w:tab/>
        <w:tab/>
      </w:r>
    </w:p>
    <w:p>
      <w:pPr>
        <w:pStyle w:val="RIGHT1D"/>
        <w:spacing w:lineRule="atLeast" w:line="240"/>
        <w:rPr/>
      </w:pPr>
      <w:r>
        <w:rPr/>
        <w:tab/>
        <w:t xml:space="preserve">120 </w:t>
        <w:tab/>
        <w:t xml:space="preserve">125 </w:t>
        <w:tab/>
        <w:t xml:space="preserve">6.66 </w:t>
        <w:tab/>
        <w:t xml:space="preserve">6.94 </w:t>
      </w:r>
    </w:p>
    <w:p>
      <w:pPr>
        <w:pStyle w:val="RIGHT1D"/>
        <w:spacing w:lineRule="atLeast" w:line="240"/>
        <w:rPr/>
      </w:pPr>
      <w:r>
        <w:rPr/>
        <w:tab/>
        <w:t xml:space="preserve">115 </w:t>
        <w:tab/>
        <w:t xml:space="preserve">118 </w:t>
        <w:tab/>
        <w:t xml:space="preserve">8.59 </w:t>
        <w:tab/>
        <w:t xml:space="preserve">8.78 </w:t>
      </w:r>
    </w:p>
    <w:p>
      <w:pPr>
        <w:pStyle w:val="RIGHT1D"/>
        <w:spacing w:lineRule="atLeast" w:line="240"/>
        <w:rPr/>
      </w:pPr>
      <w:r>
        <w:rPr/>
        <w:tab/>
        <w:t xml:space="preserve">$775 </w:t>
        <w:tab/>
        <w:t xml:space="preserve">$775 </w:t>
        <w:tab/>
        <w:t xml:space="preserve">9.69 </w:t>
        <w:tab/>
        <w:t xml:space="preserve">9.69 </w:t>
      </w:r>
    </w:p>
    <w:p>
      <w:pPr>
        <w:pStyle w:val="RIGHT1D"/>
        <w:spacing w:lineRule="atLeast" w:line="240"/>
        <w:rPr/>
      </w:pPr>
      <w:r>
        <w:rPr/>
        <w:tab/>
        <w:tab/>
        <w:tab/>
        <w:tab/>
      </w:r>
    </w:p>
    <w:p>
      <w:pPr>
        <w:pStyle w:val="RIGHT1D"/>
        <w:spacing w:lineRule="atLeast" w:line="240"/>
        <w:rPr/>
      </w:pPr>
      <w:r>
        <w:rPr/>
        <w:tab/>
        <w:t xml:space="preserve">$130 </w:t>
        <w:tab/>
        <w:t xml:space="preserve">$185 </w:t>
        <w:tab/>
        <w:t xml:space="preserve">1.63 </w:t>
        <w:tab/>
        <w:t xml:space="preserve">2.31 </w:t>
      </w:r>
    </w:p>
    <w:p>
      <w:pPr>
        <w:pStyle w:val="RIGHT1D"/>
        <w:spacing w:lineRule="atLeast" w:line="240"/>
        <w:rPr/>
      </w:pPr>
      <w:r>
        <w:rPr/>
        <w:tab/>
        <w:t xml:space="preserve">85 </w:t>
        <w:tab/>
        <w:t xml:space="preserve">105 </w:t>
        <w:tab/>
        <w:t xml:space="preserve">5.04 </w:t>
        <w:tab/>
        <w:t xml:space="preserve">6.23 </w:t>
      </w:r>
    </w:p>
    <w:p>
      <w:pPr>
        <w:pStyle w:val="RIGHT1D"/>
        <w:spacing w:lineRule="atLeast" w:line="240"/>
        <w:rPr/>
      </w:pPr>
      <w:r>
        <w:rPr/>
        <w:tab/>
        <w:t xml:space="preserve">80 </w:t>
        <w:tab/>
        <w:t xml:space="preserve">95 </w:t>
        <w:tab/>
        <w:t xml:space="preserve">12.47 </w:t>
        <w:tab/>
        <w:t xml:space="preserve">14.06 </w:t>
      </w:r>
    </w:p>
    <w:p>
      <w:pPr>
        <w:pStyle w:val="RIGHT1D"/>
        <w:spacing w:lineRule="atLeast" w:line="240"/>
        <w:rPr/>
      </w:pPr>
      <w:r>
        <w:rPr/>
        <w:tab/>
        <w:t xml:space="preserve">80 </w:t>
        <w:tab/>
        <w:t xml:space="preserve">93 </w:t>
        <w:tab/>
        <w:t xml:space="preserve">10.59 </w:t>
        <w:tab/>
        <w:t xml:space="preserve">11.62 </w:t>
      </w:r>
    </w:p>
    <w:p>
      <w:pPr>
        <w:pStyle w:val="RIGHT1D"/>
        <w:spacing w:lineRule="atLeast" w:line="240"/>
        <w:rPr/>
      </w:pPr>
      <w:r>
        <w:rPr/>
        <w:tab/>
        <w:t xml:space="preserve">83 </w:t>
        <w:tab/>
        <w:t xml:space="preserve">90 </w:t>
        <w:tab/>
        <w:t xml:space="preserve">14.36 </w:t>
        <w:tab/>
        <w:t xml:space="preserve">15.30 </w:t>
      </w:r>
    </w:p>
    <w:p>
      <w:pPr>
        <w:pStyle w:val="RIGHT1D"/>
        <w:spacing w:lineRule="atLeast" w:line="240"/>
        <w:rPr/>
      </w:pPr>
      <w:r>
        <w:rPr/>
        <w:tab/>
        <w:t xml:space="preserve">83 </w:t>
        <w:tab/>
        <w:t xml:space="preserve">90 </w:t>
        <w:tab/>
        <w:t xml:space="preserve">15.91 </w:t>
        <w:tab/>
        <w:t xml:space="preserve">16.99 </w:t>
      </w:r>
    </w:p>
    <w:p>
      <w:pPr>
        <w:pStyle w:val="RIGHT1D"/>
        <w:spacing w:lineRule="atLeast" w:line="240"/>
        <w:rPr/>
      </w:pPr>
      <w:r>
        <w:rPr/>
        <w:tab/>
        <w:tab/>
        <w:tab/>
        <w:tab/>
      </w:r>
    </w:p>
    <w:p>
      <w:pPr>
        <w:pStyle w:val="RIGHT1D"/>
        <w:spacing w:lineRule="atLeast" w:line="240"/>
        <w:rPr/>
      </w:pPr>
      <w:r>
        <w:rPr/>
        <w:tab/>
        <w:t xml:space="preserve">90 </w:t>
        <w:tab/>
        <w:t xml:space="preserve">115 </w:t>
        <w:tab/>
        <w:t xml:space="preserve">4.90 </w:t>
        <w:tab/>
        <w:t xml:space="preserve">6.26 </w:t>
      </w:r>
    </w:p>
    <w:p>
      <w:pPr>
        <w:pStyle w:val="RIGHT1D"/>
        <w:spacing w:lineRule="atLeast" w:line="240"/>
        <w:rPr/>
      </w:pPr>
      <w:r>
        <w:rPr/>
        <w:tab/>
        <w:t xml:space="preserve">90 </w:t>
        <w:tab/>
        <w:t xml:space="preserve">115 </w:t>
        <w:tab/>
        <w:t xml:space="preserve">3.00 </w:t>
        <w:tab/>
        <w:t xml:space="preserve">3.83 </w:t>
      </w:r>
    </w:p>
    <w:p>
      <w:pPr>
        <w:pStyle w:val="RIGHT1D"/>
        <w:spacing w:lineRule="atLeast" w:line="240"/>
        <w:rPr/>
      </w:pPr>
      <w:r>
        <w:rPr/>
        <w:tab/>
        <w:t xml:space="preserve">90 </w:t>
        <w:tab/>
        <w:t xml:space="preserve">115 </w:t>
        <w:tab/>
        <w:t xml:space="preserve">3.98 </w:t>
        <w:tab/>
        <w:t xml:space="preserve">5.08 </w:t>
      </w:r>
    </w:p>
    <w:p>
      <w:pPr>
        <w:pStyle w:val="RIGHT1D"/>
        <w:spacing w:lineRule="atLeast" w:line="240"/>
        <w:rPr/>
      </w:pPr>
      <w:r>
        <w:rPr/>
        <w:tab/>
        <w:t xml:space="preserve">$650 </w:t>
        <w:tab/>
        <w:t xml:space="preserve">$850 </w:t>
        <w:tab/>
        <w:t xml:space="preserve">8.13 </w:t>
        <w:tab/>
        <w:t xml:space="preserve">10.63 </w:t>
      </w:r>
    </w:p>
    <w:p>
      <w:pPr>
        <w:pStyle w:val="RIGHT1D"/>
        <w:spacing w:lineRule="atLeast" w:line="240"/>
        <w:rPr/>
      </w:pPr>
      <w:r>
        <w:rPr/>
        <w:tab/>
        <w:t xml:space="preserve">$875 </w:t>
        <w:tab/>
        <w:t xml:space="preserve">$1,200 </w:t>
        <w:tab/>
        <w:t xml:space="preserve">10.94 </w:t>
        <w:tab/>
        <w:t xml:space="preserve">15.00 </w:t>
      </w:r>
    </w:p>
    <w:p>
      <w:pPr>
        <w:pStyle w:val="RIGHT1D"/>
        <w:spacing w:lineRule="atLeast" w:line="240"/>
        <w:rPr/>
      </w:pPr>
      <w:r>
        <w:rPr/>
        <w:tab/>
        <w:t xml:space="preserve">$925 </w:t>
        <w:tab/>
        <w:t xml:space="preserve">$1,300 </w:t>
        <w:tab/>
        <w:t xml:space="preserve">11.56 </w:t>
        <w:tab/>
        <w:t xml:space="preserve">16.25 </w:t>
      </w:r>
    </w:p>
    <w:p>
      <w:pPr>
        <w:pStyle w:val="RIGHT1D"/>
        <w:spacing w:lineRule="atLeast" w:line="240"/>
        <w:rPr/>
      </w:pPr>
      <w:r>
        <w:rPr/>
        <w:tab/>
        <w:tab/>
        <w:tab/>
        <w:tab/>
      </w:r>
    </w:p>
    <w:p>
      <w:pPr>
        <w:pStyle w:val="RIGHT1D"/>
        <w:spacing w:lineRule="atLeast" w:line="240"/>
        <w:rPr/>
      </w:pPr>
      <w:r>
        <w:rPr/>
        <w:tab/>
        <w:t xml:space="preserve">$575 </w:t>
        <w:tab/>
        <w:t xml:space="preserve">$750 </w:t>
        <w:tab/>
        <w:t xml:space="preserve">7.19 </w:t>
        <w:tab/>
        <w:t xml:space="preserve">9.38 </w:t>
      </w:r>
    </w:p>
    <w:p>
      <w:pPr>
        <w:pStyle w:val="RIGHT1D"/>
        <w:spacing w:lineRule="atLeast" w:line="240"/>
        <w:rPr/>
      </w:pPr>
      <w:r>
        <w:rPr/>
        <w:tab/>
        <w:t xml:space="preserve">$575 </w:t>
        <w:tab/>
        <w:t xml:space="preserve">$750 </w:t>
        <w:tab/>
        <w:t xml:space="preserve">7.19 </w:t>
        <w:tab/>
        <w:t xml:space="preserve">9.38 </w:t>
      </w:r>
    </w:p>
    <w:p>
      <w:pPr>
        <w:pStyle w:val="RIGHT1D"/>
        <w:spacing w:lineRule="atLeast" w:line="240"/>
        <w:rPr/>
      </w:pPr>
      <w:r>
        <w:rPr/>
        <w:tab/>
        <w:t xml:space="preserve">$575 </w:t>
        <w:tab/>
        <w:t xml:space="preserve">$750 </w:t>
        <w:tab/>
        <w:t xml:space="preserve">7.19 </w:t>
        <w:tab/>
        <w:t xml:space="preserve">9.38 </w:t>
      </w:r>
    </w:p>
    <w:p>
      <w:pPr>
        <w:pStyle w:val="RIGHT1D"/>
        <w:spacing w:lineRule="atLeast" w:line="240"/>
        <w:rPr/>
      </w:pPr>
      <w:r>
        <w:rPr/>
        <w:tab/>
        <w:t xml:space="preserve">$625 </w:t>
        <w:tab/>
        <w:t xml:space="preserve">$850 </w:t>
        <w:tab/>
        <w:t xml:space="preserve">7.81 </w:t>
        <w:tab/>
        <w:t xml:space="preserve">10.63 </w:t>
      </w:r>
    </w:p>
    <w:p>
      <w:pPr>
        <w:pStyle w:val="RIGHT1D"/>
        <w:rPr/>
      </w:pPr>
      <w:r>
        <w:rPr/>
        <w:tab/>
      </w:r>
    </w:p>
    <w:p>
      <w:pPr>
        <w:sectPr>
          <w:type w:val="continuous"/>
          <w:pgSz w:w="12240" w:h="15840"/>
          <w:pgMar w:left="1440" w:right="1440" w:gutter="0" w:header="576" w:top="1152" w:footer="576" w:bottom="1152"/>
          <w:cols w:num="2" w:equalWidth="false" w:sep="false">
            <w:col w:w="3600" w:space="0"/>
            <w:col w:w="5760"/>
          </w:cols>
          <w:formProt w:val="false"/>
          <w:textDirection w:val="lrTb"/>
        </w:sectPr>
      </w:pPr>
    </w:p>
    <w:p>
      <w:pPr>
        <w:pStyle w:val="footnotesfortables"/>
        <w:rPr/>
      </w:pPr>
      <w:r>
        <w:rPr/>
      </w:r>
    </w:p>
    <w:p>
      <w:pPr>
        <w:pStyle w:val="footnotesfortables"/>
        <w:rPr/>
      </w:pPr>
      <w:r>
        <w:rPr/>
        <w:t>Source:  Poten &amp; Partners, Inc., Tanker Chartering Department.</w:t>
      </w:r>
    </w:p>
    <w:p>
      <w:pPr>
        <w:pStyle w:val="footnotesfortables"/>
        <w:rPr/>
      </w:pPr>
      <w:r>
        <w:rPr/>
      </w:r>
    </w:p>
    <w:p>
      <w:pPr>
        <w:pStyle w:val="footnotesfortables"/>
        <w:rPr/>
      </w:pPr>
      <w:r>
        <w:rPr/>
        <w:t>a  This voyage cost is based on the utilization of U.S. Flag vessels using ATRS.</w:t>
      </w:r>
    </w:p>
    <w:p>
      <w:pPr>
        <w:sectPr>
          <w:type w:val="continuous"/>
          <w:pgSz w:w="12240" w:h="15840"/>
          <w:pgMar w:left="1440" w:right="1440" w:gutter="0" w:header="576" w:top="1152" w:footer="576" w:bottom="1152"/>
          <w:formProt w:val="false"/>
          <w:textDirection w:val="lrTb"/>
        </w:sectPr>
        <w:pStyle w:val="footnotesfortables"/>
        <w:rPr/>
      </w:pPr>
      <w:r>
        <w:rPr/>
        <w:t>b  Cost of this voyage includes Suez Canal tolls.</w:t>
      </w:r>
      <w:r>
        <w:br w:type="page"/>
      </w:r>
    </w:p>
    <w:p>
      <w:pPr>
        <w:pStyle w:val="Heading1"/>
        <w:ind w:hanging="0" w:start="0"/>
        <w:rPr/>
      </w:pPr>
      <w:r>
        <w:rPr/>
        <w:t>Part II:  PRICING OUTLOOK</w:t>
      </w:r>
    </w:p>
    <w:p>
      <w:pPr>
        <w:pStyle w:val="Heading3"/>
        <w:spacing w:before="120" w:after="240"/>
        <w:ind w:hanging="0" w:start="0"/>
        <w:rPr/>
      </w:pPr>
      <w:r>
        <w:rPr/>
        <w:t>Crude Oil</w:t>
      </w:r>
    </w:p>
    <w:p>
      <w:pPr>
        <w:pStyle w:val="Normal"/>
        <w:rPr/>
      </w:pPr>
      <w:r>
        <w:rPr/>
        <w:t xml:space="preserve">One story dominated headlines and was responsible for establishing the overriding trend in oil markets during 1999.  That was the resurrection of OPEC’s power to determine crude oil prices by controlling its oil production.  By early 1999, world crude oil prices had declined toward single digit levels following years of bickering over individual member’s production quotas, excessive production, and outright rejection of assigned quota levels by some members.  Firstly, OPEC had to reestablish that members could abide by quota agreements.  Secondly, OPEC, assisted by a number of non-OPEC countries, had to cut production levels sufficiently in order to absorb bloated world inventories.  </w:t>
      </w:r>
    </w:p>
    <w:p>
      <w:pPr>
        <w:pStyle w:val="Normal"/>
        <w:rPr/>
      </w:pPr>
      <w:r>
        <w:rPr/>
      </w:r>
    </w:p>
    <w:p>
      <w:pPr>
        <w:pStyle w:val="Normal"/>
        <w:rPr/>
      </w:pPr>
      <w:r>
        <w:rPr/>
        <w:t>With OPEC’s ability to hold its membership to production quotas severely tarnished, many oil market participants were skeptical following the March 1999 OPEC meeting.  This was largely based upon member’s past failures to adhere to production quotas conceived the previous year.  Furthermore, OPEC production cutbacks were not sufficient to drawdown surplus stocks (basis IEA supply/demand figures), even if members had fully complied with April 1 and July 1, 1998 cutback agreements.</w:t>
      </w:r>
    </w:p>
    <w:p>
      <w:pPr>
        <w:pStyle w:val="Normal"/>
        <w:rPr/>
      </w:pPr>
      <w:r>
        <w:rPr/>
      </w:r>
    </w:p>
    <w:p>
      <w:pPr>
        <w:pStyle w:val="Normal"/>
        <w:rPr/>
      </w:pPr>
      <w:r>
        <w:rPr/>
        <w:t>To the surprise of many, OPEC’s performance during 1999 has proven the skeptics wrong.  The third round of OPEC/non-OPEC production cuts, combined with cuts agreed in 1998, would adequately reduce output levels and result in large world stock-draws by the end of 1999.  During the months following the March meeting, compliance to the three agreements was well above initial expectations.  As a result, the spot NYMEX contract for WTI strengthened throughout the year, closing in the $25-27 range.  This price increase more than doubled January 1999 price levels.</w:t>
      </w:r>
    </w:p>
    <w:p>
      <w:pPr>
        <w:pStyle w:val="Normal"/>
        <w:jc w:val="center"/>
        <w:rPr/>
      </w:pPr>
      <w:r>
        <w:rPr/>
        <w:drawing>
          <wp:inline distT="0" distB="0" distL="0" distR="0">
            <wp:extent cx="5041265" cy="29946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1"/>
                    <a:stretch>
                      <a:fillRect/>
                    </a:stretch>
                  </pic:blipFill>
                  <pic:spPr bwMode="auto">
                    <a:xfrm>
                      <a:off x="0" y="0"/>
                      <a:ext cx="5041265" cy="2994660"/>
                    </a:xfrm>
                    <a:prstGeom prst="rect">
                      <a:avLst/>
                    </a:prstGeom>
                    <a:noFill/>
                  </pic:spPr>
                </pic:pic>
              </a:graphicData>
            </a:graphic>
          </wp:inline>
        </w:drawing>
      </w:r>
    </w:p>
    <w:p>
      <w:pPr>
        <w:pStyle w:val="keydev"/>
        <w:spacing w:before="240" w:after="0"/>
        <w:rPr/>
      </w:pPr>
      <w:r>
        <w:rPr/>
        <w:tab/>
        <w:t>World Supply/Demand Balance</w:t>
      </w:r>
    </w:p>
    <w:p>
      <w:pPr>
        <w:pStyle w:val="Normal"/>
        <w:rPr/>
      </w:pPr>
      <w:r>
        <w:rPr/>
        <w:t>The world oil supply/demand balance continued to appear very supportive for prices in the first half of the new year.  With OPEC production levels projected to remain stable through the first two quarters of 2000, world crude oil inventory drawdowns are calculated as 3.5 and 1.2 million b/d respectively.</w:t>
      </w:r>
    </w:p>
    <w:p>
      <w:pPr>
        <w:pStyle w:val="Normal"/>
        <w:rPr/>
      </w:pPr>
      <w:r>
        <w:rPr/>
      </w:r>
    </w:p>
    <w:p>
      <w:pPr>
        <w:pStyle w:val="Normal"/>
        <w:rPr/>
      </w:pPr>
      <w:r>
        <w:rPr/>
        <w:t>Poten’s estimates of the world oil supply/demand picture are provided in the following table.</w:t>
      </w:r>
    </w:p>
    <w:p>
      <w:pPr>
        <w:pStyle w:val="Normal"/>
        <w:spacing w:lineRule="auto" w:line="240"/>
        <w:rPr/>
      </w:pPr>
      <w:r>
        <w:rPr/>
      </w:r>
    </w:p>
    <w:p>
      <w:pPr>
        <w:pStyle w:val="Normal"/>
        <w:spacing w:lineRule="auto" w:line="240"/>
        <w:jc w:val="center"/>
        <w:rPr>
          <w:sz w:val="20"/>
          <w:szCs w:val="20"/>
        </w:rPr>
      </w:pPr>
      <w:r>
        <w:rPr>
          <w:sz w:val="20"/>
          <w:szCs w:val="20"/>
          <w:u w:val="single"/>
        </w:rPr>
        <w:t>World Oil Supply/Demand Balance</w:t>
      </w:r>
    </w:p>
    <w:p>
      <w:pPr>
        <w:pStyle w:val="Normal"/>
        <w:spacing w:lineRule="auto" w:line="240"/>
        <w:rPr>
          <w:sz w:val="20"/>
          <w:szCs w:val="20"/>
        </w:rPr>
      </w:pPr>
      <w:r>
        <w:rPr>
          <w:sz w:val="20"/>
          <w:szCs w:val="20"/>
        </w:rPr>
      </w:r>
    </w:p>
    <w:tbl>
      <w:tblPr>
        <w:tblW w:w="7297" w:type="dxa"/>
        <w:jc w:val="center"/>
        <w:tblInd w:w="0" w:type="dxa"/>
        <w:tblLayout w:type="fixed"/>
        <w:tblCellMar>
          <w:top w:w="0" w:type="dxa"/>
          <w:start w:w="108" w:type="dxa"/>
          <w:bottom w:w="0" w:type="dxa"/>
          <w:end w:w="108" w:type="dxa"/>
        </w:tblCellMar>
      </w:tblPr>
      <w:tblGrid>
        <w:gridCol w:w="2260"/>
        <w:gridCol w:w="1"/>
        <w:gridCol w:w="831"/>
        <w:gridCol w:w="1"/>
        <w:gridCol w:w="831"/>
        <w:gridCol w:w="1"/>
        <w:gridCol w:w="842"/>
        <w:gridCol w:w="1"/>
        <w:gridCol w:w="841"/>
        <w:gridCol w:w="1"/>
        <w:gridCol w:w="1"/>
        <w:gridCol w:w="840"/>
        <w:gridCol w:w="2"/>
        <w:gridCol w:w="1"/>
        <w:gridCol w:w="839"/>
        <w:gridCol w:w="3"/>
        <w:gridCol w:w="1"/>
      </w:tblGrid>
      <w:tr>
        <w:trPr/>
        <w:tc>
          <w:tcPr>
            <w:tcW w:w="2260" w:type="dxa"/>
            <w:tcBorders/>
          </w:tcPr>
          <w:p>
            <w:pPr>
              <w:pStyle w:val="Normal"/>
              <w:snapToGrid w:val="false"/>
              <w:spacing w:lineRule="auto" w:line="240"/>
              <w:jc w:val="center"/>
              <w:rPr>
                <w:sz w:val="20"/>
                <w:szCs w:val="20"/>
                <w:u w:val="single"/>
              </w:rPr>
            </w:pPr>
            <w:r>
              <w:rPr>
                <w:sz w:val="20"/>
                <w:szCs w:val="20"/>
                <w:u w:val="single"/>
              </w:rPr>
            </w:r>
          </w:p>
        </w:tc>
        <w:tc>
          <w:tcPr>
            <w:tcW w:w="832" w:type="dxa"/>
            <w:gridSpan w:val="2"/>
            <w:tcBorders/>
          </w:tcPr>
          <w:p>
            <w:pPr>
              <w:pStyle w:val="Normal"/>
              <w:spacing w:lineRule="auto" w:line="240"/>
              <w:jc w:val="center"/>
              <w:rPr>
                <w:sz w:val="20"/>
                <w:szCs w:val="20"/>
                <w:u w:val="single"/>
              </w:rPr>
            </w:pPr>
            <w:r>
              <w:rPr>
                <w:sz w:val="20"/>
                <w:szCs w:val="20"/>
                <w:u w:val="single"/>
              </w:rPr>
              <w:t>1Q99</w:t>
            </w:r>
          </w:p>
        </w:tc>
        <w:tc>
          <w:tcPr>
            <w:tcW w:w="832" w:type="dxa"/>
            <w:gridSpan w:val="2"/>
            <w:tcBorders/>
          </w:tcPr>
          <w:p>
            <w:pPr>
              <w:pStyle w:val="Normal"/>
              <w:spacing w:lineRule="auto" w:line="240"/>
              <w:jc w:val="center"/>
              <w:rPr>
                <w:sz w:val="20"/>
                <w:szCs w:val="20"/>
                <w:u w:val="single"/>
              </w:rPr>
            </w:pPr>
            <w:r>
              <w:rPr>
                <w:sz w:val="20"/>
                <w:szCs w:val="20"/>
                <w:u w:val="single"/>
              </w:rPr>
              <w:t>2Q99</w:t>
            </w:r>
          </w:p>
        </w:tc>
        <w:tc>
          <w:tcPr>
            <w:tcW w:w="843" w:type="dxa"/>
            <w:gridSpan w:val="2"/>
            <w:tcBorders/>
          </w:tcPr>
          <w:p>
            <w:pPr>
              <w:pStyle w:val="Normal"/>
              <w:spacing w:lineRule="auto" w:line="240"/>
              <w:jc w:val="center"/>
              <w:rPr>
                <w:sz w:val="20"/>
                <w:szCs w:val="20"/>
                <w:u w:val="single"/>
              </w:rPr>
            </w:pPr>
            <w:r>
              <w:rPr>
                <w:sz w:val="20"/>
                <w:szCs w:val="20"/>
                <w:u w:val="single"/>
              </w:rPr>
              <w:t>3Q99</w:t>
            </w:r>
          </w:p>
        </w:tc>
        <w:tc>
          <w:tcPr>
            <w:tcW w:w="843" w:type="dxa"/>
            <w:gridSpan w:val="3"/>
            <w:tcBorders/>
          </w:tcPr>
          <w:p>
            <w:pPr>
              <w:pStyle w:val="Normal"/>
              <w:spacing w:lineRule="auto" w:line="240"/>
              <w:jc w:val="center"/>
              <w:rPr>
                <w:sz w:val="20"/>
                <w:szCs w:val="20"/>
                <w:u w:val="single"/>
              </w:rPr>
            </w:pPr>
            <w:r>
              <w:rPr>
                <w:sz w:val="20"/>
                <w:szCs w:val="20"/>
                <w:u w:val="single"/>
              </w:rPr>
              <w:t>4Q99</w:t>
            </w:r>
          </w:p>
        </w:tc>
        <w:tc>
          <w:tcPr>
            <w:tcW w:w="843" w:type="dxa"/>
            <w:gridSpan w:val="3"/>
            <w:tcBorders/>
          </w:tcPr>
          <w:p>
            <w:pPr>
              <w:pStyle w:val="Normal"/>
              <w:spacing w:lineRule="auto" w:line="240"/>
              <w:jc w:val="center"/>
              <w:rPr>
                <w:sz w:val="20"/>
                <w:szCs w:val="20"/>
                <w:u w:val="single"/>
              </w:rPr>
            </w:pPr>
            <w:r>
              <w:rPr>
                <w:sz w:val="20"/>
                <w:szCs w:val="20"/>
                <w:u w:val="single"/>
              </w:rPr>
              <w:t>1Q00</w:t>
            </w:r>
          </w:p>
        </w:tc>
        <w:tc>
          <w:tcPr>
            <w:tcW w:w="843" w:type="dxa"/>
            <w:gridSpan w:val="2"/>
            <w:tcBorders/>
          </w:tcPr>
          <w:p>
            <w:pPr>
              <w:pStyle w:val="Normal"/>
              <w:spacing w:lineRule="auto" w:line="240"/>
              <w:jc w:val="center"/>
              <w:rPr>
                <w:sz w:val="20"/>
                <w:szCs w:val="20"/>
                <w:u w:val="single"/>
              </w:rPr>
            </w:pPr>
            <w:r>
              <w:rPr>
                <w:sz w:val="20"/>
                <w:szCs w:val="20"/>
                <w:u w:val="single"/>
              </w:rPr>
              <w:t>2Q00</w:t>
            </w:r>
          </w:p>
        </w:tc>
      </w:tr>
      <w:tr>
        <w:trPr>
          <w:trHeight w:val="23" w:hRule="atLeast"/>
        </w:trPr>
        <w:tc>
          <w:tcPr>
            <w:tcW w:w="2261" w:type="dxa"/>
            <w:gridSpan w:val="2"/>
            <w:tcBorders/>
          </w:tcPr>
          <w:p>
            <w:pPr>
              <w:pStyle w:val="Normal"/>
              <w:spacing w:lineRule="auto" w:line="240"/>
              <w:rPr>
                <w:sz w:val="20"/>
                <w:szCs w:val="20"/>
              </w:rPr>
            </w:pPr>
            <w:r>
              <w:rPr>
                <w:sz w:val="20"/>
                <w:szCs w:val="20"/>
              </w:rPr>
              <w:t>OPEC Crude</w:t>
            </w:r>
          </w:p>
        </w:tc>
        <w:tc>
          <w:tcPr>
            <w:tcW w:w="832" w:type="dxa"/>
            <w:gridSpan w:val="2"/>
            <w:tcBorders/>
          </w:tcPr>
          <w:p>
            <w:pPr>
              <w:pStyle w:val="Normal"/>
              <w:tabs>
                <w:tab w:val="clear" w:pos="720"/>
                <w:tab w:val="decimal" w:pos="379" w:leader="none"/>
              </w:tabs>
              <w:spacing w:lineRule="auto" w:line="240"/>
              <w:rPr>
                <w:sz w:val="20"/>
                <w:szCs w:val="20"/>
              </w:rPr>
            </w:pPr>
            <w:r>
              <w:rPr>
                <w:sz w:val="20"/>
                <w:szCs w:val="20"/>
              </w:rPr>
              <w:t>27.7</w:t>
            </w:r>
          </w:p>
        </w:tc>
        <w:tc>
          <w:tcPr>
            <w:tcW w:w="832" w:type="dxa"/>
            <w:gridSpan w:val="2"/>
            <w:tcBorders/>
          </w:tcPr>
          <w:p>
            <w:pPr>
              <w:pStyle w:val="Normal"/>
              <w:tabs>
                <w:tab w:val="clear" w:pos="720"/>
                <w:tab w:val="decimal" w:pos="426" w:leader="none"/>
              </w:tabs>
              <w:spacing w:lineRule="auto" w:line="240"/>
              <w:rPr>
                <w:sz w:val="20"/>
                <w:szCs w:val="20"/>
              </w:rPr>
            </w:pPr>
            <w:r>
              <w:rPr>
                <w:sz w:val="20"/>
                <w:szCs w:val="20"/>
              </w:rPr>
              <w:t>26.1</w:t>
            </w:r>
          </w:p>
        </w:tc>
        <w:tc>
          <w:tcPr>
            <w:tcW w:w="842" w:type="dxa"/>
            <w:tcBorders/>
          </w:tcPr>
          <w:p>
            <w:pPr>
              <w:pStyle w:val="Normal"/>
              <w:tabs>
                <w:tab w:val="clear" w:pos="720"/>
                <w:tab w:val="decimal" w:pos="383" w:leader="none"/>
              </w:tabs>
              <w:spacing w:lineRule="auto" w:line="240"/>
              <w:rPr>
                <w:sz w:val="20"/>
                <w:szCs w:val="20"/>
              </w:rPr>
            </w:pPr>
            <w:r>
              <w:rPr>
                <w:sz w:val="20"/>
                <w:szCs w:val="20"/>
              </w:rPr>
              <w:t>26.2</w:t>
            </w:r>
          </w:p>
        </w:tc>
        <w:tc>
          <w:tcPr>
            <w:tcW w:w="842" w:type="dxa"/>
            <w:gridSpan w:val="2"/>
            <w:tcBorders/>
          </w:tcPr>
          <w:p>
            <w:pPr>
              <w:pStyle w:val="Normal"/>
              <w:tabs>
                <w:tab w:val="clear" w:pos="720"/>
                <w:tab w:val="decimal" w:pos="329" w:leader="none"/>
              </w:tabs>
              <w:spacing w:lineRule="auto" w:line="240"/>
              <w:rPr>
                <w:sz w:val="20"/>
                <w:szCs w:val="20"/>
              </w:rPr>
            </w:pPr>
            <w:r>
              <w:rPr>
                <w:sz w:val="20"/>
                <w:szCs w:val="20"/>
              </w:rPr>
              <w:t>26.2</w:t>
            </w:r>
          </w:p>
        </w:tc>
        <w:tc>
          <w:tcPr>
            <w:tcW w:w="842" w:type="dxa"/>
            <w:gridSpan w:val="3"/>
            <w:tcBorders/>
          </w:tcPr>
          <w:p>
            <w:pPr>
              <w:pStyle w:val="Normal"/>
              <w:tabs>
                <w:tab w:val="clear" w:pos="720"/>
                <w:tab w:val="decimal" w:pos="365" w:leader="none"/>
              </w:tabs>
              <w:spacing w:lineRule="auto" w:line="240"/>
              <w:rPr>
                <w:sz w:val="20"/>
                <w:szCs w:val="20"/>
              </w:rPr>
            </w:pPr>
            <w:r>
              <w:rPr>
                <w:sz w:val="20"/>
                <w:szCs w:val="20"/>
              </w:rPr>
              <w:t>26.2</w:t>
            </w:r>
          </w:p>
        </w:tc>
        <w:tc>
          <w:tcPr>
            <w:tcW w:w="842" w:type="dxa"/>
            <w:gridSpan w:val="3"/>
            <w:tcBorders/>
          </w:tcPr>
          <w:p>
            <w:pPr>
              <w:pStyle w:val="Normal"/>
              <w:tabs>
                <w:tab w:val="clear" w:pos="720"/>
                <w:tab w:val="decimal" w:pos="401" w:leader="none"/>
              </w:tabs>
              <w:spacing w:lineRule="auto" w:line="240"/>
              <w:rPr>
                <w:sz w:val="20"/>
                <w:szCs w:val="20"/>
              </w:rPr>
            </w:pPr>
            <w:r>
              <w:rPr>
                <w:sz w:val="20"/>
                <w:szCs w:val="20"/>
              </w:rPr>
              <w:t>26.2</w:t>
            </w:r>
          </w:p>
        </w:tc>
      </w:tr>
      <w:tr>
        <w:trPr>
          <w:trHeight w:val="23" w:hRule="atLeast"/>
        </w:trPr>
        <w:tc>
          <w:tcPr>
            <w:tcW w:w="2261" w:type="dxa"/>
            <w:gridSpan w:val="2"/>
            <w:tcBorders/>
          </w:tcPr>
          <w:p>
            <w:pPr>
              <w:pStyle w:val="Normal"/>
              <w:spacing w:lineRule="auto" w:line="240"/>
              <w:rPr>
                <w:sz w:val="20"/>
                <w:szCs w:val="20"/>
              </w:rPr>
            </w:pPr>
            <w:r>
              <w:rPr>
                <w:sz w:val="20"/>
                <w:szCs w:val="20"/>
              </w:rPr>
              <w:t xml:space="preserve">Non-OPEC Supply (1) </w:t>
            </w:r>
          </w:p>
        </w:tc>
        <w:tc>
          <w:tcPr>
            <w:tcW w:w="832" w:type="dxa"/>
            <w:gridSpan w:val="2"/>
            <w:tcBorders/>
          </w:tcPr>
          <w:p>
            <w:pPr>
              <w:pStyle w:val="Normal"/>
              <w:tabs>
                <w:tab w:val="clear" w:pos="720"/>
                <w:tab w:val="decimal" w:pos="379" w:leader="none"/>
              </w:tabs>
              <w:spacing w:lineRule="auto" w:line="240"/>
              <w:rPr>
                <w:sz w:val="20"/>
                <w:szCs w:val="20"/>
              </w:rPr>
            </w:pPr>
            <w:r>
              <w:rPr>
                <w:sz w:val="20"/>
                <w:szCs w:val="20"/>
              </w:rPr>
              <w:t>44.6</w:t>
            </w:r>
          </w:p>
        </w:tc>
        <w:tc>
          <w:tcPr>
            <w:tcW w:w="832" w:type="dxa"/>
            <w:gridSpan w:val="2"/>
            <w:tcBorders/>
          </w:tcPr>
          <w:p>
            <w:pPr>
              <w:pStyle w:val="Normal"/>
              <w:tabs>
                <w:tab w:val="clear" w:pos="720"/>
                <w:tab w:val="decimal" w:pos="426" w:leader="none"/>
              </w:tabs>
              <w:spacing w:lineRule="auto" w:line="240"/>
              <w:rPr>
                <w:sz w:val="20"/>
                <w:szCs w:val="20"/>
              </w:rPr>
            </w:pPr>
            <w:r>
              <w:rPr>
                <w:sz w:val="20"/>
                <w:szCs w:val="20"/>
              </w:rPr>
              <w:t>44.0</w:t>
            </w:r>
          </w:p>
        </w:tc>
        <w:tc>
          <w:tcPr>
            <w:tcW w:w="842" w:type="dxa"/>
            <w:tcBorders/>
          </w:tcPr>
          <w:p>
            <w:pPr>
              <w:pStyle w:val="Normal"/>
              <w:tabs>
                <w:tab w:val="clear" w:pos="720"/>
                <w:tab w:val="decimal" w:pos="383" w:leader="none"/>
              </w:tabs>
              <w:spacing w:lineRule="auto" w:line="240"/>
              <w:rPr>
                <w:sz w:val="20"/>
                <w:szCs w:val="20"/>
              </w:rPr>
            </w:pPr>
            <w:r>
              <w:rPr>
                <w:sz w:val="20"/>
                <w:szCs w:val="20"/>
              </w:rPr>
              <w:t>44.5</w:t>
            </w:r>
          </w:p>
        </w:tc>
        <w:tc>
          <w:tcPr>
            <w:tcW w:w="842" w:type="dxa"/>
            <w:gridSpan w:val="2"/>
            <w:tcBorders/>
          </w:tcPr>
          <w:p>
            <w:pPr>
              <w:pStyle w:val="Normal"/>
              <w:tabs>
                <w:tab w:val="clear" w:pos="720"/>
                <w:tab w:val="decimal" w:pos="329" w:leader="none"/>
              </w:tabs>
              <w:spacing w:lineRule="auto" w:line="240"/>
              <w:rPr>
                <w:sz w:val="20"/>
                <w:szCs w:val="20"/>
              </w:rPr>
            </w:pPr>
            <w:r>
              <w:rPr>
                <w:sz w:val="20"/>
                <w:szCs w:val="20"/>
              </w:rPr>
              <w:t>45.1</w:t>
            </w:r>
          </w:p>
        </w:tc>
        <w:tc>
          <w:tcPr>
            <w:tcW w:w="842" w:type="dxa"/>
            <w:gridSpan w:val="3"/>
            <w:tcBorders/>
          </w:tcPr>
          <w:p>
            <w:pPr>
              <w:pStyle w:val="Normal"/>
              <w:tabs>
                <w:tab w:val="clear" w:pos="720"/>
                <w:tab w:val="decimal" w:pos="365" w:leader="none"/>
              </w:tabs>
              <w:spacing w:lineRule="auto" w:line="240"/>
              <w:rPr>
                <w:sz w:val="20"/>
                <w:szCs w:val="20"/>
              </w:rPr>
            </w:pPr>
            <w:r>
              <w:rPr>
                <w:sz w:val="20"/>
                <w:szCs w:val="20"/>
              </w:rPr>
              <w:t>45.4</w:t>
            </w:r>
          </w:p>
        </w:tc>
        <w:tc>
          <w:tcPr>
            <w:tcW w:w="842" w:type="dxa"/>
            <w:gridSpan w:val="3"/>
            <w:tcBorders/>
          </w:tcPr>
          <w:p>
            <w:pPr>
              <w:pStyle w:val="Normal"/>
              <w:tabs>
                <w:tab w:val="clear" w:pos="720"/>
                <w:tab w:val="decimal" w:pos="401" w:leader="none"/>
              </w:tabs>
              <w:spacing w:lineRule="auto" w:line="240"/>
              <w:rPr>
                <w:sz w:val="20"/>
                <w:szCs w:val="20"/>
              </w:rPr>
            </w:pPr>
            <w:r>
              <w:rPr>
                <w:sz w:val="20"/>
                <w:szCs w:val="20"/>
              </w:rPr>
              <w:t>45.0</w:t>
            </w:r>
          </w:p>
        </w:tc>
      </w:tr>
      <w:tr>
        <w:trPr/>
        <w:tc>
          <w:tcPr>
            <w:tcW w:w="2261" w:type="dxa"/>
            <w:gridSpan w:val="2"/>
            <w:tcBorders/>
          </w:tcPr>
          <w:p>
            <w:pPr>
              <w:pStyle w:val="Normal"/>
              <w:spacing w:lineRule="auto" w:line="240"/>
              <w:rPr>
                <w:sz w:val="20"/>
                <w:szCs w:val="20"/>
                <w:u w:val="single"/>
              </w:rPr>
            </w:pPr>
            <w:r>
              <w:rPr>
                <w:sz w:val="20"/>
                <w:szCs w:val="20"/>
                <w:u w:val="single"/>
              </w:rPr>
              <w:t>OPEC NGL's</w:t>
            </w:r>
          </w:p>
        </w:tc>
        <w:tc>
          <w:tcPr>
            <w:tcW w:w="832" w:type="dxa"/>
            <w:gridSpan w:val="2"/>
            <w:tcBorders/>
          </w:tcPr>
          <w:p>
            <w:pPr>
              <w:pStyle w:val="Normal"/>
              <w:tabs>
                <w:tab w:val="clear" w:pos="720"/>
                <w:tab w:val="decimal" w:pos="379" w:leader="none"/>
              </w:tabs>
              <w:spacing w:lineRule="auto" w:line="240"/>
              <w:rPr>
                <w:sz w:val="20"/>
                <w:szCs w:val="20"/>
                <w:u w:val="single"/>
              </w:rPr>
            </w:pPr>
            <w:r>
              <w:rPr>
                <w:sz w:val="20"/>
                <w:szCs w:val="20"/>
                <w:u w:val="single"/>
              </w:rPr>
              <w:t xml:space="preserve">   </w:t>
            </w:r>
            <w:r>
              <w:rPr>
                <w:sz w:val="20"/>
                <w:szCs w:val="20"/>
                <w:u w:val="single"/>
              </w:rPr>
              <w:t>2.8</w:t>
            </w:r>
          </w:p>
        </w:tc>
        <w:tc>
          <w:tcPr>
            <w:tcW w:w="832" w:type="dxa"/>
            <w:gridSpan w:val="2"/>
            <w:tcBorders/>
          </w:tcPr>
          <w:p>
            <w:pPr>
              <w:pStyle w:val="Normal"/>
              <w:tabs>
                <w:tab w:val="clear" w:pos="720"/>
                <w:tab w:val="decimal" w:pos="426" w:leader="none"/>
              </w:tabs>
              <w:spacing w:lineRule="auto" w:line="240"/>
              <w:rPr>
                <w:sz w:val="20"/>
                <w:szCs w:val="20"/>
                <w:u w:val="single"/>
              </w:rPr>
            </w:pPr>
            <w:r>
              <w:rPr>
                <w:sz w:val="20"/>
                <w:szCs w:val="20"/>
                <w:u w:val="single"/>
              </w:rPr>
              <w:t xml:space="preserve">   </w:t>
            </w:r>
            <w:r>
              <w:rPr>
                <w:sz w:val="20"/>
                <w:szCs w:val="20"/>
                <w:u w:val="single"/>
              </w:rPr>
              <w:t>2.8</w:t>
            </w:r>
          </w:p>
        </w:tc>
        <w:tc>
          <w:tcPr>
            <w:tcW w:w="843" w:type="dxa"/>
            <w:gridSpan w:val="2"/>
            <w:tcBorders/>
          </w:tcPr>
          <w:p>
            <w:pPr>
              <w:pStyle w:val="Normal"/>
              <w:tabs>
                <w:tab w:val="clear" w:pos="720"/>
                <w:tab w:val="decimal" w:pos="383" w:leader="none"/>
              </w:tabs>
              <w:spacing w:lineRule="auto" w:line="240"/>
              <w:rPr>
                <w:sz w:val="20"/>
                <w:szCs w:val="20"/>
                <w:u w:val="single"/>
              </w:rPr>
            </w:pPr>
            <w:r>
              <w:rPr>
                <w:sz w:val="20"/>
                <w:szCs w:val="20"/>
                <w:u w:val="single"/>
              </w:rPr>
              <w:t xml:space="preserve">   </w:t>
            </w:r>
            <w:r>
              <w:rPr>
                <w:sz w:val="20"/>
                <w:szCs w:val="20"/>
                <w:u w:val="single"/>
              </w:rPr>
              <w:t>2.8</w:t>
            </w:r>
          </w:p>
        </w:tc>
        <w:tc>
          <w:tcPr>
            <w:tcW w:w="843" w:type="dxa"/>
            <w:gridSpan w:val="3"/>
            <w:tcBorders/>
          </w:tcPr>
          <w:p>
            <w:pPr>
              <w:pStyle w:val="Normal"/>
              <w:tabs>
                <w:tab w:val="clear" w:pos="720"/>
                <w:tab w:val="decimal" w:pos="329" w:leader="none"/>
              </w:tabs>
              <w:spacing w:lineRule="auto" w:line="240"/>
              <w:rPr>
                <w:sz w:val="20"/>
                <w:szCs w:val="20"/>
                <w:u w:val="single"/>
              </w:rPr>
            </w:pPr>
            <w:r>
              <w:rPr>
                <w:sz w:val="20"/>
                <w:szCs w:val="20"/>
                <w:u w:val="single"/>
              </w:rPr>
              <w:t xml:space="preserve">   </w:t>
            </w:r>
            <w:r>
              <w:rPr>
                <w:sz w:val="20"/>
                <w:szCs w:val="20"/>
                <w:u w:val="single"/>
              </w:rPr>
              <w:t>2.8</w:t>
            </w:r>
          </w:p>
        </w:tc>
        <w:tc>
          <w:tcPr>
            <w:tcW w:w="843" w:type="dxa"/>
            <w:gridSpan w:val="3"/>
            <w:tcBorders/>
          </w:tcPr>
          <w:p>
            <w:pPr>
              <w:pStyle w:val="Normal"/>
              <w:tabs>
                <w:tab w:val="clear" w:pos="720"/>
                <w:tab w:val="decimal" w:pos="365" w:leader="none"/>
              </w:tabs>
              <w:spacing w:lineRule="auto" w:line="240"/>
              <w:rPr>
                <w:sz w:val="20"/>
                <w:szCs w:val="20"/>
                <w:u w:val="single"/>
              </w:rPr>
            </w:pPr>
            <w:r>
              <w:rPr>
                <w:sz w:val="20"/>
                <w:szCs w:val="20"/>
                <w:u w:val="single"/>
              </w:rPr>
              <w:t xml:space="preserve">   </w:t>
            </w:r>
            <w:r>
              <w:rPr>
                <w:sz w:val="20"/>
                <w:szCs w:val="20"/>
                <w:u w:val="single"/>
              </w:rPr>
              <w:t>2.9</w:t>
            </w:r>
          </w:p>
        </w:tc>
        <w:tc>
          <w:tcPr>
            <w:tcW w:w="843" w:type="dxa"/>
            <w:tcBorders/>
          </w:tcPr>
          <w:p>
            <w:pPr>
              <w:pStyle w:val="Normal"/>
              <w:tabs>
                <w:tab w:val="clear" w:pos="720"/>
                <w:tab w:val="decimal" w:pos="401" w:leader="none"/>
              </w:tabs>
              <w:spacing w:lineRule="auto" w:line="240"/>
              <w:rPr>
                <w:sz w:val="20"/>
                <w:szCs w:val="20"/>
                <w:u w:val="single"/>
              </w:rPr>
            </w:pPr>
            <w:r>
              <w:rPr>
                <w:sz w:val="20"/>
                <w:szCs w:val="20"/>
                <w:u w:val="single"/>
              </w:rPr>
              <w:t xml:space="preserve">   </w:t>
            </w:r>
            <w:r>
              <w:rPr>
                <w:sz w:val="20"/>
                <w:szCs w:val="20"/>
                <w:u w:val="single"/>
              </w:rPr>
              <w:t>2.9</w:t>
            </w:r>
          </w:p>
        </w:tc>
      </w:tr>
      <w:tr>
        <w:trPr/>
        <w:tc>
          <w:tcPr>
            <w:tcW w:w="2261" w:type="dxa"/>
            <w:gridSpan w:val="2"/>
            <w:tcBorders/>
          </w:tcPr>
          <w:p>
            <w:pPr>
              <w:pStyle w:val="Normal"/>
              <w:spacing w:lineRule="auto" w:line="240"/>
              <w:rPr>
                <w:sz w:val="20"/>
                <w:szCs w:val="20"/>
              </w:rPr>
            </w:pPr>
            <w:r>
              <w:rPr>
                <w:sz w:val="20"/>
                <w:szCs w:val="20"/>
              </w:rPr>
              <w:t>Total Supply</w:t>
            </w:r>
          </w:p>
        </w:tc>
        <w:tc>
          <w:tcPr>
            <w:tcW w:w="832" w:type="dxa"/>
            <w:gridSpan w:val="2"/>
            <w:tcBorders/>
          </w:tcPr>
          <w:p>
            <w:pPr>
              <w:pStyle w:val="Normal"/>
              <w:tabs>
                <w:tab w:val="clear" w:pos="720"/>
                <w:tab w:val="decimal" w:pos="379" w:leader="none"/>
              </w:tabs>
              <w:spacing w:lineRule="auto" w:line="240"/>
              <w:rPr>
                <w:sz w:val="20"/>
                <w:szCs w:val="20"/>
              </w:rPr>
            </w:pPr>
            <w:r>
              <w:rPr>
                <w:sz w:val="20"/>
                <w:szCs w:val="20"/>
              </w:rPr>
              <w:t>75.1</w:t>
            </w:r>
          </w:p>
        </w:tc>
        <w:tc>
          <w:tcPr>
            <w:tcW w:w="832" w:type="dxa"/>
            <w:gridSpan w:val="2"/>
            <w:tcBorders/>
          </w:tcPr>
          <w:p>
            <w:pPr>
              <w:pStyle w:val="Normal"/>
              <w:tabs>
                <w:tab w:val="clear" w:pos="720"/>
                <w:tab w:val="decimal" w:pos="426" w:leader="none"/>
              </w:tabs>
              <w:spacing w:lineRule="auto" w:line="240"/>
              <w:rPr>
                <w:sz w:val="20"/>
                <w:szCs w:val="20"/>
              </w:rPr>
            </w:pPr>
            <w:r>
              <w:rPr>
                <w:sz w:val="20"/>
                <w:szCs w:val="20"/>
              </w:rPr>
              <w:t>72.9</w:t>
            </w:r>
          </w:p>
        </w:tc>
        <w:tc>
          <w:tcPr>
            <w:tcW w:w="843" w:type="dxa"/>
            <w:gridSpan w:val="2"/>
            <w:tcBorders/>
          </w:tcPr>
          <w:p>
            <w:pPr>
              <w:pStyle w:val="Normal"/>
              <w:tabs>
                <w:tab w:val="clear" w:pos="720"/>
                <w:tab w:val="decimal" w:pos="383" w:leader="none"/>
              </w:tabs>
              <w:spacing w:lineRule="auto" w:line="240"/>
              <w:rPr>
                <w:sz w:val="20"/>
                <w:szCs w:val="20"/>
              </w:rPr>
            </w:pPr>
            <w:r>
              <w:rPr>
                <w:sz w:val="20"/>
                <w:szCs w:val="20"/>
              </w:rPr>
              <w:t>73.5</w:t>
            </w:r>
          </w:p>
        </w:tc>
        <w:tc>
          <w:tcPr>
            <w:tcW w:w="843" w:type="dxa"/>
            <w:gridSpan w:val="3"/>
            <w:tcBorders/>
          </w:tcPr>
          <w:p>
            <w:pPr>
              <w:pStyle w:val="Normal"/>
              <w:tabs>
                <w:tab w:val="clear" w:pos="720"/>
                <w:tab w:val="decimal" w:pos="329" w:leader="none"/>
              </w:tabs>
              <w:spacing w:lineRule="auto" w:line="240"/>
              <w:rPr>
                <w:sz w:val="20"/>
                <w:szCs w:val="20"/>
              </w:rPr>
            </w:pPr>
            <w:r>
              <w:rPr>
                <w:sz w:val="20"/>
                <w:szCs w:val="20"/>
              </w:rPr>
              <w:t>74.1</w:t>
            </w:r>
          </w:p>
        </w:tc>
        <w:tc>
          <w:tcPr>
            <w:tcW w:w="843" w:type="dxa"/>
            <w:gridSpan w:val="3"/>
            <w:tcBorders/>
          </w:tcPr>
          <w:p>
            <w:pPr>
              <w:pStyle w:val="Normal"/>
              <w:tabs>
                <w:tab w:val="clear" w:pos="720"/>
                <w:tab w:val="decimal" w:pos="365" w:leader="none"/>
              </w:tabs>
              <w:spacing w:lineRule="auto" w:line="240"/>
              <w:rPr>
                <w:sz w:val="20"/>
                <w:szCs w:val="20"/>
              </w:rPr>
            </w:pPr>
            <w:r>
              <w:rPr>
                <w:sz w:val="20"/>
                <w:szCs w:val="20"/>
              </w:rPr>
              <w:t>74.5</w:t>
            </w:r>
          </w:p>
        </w:tc>
        <w:tc>
          <w:tcPr>
            <w:tcW w:w="843" w:type="dxa"/>
            <w:tcBorders/>
          </w:tcPr>
          <w:p>
            <w:pPr>
              <w:pStyle w:val="Normal"/>
              <w:tabs>
                <w:tab w:val="clear" w:pos="720"/>
                <w:tab w:val="decimal" w:pos="401" w:leader="none"/>
              </w:tabs>
              <w:spacing w:lineRule="auto" w:line="240"/>
              <w:rPr>
                <w:sz w:val="20"/>
                <w:szCs w:val="20"/>
              </w:rPr>
            </w:pPr>
            <w:r>
              <w:rPr>
                <w:sz w:val="20"/>
                <w:szCs w:val="20"/>
              </w:rPr>
              <w:t>74.1</w:t>
            </w:r>
          </w:p>
        </w:tc>
      </w:tr>
      <w:tr>
        <w:trPr/>
        <w:tc>
          <w:tcPr>
            <w:tcW w:w="2261" w:type="dxa"/>
            <w:gridSpan w:val="2"/>
            <w:tcBorders/>
          </w:tcPr>
          <w:p>
            <w:pPr>
              <w:pStyle w:val="Normal"/>
              <w:spacing w:lineRule="auto" w:line="240"/>
              <w:rPr>
                <w:sz w:val="20"/>
                <w:szCs w:val="20"/>
              </w:rPr>
            </w:pPr>
            <w:r>
              <w:rPr>
                <w:sz w:val="20"/>
                <w:szCs w:val="20"/>
              </w:rPr>
              <w:t>World Demand</w:t>
            </w:r>
          </w:p>
        </w:tc>
        <w:tc>
          <w:tcPr>
            <w:tcW w:w="832" w:type="dxa"/>
            <w:gridSpan w:val="2"/>
            <w:tcBorders/>
          </w:tcPr>
          <w:p>
            <w:pPr>
              <w:pStyle w:val="Normal"/>
              <w:tabs>
                <w:tab w:val="clear" w:pos="720"/>
                <w:tab w:val="decimal" w:pos="379" w:leader="none"/>
              </w:tabs>
              <w:spacing w:lineRule="auto" w:line="240"/>
              <w:rPr>
                <w:sz w:val="20"/>
                <w:szCs w:val="20"/>
              </w:rPr>
            </w:pPr>
            <w:r>
              <w:rPr>
                <w:sz w:val="20"/>
                <w:szCs w:val="20"/>
              </w:rPr>
              <w:t>76.6</w:t>
            </w:r>
          </w:p>
        </w:tc>
        <w:tc>
          <w:tcPr>
            <w:tcW w:w="832" w:type="dxa"/>
            <w:gridSpan w:val="2"/>
            <w:tcBorders/>
          </w:tcPr>
          <w:p>
            <w:pPr>
              <w:pStyle w:val="Normal"/>
              <w:tabs>
                <w:tab w:val="clear" w:pos="720"/>
                <w:tab w:val="decimal" w:pos="426" w:leader="none"/>
              </w:tabs>
              <w:spacing w:lineRule="auto" w:line="240"/>
              <w:rPr>
                <w:sz w:val="20"/>
                <w:szCs w:val="20"/>
              </w:rPr>
            </w:pPr>
            <w:r>
              <w:rPr>
                <w:sz w:val="20"/>
                <w:szCs w:val="20"/>
              </w:rPr>
              <w:t>73.1</w:t>
            </w:r>
          </w:p>
        </w:tc>
        <w:tc>
          <w:tcPr>
            <w:tcW w:w="843" w:type="dxa"/>
            <w:gridSpan w:val="2"/>
            <w:tcBorders/>
          </w:tcPr>
          <w:p>
            <w:pPr>
              <w:pStyle w:val="Normal"/>
              <w:tabs>
                <w:tab w:val="clear" w:pos="720"/>
                <w:tab w:val="decimal" w:pos="383" w:leader="none"/>
              </w:tabs>
              <w:spacing w:lineRule="auto" w:line="240"/>
              <w:rPr>
                <w:sz w:val="20"/>
                <w:szCs w:val="20"/>
              </w:rPr>
            </w:pPr>
            <w:r>
              <w:rPr>
                <w:sz w:val="20"/>
                <w:szCs w:val="20"/>
              </w:rPr>
              <w:t>74.6</w:t>
            </w:r>
          </w:p>
        </w:tc>
        <w:tc>
          <w:tcPr>
            <w:tcW w:w="843" w:type="dxa"/>
            <w:gridSpan w:val="3"/>
            <w:tcBorders/>
          </w:tcPr>
          <w:p>
            <w:pPr>
              <w:pStyle w:val="Normal"/>
              <w:tabs>
                <w:tab w:val="clear" w:pos="720"/>
                <w:tab w:val="decimal" w:pos="329" w:leader="none"/>
              </w:tabs>
              <w:spacing w:lineRule="auto" w:line="240"/>
              <w:rPr>
                <w:sz w:val="20"/>
                <w:szCs w:val="20"/>
              </w:rPr>
            </w:pPr>
            <w:r>
              <w:rPr>
                <w:sz w:val="20"/>
                <w:szCs w:val="20"/>
              </w:rPr>
              <w:t>76.7</w:t>
            </w:r>
          </w:p>
        </w:tc>
        <w:tc>
          <w:tcPr>
            <w:tcW w:w="843" w:type="dxa"/>
            <w:gridSpan w:val="3"/>
            <w:tcBorders/>
          </w:tcPr>
          <w:p>
            <w:pPr>
              <w:pStyle w:val="Normal"/>
              <w:tabs>
                <w:tab w:val="clear" w:pos="720"/>
                <w:tab w:val="decimal" w:pos="365" w:leader="none"/>
              </w:tabs>
              <w:spacing w:lineRule="auto" w:line="240"/>
              <w:rPr>
                <w:sz w:val="20"/>
                <w:szCs w:val="20"/>
              </w:rPr>
            </w:pPr>
            <w:r>
              <w:rPr>
                <w:sz w:val="20"/>
                <w:szCs w:val="20"/>
              </w:rPr>
              <w:t>78.0</w:t>
            </w:r>
          </w:p>
        </w:tc>
        <w:tc>
          <w:tcPr>
            <w:tcW w:w="843" w:type="dxa"/>
            <w:tcBorders/>
          </w:tcPr>
          <w:p>
            <w:pPr>
              <w:pStyle w:val="Normal"/>
              <w:tabs>
                <w:tab w:val="clear" w:pos="720"/>
                <w:tab w:val="decimal" w:pos="401" w:leader="none"/>
              </w:tabs>
              <w:spacing w:lineRule="auto" w:line="240"/>
              <w:rPr>
                <w:sz w:val="20"/>
                <w:szCs w:val="20"/>
              </w:rPr>
            </w:pPr>
            <w:r>
              <w:rPr>
                <w:sz w:val="20"/>
                <w:szCs w:val="20"/>
              </w:rPr>
              <w:t>75.3</w:t>
            </w:r>
          </w:p>
        </w:tc>
      </w:tr>
      <w:tr>
        <w:trPr/>
        <w:tc>
          <w:tcPr>
            <w:tcW w:w="2261" w:type="dxa"/>
            <w:gridSpan w:val="2"/>
            <w:tcBorders/>
          </w:tcPr>
          <w:p>
            <w:pPr>
              <w:pStyle w:val="Normal"/>
              <w:spacing w:lineRule="auto" w:line="240"/>
              <w:rPr>
                <w:sz w:val="20"/>
                <w:szCs w:val="20"/>
              </w:rPr>
            </w:pPr>
            <w:r>
              <w:rPr>
                <w:sz w:val="20"/>
                <w:szCs w:val="20"/>
              </w:rPr>
              <w:t>Stock Change</w:t>
            </w:r>
          </w:p>
        </w:tc>
        <w:tc>
          <w:tcPr>
            <w:tcW w:w="832" w:type="dxa"/>
            <w:gridSpan w:val="2"/>
            <w:tcBorders/>
          </w:tcPr>
          <w:p>
            <w:pPr>
              <w:pStyle w:val="Normal"/>
              <w:tabs>
                <w:tab w:val="clear" w:pos="720"/>
                <w:tab w:val="decimal" w:pos="379" w:leader="none"/>
              </w:tabs>
              <w:spacing w:lineRule="auto" w:line="240"/>
              <w:rPr>
                <w:sz w:val="20"/>
                <w:szCs w:val="20"/>
              </w:rPr>
            </w:pPr>
            <w:r>
              <w:rPr>
                <w:sz w:val="20"/>
                <w:szCs w:val="20"/>
              </w:rPr>
              <w:t>-1.5</w:t>
            </w:r>
          </w:p>
        </w:tc>
        <w:tc>
          <w:tcPr>
            <w:tcW w:w="832" w:type="dxa"/>
            <w:gridSpan w:val="2"/>
            <w:tcBorders/>
          </w:tcPr>
          <w:p>
            <w:pPr>
              <w:pStyle w:val="Normal"/>
              <w:tabs>
                <w:tab w:val="clear" w:pos="720"/>
                <w:tab w:val="decimal" w:pos="426" w:leader="none"/>
              </w:tabs>
              <w:spacing w:lineRule="auto" w:line="240"/>
              <w:rPr>
                <w:sz w:val="20"/>
                <w:szCs w:val="20"/>
              </w:rPr>
            </w:pPr>
            <w:r>
              <w:rPr>
                <w:sz w:val="20"/>
                <w:szCs w:val="20"/>
              </w:rPr>
              <w:t>-0.2</w:t>
            </w:r>
          </w:p>
        </w:tc>
        <w:tc>
          <w:tcPr>
            <w:tcW w:w="843" w:type="dxa"/>
            <w:gridSpan w:val="2"/>
            <w:tcBorders/>
          </w:tcPr>
          <w:p>
            <w:pPr>
              <w:pStyle w:val="Normal"/>
              <w:tabs>
                <w:tab w:val="clear" w:pos="720"/>
                <w:tab w:val="decimal" w:pos="383" w:leader="none"/>
              </w:tabs>
              <w:spacing w:lineRule="auto" w:line="240"/>
              <w:rPr>
                <w:sz w:val="20"/>
                <w:szCs w:val="20"/>
              </w:rPr>
            </w:pPr>
            <w:r>
              <w:rPr>
                <w:sz w:val="20"/>
                <w:szCs w:val="20"/>
              </w:rPr>
              <w:t>-1.1</w:t>
            </w:r>
          </w:p>
        </w:tc>
        <w:tc>
          <w:tcPr>
            <w:tcW w:w="843" w:type="dxa"/>
            <w:gridSpan w:val="3"/>
            <w:tcBorders/>
          </w:tcPr>
          <w:p>
            <w:pPr>
              <w:pStyle w:val="Normal"/>
              <w:tabs>
                <w:tab w:val="clear" w:pos="720"/>
                <w:tab w:val="decimal" w:pos="329" w:leader="none"/>
              </w:tabs>
              <w:spacing w:lineRule="auto" w:line="240"/>
              <w:rPr>
                <w:sz w:val="20"/>
                <w:szCs w:val="20"/>
              </w:rPr>
            </w:pPr>
            <w:r>
              <w:rPr>
                <w:sz w:val="20"/>
                <w:szCs w:val="20"/>
              </w:rPr>
              <w:t>-2.6</w:t>
            </w:r>
          </w:p>
        </w:tc>
        <w:tc>
          <w:tcPr>
            <w:tcW w:w="843" w:type="dxa"/>
            <w:gridSpan w:val="3"/>
            <w:tcBorders/>
          </w:tcPr>
          <w:p>
            <w:pPr>
              <w:pStyle w:val="Normal"/>
              <w:tabs>
                <w:tab w:val="clear" w:pos="720"/>
                <w:tab w:val="decimal" w:pos="365" w:leader="none"/>
              </w:tabs>
              <w:spacing w:lineRule="auto" w:line="240"/>
              <w:rPr>
                <w:sz w:val="20"/>
                <w:szCs w:val="20"/>
              </w:rPr>
            </w:pPr>
            <w:r>
              <w:rPr>
                <w:sz w:val="20"/>
                <w:szCs w:val="20"/>
              </w:rPr>
              <w:t>-3.5</w:t>
            </w:r>
          </w:p>
        </w:tc>
        <w:tc>
          <w:tcPr>
            <w:tcW w:w="843" w:type="dxa"/>
            <w:tcBorders/>
          </w:tcPr>
          <w:p>
            <w:pPr>
              <w:pStyle w:val="Normal"/>
              <w:tabs>
                <w:tab w:val="clear" w:pos="720"/>
                <w:tab w:val="decimal" w:pos="401" w:leader="none"/>
              </w:tabs>
              <w:spacing w:lineRule="auto" w:line="240"/>
              <w:rPr>
                <w:sz w:val="20"/>
                <w:szCs w:val="20"/>
              </w:rPr>
            </w:pPr>
            <w:r>
              <w:rPr>
                <w:sz w:val="20"/>
                <w:szCs w:val="20"/>
              </w:rPr>
              <w:t>-1.2</w:t>
            </w:r>
          </w:p>
        </w:tc>
      </w:tr>
    </w:tbl>
    <w:p>
      <w:pPr>
        <w:pStyle w:val="Normal"/>
        <w:spacing w:lineRule="auto" w:line="240"/>
        <w:ind w:firstLine="1350" w:end="0"/>
        <w:rPr>
          <w:sz w:val="16"/>
          <w:szCs w:val="16"/>
        </w:rPr>
      </w:pPr>
      <w:r>
        <w:rPr>
          <w:sz w:val="16"/>
          <w:szCs w:val="16"/>
        </w:rPr>
      </w:r>
    </w:p>
    <w:p>
      <w:pPr>
        <w:pStyle w:val="Normal"/>
        <w:spacing w:lineRule="auto" w:line="240"/>
        <w:ind w:firstLine="1620" w:end="0"/>
        <w:rPr>
          <w:sz w:val="16"/>
          <w:szCs w:val="16"/>
        </w:rPr>
      </w:pPr>
      <w:r>
        <w:rPr>
          <w:sz w:val="16"/>
          <w:szCs w:val="16"/>
        </w:rPr>
        <w:t>OPEC Crude: IEA Estimates - 1Q99, 2Q99, 3Q99: POTEN Estimates - 4Q99,2000</w:t>
      </w:r>
    </w:p>
    <w:p>
      <w:pPr>
        <w:pStyle w:val="Normal"/>
        <w:spacing w:lineRule="auto" w:line="240"/>
        <w:ind w:firstLine="1620" w:end="0"/>
        <w:rPr>
          <w:sz w:val="16"/>
          <w:szCs w:val="16"/>
        </w:rPr>
      </w:pPr>
      <w:r>
        <w:rPr>
          <w:sz w:val="16"/>
          <w:szCs w:val="16"/>
        </w:rPr>
        <w:t>non-OPEC Supply: IEA Estimates - 1999, 2000</w:t>
      </w:r>
    </w:p>
    <w:p>
      <w:pPr>
        <w:pStyle w:val="Normal"/>
        <w:spacing w:lineRule="auto" w:line="240"/>
        <w:ind w:firstLine="1620" w:end="0"/>
        <w:rPr>
          <w:sz w:val="16"/>
          <w:szCs w:val="16"/>
        </w:rPr>
      </w:pPr>
      <w:r>
        <w:rPr>
          <w:sz w:val="16"/>
          <w:szCs w:val="16"/>
        </w:rPr>
        <w:t>World Demand: IEA Estimates - 1999, 2000</w:t>
      </w:r>
    </w:p>
    <w:p>
      <w:pPr>
        <w:pStyle w:val="Normal"/>
        <w:spacing w:lineRule="auto" w:line="240"/>
        <w:ind w:firstLine="900" w:start="720" w:end="0"/>
        <w:rPr>
          <w:sz w:val="16"/>
          <w:szCs w:val="16"/>
        </w:rPr>
      </w:pPr>
      <w:r>
        <w:rPr>
          <w:sz w:val="16"/>
          <w:szCs w:val="16"/>
        </w:rPr>
        <w:t>(1) Includes processing gains</w:t>
      </w:r>
    </w:p>
    <w:p>
      <w:pPr>
        <w:pStyle w:val="Normal"/>
        <w:rPr>
          <w:sz w:val="16"/>
          <w:szCs w:val="16"/>
        </w:rPr>
      </w:pPr>
      <w:r>
        <w:rPr>
          <w:sz w:val="16"/>
          <w:szCs w:val="16"/>
        </w:rPr>
      </w:r>
    </w:p>
    <w:p>
      <w:pPr>
        <w:pStyle w:val="Normal"/>
        <w:rPr/>
      </w:pPr>
      <w:r>
        <w:rPr/>
        <w:t>In its December report, the International Energy Agency (IEA) described oil markets as rapidly tightening.  Unless OPEC increases crude production levels, the above balance suggests a drawdown in world inventories of nearly 300 million barrels during the first quarter of the year, and over 400 million barrels over the first half of 2000.</w:t>
      </w:r>
    </w:p>
    <w:p>
      <w:pPr>
        <w:pStyle w:val="Normal"/>
        <w:rPr/>
      </w:pPr>
      <w:r>
        <w:rPr/>
      </w:r>
    </w:p>
    <w:p>
      <w:pPr>
        <w:pStyle w:val="Normal"/>
        <w:keepNext w:val="true"/>
        <w:spacing w:lineRule="auto" w:line="240"/>
        <w:rPr>
          <w:b/>
          <w:bCs/>
        </w:rPr>
      </w:pPr>
      <w:r>
        <w:rPr>
          <w:b/>
          <w:bCs/>
        </w:rPr>
        <w:tab/>
        <w:t>The Upcoming March OPEC Meeting</w:t>
      </w:r>
    </w:p>
    <w:p>
      <w:pPr>
        <w:pStyle w:val="Normal"/>
        <w:spacing w:lineRule="auto" w:line="240"/>
        <w:rPr/>
      </w:pPr>
      <w:r>
        <w:rPr/>
        <w:t>The idea of OPEC creating some mechanism to control world prices within an “acceptable” range has not gotten much play recently.  This may be understandable, however as the market has been micro analyzing every OPEC member’s statements.  Major price moves hang in the balance on every minister or spokesman’s utterance.  During December, there appeared to be growing, or at least more vocal support from OPEC hawks to extend the current production cut agreement through the second quarter.  This was briefly countered by a report that an “OPEC delegate” suggested that production would be raised to preclude any sustainable rise in WTI’s price over $25/bbl.  Kuwait immediately denied that any discussions were held by OPEC in this regard.  The Venezuelans added that current prices in crude oil markets were satisfactory.</w:t>
      </w:r>
    </w:p>
    <w:p>
      <w:pPr>
        <w:pStyle w:val="Normal"/>
        <w:rPr/>
      </w:pPr>
      <w:r>
        <w:rPr/>
      </w:r>
    </w:p>
    <w:p>
      <w:pPr>
        <w:pStyle w:val="Normal"/>
        <w:rPr/>
      </w:pPr>
      <w:r>
        <w:rPr/>
        <w:t>Other factors with market moving potential:</w:t>
      </w:r>
    </w:p>
    <w:p>
      <w:pPr>
        <w:pStyle w:val="Normal"/>
        <w:numPr>
          <w:ilvl w:val="0"/>
          <w:numId w:val="3"/>
        </w:numPr>
        <w:tabs>
          <w:tab w:val="clear" w:pos="720"/>
          <w:tab w:val="left" w:pos="0" w:leader="none"/>
        </w:tabs>
        <w:ind w:hanging="720" w:start="720" w:end="0"/>
        <w:rPr/>
      </w:pPr>
      <w:r>
        <w:rPr/>
        <w:t>Iraq possibly holding its production to the $5.2 billion monetary limitations of the 7th oil for food agreement, thereby reducing its six month production totals given current higher crude prices.</w:t>
      </w:r>
    </w:p>
    <w:p>
      <w:pPr>
        <w:pStyle w:val="Normal"/>
        <w:numPr>
          <w:ilvl w:val="0"/>
          <w:numId w:val="3"/>
        </w:numPr>
        <w:tabs>
          <w:tab w:val="clear" w:pos="720"/>
          <w:tab w:val="left" w:pos="0" w:leader="none"/>
        </w:tabs>
        <w:ind w:hanging="720" w:start="720" w:end="0"/>
        <w:rPr/>
      </w:pPr>
      <w:r>
        <w:rPr/>
        <w:t>Choosing a new OPEC Secretary General could become a stumbling block at the next OPEC meeting in March.</w:t>
      </w:r>
    </w:p>
    <w:p>
      <w:pPr>
        <w:pStyle w:val="Normal"/>
        <w:numPr>
          <w:ilvl w:val="0"/>
          <w:numId w:val="3"/>
        </w:numPr>
        <w:tabs>
          <w:tab w:val="clear" w:pos="720"/>
          <w:tab w:val="left" w:pos="0" w:leader="none"/>
        </w:tabs>
        <w:ind w:hanging="720" w:start="720" w:end="0"/>
        <w:rPr/>
      </w:pPr>
      <w:r>
        <w:rPr/>
        <w:t>Norway’s agreement to reduce production by 200,000 b/d through the end of 1999 has been extended through March.</w:t>
      </w:r>
    </w:p>
    <w:p>
      <w:pPr>
        <w:pStyle w:val="Normal"/>
        <w:numPr>
          <w:ilvl w:val="0"/>
          <w:numId w:val="3"/>
        </w:numPr>
        <w:tabs>
          <w:tab w:val="clear" w:pos="720"/>
          <w:tab w:val="left" w:pos="0" w:leader="none"/>
        </w:tabs>
        <w:ind w:hanging="360" w:start="720" w:end="0"/>
        <w:rPr/>
      </w:pPr>
      <w:r>
        <w:rPr/>
        <w:t>Early reports of both Saudi Arabia and Iran gradually raising production levels above their current quotas.</w:t>
      </w:r>
    </w:p>
    <w:p>
      <w:pPr>
        <w:pStyle w:val="Normal"/>
        <w:keepNext w:val="true"/>
        <w:spacing w:before="240" w:after="0"/>
        <w:rPr>
          <w:b/>
          <w:bCs/>
        </w:rPr>
      </w:pPr>
      <w:r>
        <w:rPr>
          <w:b/>
          <w:bCs/>
        </w:rPr>
        <w:tab/>
        <w:t>US Crude Oil Inventory Levels</w:t>
      </w:r>
    </w:p>
    <w:p>
      <w:pPr>
        <w:pStyle w:val="Normal"/>
        <w:ind w:end="-180"/>
        <w:rPr/>
      </w:pPr>
      <w:r>
        <w:rPr/>
        <w:t>Since the US consumes about a quarter of the world’s oil production, and US inventories are reported weekly by both the American Petroleum Institute (API) and the Department of Energy (DOE), these figures have become a proxy for world inventories.  Large changes in week-to-week US stock levels move market pricing throughout the world.</w:t>
      </w:r>
    </w:p>
    <w:p>
      <w:pPr>
        <w:pStyle w:val="Normal"/>
        <w:spacing w:lineRule="auto" w:line="240"/>
        <w:jc w:val="center"/>
        <w:rPr/>
      </w:pPr>
      <w:r>
        <w:rPr/>
        <w:drawing>
          <wp:inline distT="0" distB="0" distL="0" distR="0">
            <wp:extent cx="5041265" cy="27876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2"/>
                    <a:stretch>
                      <a:fillRect/>
                    </a:stretch>
                  </pic:blipFill>
                  <pic:spPr bwMode="auto">
                    <a:xfrm>
                      <a:off x="0" y="0"/>
                      <a:ext cx="5041265" cy="2787650"/>
                    </a:xfrm>
                    <a:prstGeom prst="rect">
                      <a:avLst/>
                    </a:prstGeom>
                    <a:noFill/>
                  </pic:spPr>
                </pic:pic>
              </a:graphicData>
            </a:graphic>
          </wp:inline>
        </w:drawing>
      </w:r>
    </w:p>
    <w:p>
      <w:pPr>
        <w:pStyle w:val="Normal"/>
        <w:spacing w:lineRule="auto" w:line="240"/>
        <w:jc w:val="center"/>
        <w:rPr/>
      </w:pPr>
      <w:r>
        <w:rPr/>
      </w:r>
    </w:p>
    <w:p>
      <w:pPr>
        <w:pStyle w:val="Normal"/>
        <w:rPr/>
      </w:pPr>
      <w:r>
        <w:rPr/>
        <w:t>As of the end of December, API crude oil inventories have declined to nearly match the lowest point seen this decade.  With large stockdraws expected worldwide in the 1st quarter of 2000, US inventories are likely to decline even further.</w:t>
      </w:r>
    </w:p>
    <w:p>
      <w:pPr>
        <w:pStyle w:val="Heading3"/>
        <w:ind w:hanging="0" w:start="0"/>
        <w:rPr/>
      </w:pPr>
      <w:r>
        <w:rPr/>
        <w:t>Fuel Oil Relationships to Crude</w:t>
      </w:r>
    </w:p>
    <w:p>
      <w:pPr>
        <w:pStyle w:val="Normal"/>
        <w:rPr/>
      </w:pPr>
      <w:r>
        <w:rPr/>
        <w:t>Crude oil prices were strong in December while fuel oil prices were mixed.  The monthly average price in December for benchmark crude oil grades rose.  Dubai averages were at $23.61 per barrel, up $0.50 per barrel over November’s average.  Brent crude averaged $25.57 per barrel, up $0.88 per barrel versus November.  West Texas Intermediate was stronger still, rising $1.23 per barrel to $26.11 per barrel on average in December.  In the Far East, Minas crude was up (to a lesser degree) climbing to $24.19 per barrel, up $0.39 per barrel versus November’s average.</w:t>
      </w:r>
    </w:p>
    <w:p>
      <w:pPr>
        <w:pStyle w:val="Normal"/>
        <w:rPr/>
      </w:pPr>
      <w:r>
        <w:rPr/>
      </w:r>
    </w:p>
    <w:p>
      <w:pPr>
        <w:pStyle w:val="Normal"/>
        <w:rPr/>
      </w:pPr>
      <w:r>
        <w:rPr/>
        <w:t>Fuel oil prices were mixed with low sulfur grades generally stronger than high sulfur grades.  Countering recent market strength, some high sulfur grades of fuel oil showed price declines.</w:t>
      </w:r>
    </w:p>
    <w:p>
      <w:pPr>
        <w:pStyle w:val="Normal"/>
        <w:rPr/>
      </w:pPr>
      <w:r>
        <w:rPr/>
      </w:r>
    </w:p>
    <w:p>
      <w:pPr>
        <w:pStyle w:val="Normal"/>
        <w:keepNext w:val="true"/>
        <w:tabs>
          <w:tab w:val="clear" w:pos="720"/>
          <w:tab w:val="left" w:pos="3690" w:leader="none"/>
          <w:tab w:val="center" w:pos="6300" w:leader="none"/>
          <w:tab w:val="right" w:pos="8640" w:leader="none"/>
        </w:tabs>
        <w:ind w:end="-90"/>
        <w:rPr>
          <w:sz w:val="20"/>
          <w:szCs w:val="20"/>
        </w:rPr>
      </w:pPr>
      <w:r>
        <w:rPr>
          <w:sz w:val="20"/>
          <w:szCs w:val="20"/>
        </w:rPr>
        <w:tab/>
      </w:r>
      <w:r>
        <w:rPr>
          <w:sz w:val="20"/>
          <w:szCs w:val="20"/>
          <w:u w:val="single"/>
        </w:rPr>
        <w:tab/>
        <w:t>Monthly Average Price, US$/Bbl*</w:t>
        <w:tab/>
      </w:r>
    </w:p>
    <w:tbl>
      <w:tblPr>
        <w:tblW w:w="8784" w:type="dxa"/>
        <w:jc w:val="center"/>
        <w:tblInd w:w="0" w:type="dxa"/>
        <w:tblLayout w:type="fixed"/>
        <w:tblCellMar>
          <w:top w:w="0" w:type="dxa"/>
          <w:start w:w="108" w:type="dxa"/>
          <w:bottom w:w="0" w:type="dxa"/>
          <w:end w:w="108" w:type="dxa"/>
        </w:tblCellMar>
      </w:tblPr>
      <w:tblGrid>
        <w:gridCol w:w="1224"/>
        <w:gridCol w:w="1800"/>
        <w:gridCol w:w="1152"/>
        <w:gridCol w:w="1152"/>
        <w:gridCol w:w="1152"/>
        <w:gridCol w:w="1152"/>
        <w:gridCol w:w="1152"/>
      </w:tblGrid>
      <w:tr>
        <w:trPr/>
        <w:tc>
          <w:tcPr>
            <w:tcW w:w="1224" w:type="dxa"/>
            <w:tcBorders/>
          </w:tcPr>
          <w:p>
            <w:pPr>
              <w:pStyle w:val="Normal"/>
              <w:keepNext w:val="true"/>
              <w:ind w:end="-90"/>
              <w:rPr>
                <w:sz w:val="20"/>
                <w:szCs w:val="20"/>
                <w:u w:val="single"/>
              </w:rPr>
            </w:pPr>
            <w:r>
              <w:rPr>
                <w:sz w:val="20"/>
                <w:szCs w:val="20"/>
                <w:u w:val="single"/>
              </w:rPr>
              <w:t>Location</w:t>
            </w:r>
          </w:p>
        </w:tc>
        <w:tc>
          <w:tcPr>
            <w:tcW w:w="1800" w:type="dxa"/>
            <w:tcBorders/>
          </w:tcPr>
          <w:p>
            <w:pPr>
              <w:pStyle w:val="Normal"/>
              <w:keepNext w:val="true"/>
              <w:ind w:end="-90"/>
              <w:rPr>
                <w:sz w:val="20"/>
                <w:szCs w:val="20"/>
                <w:u w:val="single"/>
              </w:rPr>
            </w:pPr>
            <w:r>
              <w:rPr>
                <w:sz w:val="20"/>
                <w:szCs w:val="20"/>
                <w:u w:val="single"/>
              </w:rPr>
              <w:t>Grade</w:t>
            </w:r>
          </w:p>
        </w:tc>
        <w:tc>
          <w:tcPr>
            <w:tcW w:w="1152" w:type="dxa"/>
            <w:tcBorders/>
          </w:tcPr>
          <w:p>
            <w:pPr>
              <w:pStyle w:val="Normal"/>
              <w:keepNext w:val="true"/>
              <w:ind w:end="-90"/>
              <w:jc w:val="center"/>
              <w:rPr>
                <w:sz w:val="20"/>
                <w:szCs w:val="20"/>
                <w:u w:val="single"/>
              </w:rPr>
            </w:pPr>
            <w:r>
              <w:rPr>
                <w:sz w:val="20"/>
                <w:szCs w:val="20"/>
                <w:u w:val="single"/>
              </w:rPr>
              <w:t>Aug</w:t>
            </w:r>
          </w:p>
        </w:tc>
        <w:tc>
          <w:tcPr>
            <w:tcW w:w="1152" w:type="dxa"/>
            <w:tcBorders/>
          </w:tcPr>
          <w:p>
            <w:pPr>
              <w:pStyle w:val="Normal"/>
              <w:keepNext w:val="true"/>
              <w:ind w:end="-90"/>
              <w:jc w:val="center"/>
              <w:rPr>
                <w:sz w:val="20"/>
                <w:szCs w:val="20"/>
                <w:u w:val="single"/>
              </w:rPr>
            </w:pPr>
            <w:r>
              <w:rPr>
                <w:sz w:val="20"/>
                <w:szCs w:val="20"/>
                <w:u w:val="single"/>
              </w:rPr>
              <w:t>Sept</w:t>
            </w:r>
          </w:p>
        </w:tc>
        <w:tc>
          <w:tcPr>
            <w:tcW w:w="1152" w:type="dxa"/>
            <w:tcBorders/>
          </w:tcPr>
          <w:p>
            <w:pPr>
              <w:pStyle w:val="Normal"/>
              <w:keepNext w:val="true"/>
              <w:ind w:end="-90"/>
              <w:jc w:val="center"/>
              <w:rPr>
                <w:sz w:val="20"/>
                <w:szCs w:val="20"/>
                <w:u w:val="single"/>
              </w:rPr>
            </w:pPr>
            <w:r>
              <w:rPr>
                <w:sz w:val="20"/>
                <w:szCs w:val="20"/>
                <w:u w:val="single"/>
              </w:rPr>
              <w:t>Oct</w:t>
            </w:r>
          </w:p>
        </w:tc>
        <w:tc>
          <w:tcPr>
            <w:tcW w:w="1152" w:type="dxa"/>
            <w:tcBorders/>
          </w:tcPr>
          <w:p>
            <w:pPr>
              <w:pStyle w:val="Normal"/>
              <w:keepNext w:val="true"/>
              <w:ind w:end="-90"/>
              <w:jc w:val="center"/>
              <w:rPr>
                <w:sz w:val="20"/>
                <w:szCs w:val="20"/>
                <w:u w:val="single"/>
              </w:rPr>
            </w:pPr>
            <w:r>
              <w:rPr>
                <w:sz w:val="20"/>
                <w:szCs w:val="20"/>
                <w:u w:val="single"/>
              </w:rPr>
              <w:t>Nov</w:t>
            </w:r>
          </w:p>
        </w:tc>
        <w:tc>
          <w:tcPr>
            <w:tcW w:w="1152" w:type="dxa"/>
            <w:tcBorders/>
          </w:tcPr>
          <w:p>
            <w:pPr>
              <w:pStyle w:val="Normal"/>
              <w:keepNext w:val="true"/>
              <w:ind w:end="-90"/>
              <w:jc w:val="center"/>
              <w:rPr>
                <w:sz w:val="20"/>
                <w:szCs w:val="20"/>
                <w:u w:val="single"/>
              </w:rPr>
            </w:pPr>
            <w:r>
              <w:rPr>
                <w:sz w:val="20"/>
                <w:szCs w:val="20"/>
                <w:u w:val="single"/>
              </w:rPr>
              <w:t>Dec</w:t>
            </w:r>
          </w:p>
        </w:tc>
      </w:tr>
      <w:tr>
        <w:trPr/>
        <w:tc>
          <w:tcPr>
            <w:tcW w:w="1224" w:type="dxa"/>
            <w:tcBorders/>
          </w:tcPr>
          <w:p>
            <w:pPr>
              <w:pStyle w:val="Normal"/>
              <w:keepNext w:val="true"/>
              <w:ind w:end="-90"/>
              <w:rPr>
                <w:sz w:val="20"/>
                <w:szCs w:val="20"/>
              </w:rPr>
            </w:pPr>
            <w:r>
              <w:rPr>
                <w:sz w:val="20"/>
                <w:szCs w:val="20"/>
              </w:rPr>
              <w:t>NYH</w:t>
            </w:r>
          </w:p>
        </w:tc>
        <w:tc>
          <w:tcPr>
            <w:tcW w:w="1800" w:type="dxa"/>
            <w:tcBorders/>
          </w:tcPr>
          <w:p>
            <w:pPr>
              <w:pStyle w:val="Normal"/>
              <w:keepNext w:val="true"/>
              <w:ind w:end="-90"/>
              <w:rPr>
                <w:sz w:val="20"/>
                <w:szCs w:val="20"/>
              </w:rPr>
            </w:pPr>
            <w:r>
              <w:rPr>
                <w:sz w:val="20"/>
                <w:szCs w:val="20"/>
              </w:rPr>
              <w:t xml:space="preserve">LSFO-0.3%S  </w:t>
            </w:r>
          </w:p>
        </w:tc>
        <w:tc>
          <w:tcPr>
            <w:tcW w:w="1152" w:type="dxa"/>
            <w:tcBorders/>
          </w:tcPr>
          <w:p>
            <w:pPr>
              <w:pStyle w:val="Normal"/>
              <w:keepNext w:val="true"/>
              <w:tabs>
                <w:tab w:val="clear" w:pos="720"/>
                <w:tab w:val="decimal" w:pos="433" w:leader="none"/>
              </w:tabs>
              <w:ind w:end="-90"/>
              <w:rPr>
                <w:sz w:val="20"/>
                <w:szCs w:val="20"/>
              </w:rPr>
            </w:pPr>
            <w:r>
              <w:rPr>
                <w:sz w:val="20"/>
                <w:szCs w:val="20"/>
              </w:rPr>
              <w:t>20.54</w:t>
            </w:r>
          </w:p>
        </w:tc>
        <w:tc>
          <w:tcPr>
            <w:tcW w:w="1152" w:type="dxa"/>
            <w:tcBorders/>
          </w:tcPr>
          <w:p>
            <w:pPr>
              <w:pStyle w:val="Normal"/>
              <w:keepNext w:val="true"/>
              <w:tabs>
                <w:tab w:val="clear" w:pos="720"/>
                <w:tab w:val="decimal" w:pos="410" w:leader="none"/>
              </w:tabs>
              <w:ind w:end="-90"/>
              <w:rPr>
                <w:sz w:val="20"/>
                <w:szCs w:val="20"/>
              </w:rPr>
            </w:pPr>
            <w:r>
              <w:rPr>
                <w:sz w:val="20"/>
                <w:szCs w:val="20"/>
              </w:rPr>
              <w:t>21.62</w:t>
            </w:r>
          </w:p>
        </w:tc>
        <w:tc>
          <w:tcPr>
            <w:tcW w:w="1152" w:type="dxa"/>
            <w:tcBorders/>
          </w:tcPr>
          <w:p>
            <w:pPr>
              <w:pStyle w:val="Normal"/>
              <w:keepNext w:val="true"/>
              <w:tabs>
                <w:tab w:val="clear" w:pos="720"/>
                <w:tab w:val="decimal" w:pos="522" w:leader="none"/>
              </w:tabs>
              <w:ind w:end="-90"/>
              <w:rPr>
                <w:sz w:val="20"/>
                <w:szCs w:val="20"/>
              </w:rPr>
            </w:pPr>
            <w:r>
              <w:rPr>
                <w:sz w:val="20"/>
                <w:szCs w:val="20"/>
              </w:rPr>
              <w:t>21.28</w:t>
            </w:r>
          </w:p>
        </w:tc>
        <w:tc>
          <w:tcPr>
            <w:tcW w:w="1152" w:type="dxa"/>
            <w:tcBorders/>
          </w:tcPr>
          <w:p>
            <w:pPr>
              <w:pStyle w:val="Normal"/>
              <w:keepNext w:val="true"/>
              <w:tabs>
                <w:tab w:val="clear" w:pos="720"/>
                <w:tab w:val="decimal" w:pos="522" w:leader="none"/>
              </w:tabs>
              <w:ind w:end="-90"/>
              <w:rPr>
                <w:sz w:val="20"/>
                <w:szCs w:val="20"/>
              </w:rPr>
            </w:pPr>
            <w:r>
              <w:rPr>
                <w:sz w:val="20"/>
                <w:szCs w:val="20"/>
              </w:rPr>
              <w:t>21.53</w:t>
            </w:r>
          </w:p>
        </w:tc>
        <w:tc>
          <w:tcPr>
            <w:tcW w:w="1152" w:type="dxa"/>
            <w:tcBorders/>
          </w:tcPr>
          <w:p>
            <w:pPr>
              <w:pStyle w:val="Normal"/>
              <w:keepNext w:val="true"/>
              <w:tabs>
                <w:tab w:val="clear" w:pos="720"/>
                <w:tab w:val="decimal" w:pos="522" w:leader="none"/>
              </w:tabs>
              <w:ind w:end="-90"/>
              <w:rPr>
                <w:sz w:val="20"/>
                <w:szCs w:val="20"/>
              </w:rPr>
            </w:pPr>
            <w:r>
              <w:rPr>
                <w:sz w:val="20"/>
                <w:szCs w:val="20"/>
              </w:rPr>
              <w:t>23.45</w:t>
            </w:r>
          </w:p>
        </w:tc>
      </w:tr>
      <w:tr>
        <w:trPr/>
        <w:tc>
          <w:tcPr>
            <w:tcW w:w="1224" w:type="dxa"/>
            <w:tcBorders/>
          </w:tcPr>
          <w:p>
            <w:pPr>
              <w:pStyle w:val="Normal"/>
              <w:keepNext w:val="true"/>
              <w:ind w:end="-90"/>
              <w:rPr>
                <w:sz w:val="20"/>
                <w:szCs w:val="20"/>
              </w:rPr>
            </w:pPr>
            <w:r>
              <w:rPr>
                <w:sz w:val="20"/>
                <w:szCs w:val="20"/>
              </w:rPr>
              <w:t xml:space="preserve">NYH </w:t>
            </w:r>
          </w:p>
        </w:tc>
        <w:tc>
          <w:tcPr>
            <w:tcW w:w="1800" w:type="dxa"/>
            <w:tcBorders/>
          </w:tcPr>
          <w:p>
            <w:pPr>
              <w:pStyle w:val="Normal"/>
              <w:keepNext w:val="true"/>
              <w:ind w:end="-90"/>
              <w:rPr>
                <w:sz w:val="20"/>
                <w:szCs w:val="20"/>
              </w:rPr>
            </w:pPr>
            <w:r>
              <w:rPr>
                <w:sz w:val="20"/>
                <w:szCs w:val="20"/>
              </w:rPr>
              <w:t xml:space="preserve">LSFO-1.0%S   </w:t>
            </w:r>
          </w:p>
        </w:tc>
        <w:tc>
          <w:tcPr>
            <w:tcW w:w="1152" w:type="dxa"/>
            <w:tcBorders/>
          </w:tcPr>
          <w:p>
            <w:pPr>
              <w:pStyle w:val="Normal"/>
              <w:keepNext w:val="true"/>
              <w:tabs>
                <w:tab w:val="clear" w:pos="720"/>
                <w:tab w:val="decimal" w:pos="433" w:leader="none"/>
              </w:tabs>
              <w:ind w:end="-90"/>
              <w:rPr>
                <w:sz w:val="20"/>
                <w:szCs w:val="20"/>
              </w:rPr>
            </w:pPr>
            <w:r>
              <w:rPr>
                <w:sz w:val="20"/>
                <w:szCs w:val="20"/>
              </w:rPr>
              <w:t>18.62</w:t>
            </w:r>
          </w:p>
        </w:tc>
        <w:tc>
          <w:tcPr>
            <w:tcW w:w="1152" w:type="dxa"/>
            <w:tcBorders/>
          </w:tcPr>
          <w:p>
            <w:pPr>
              <w:pStyle w:val="Normal"/>
              <w:keepNext w:val="true"/>
              <w:tabs>
                <w:tab w:val="clear" w:pos="720"/>
                <w:tab w:val="decimal" w:pos="410" w:leader="none"/>
              </w:tabs>
              <w:ind w:end="-90"/>
              <w:rPr>
                <w:sz w:val="20"/>
                <w:szCs w:val="20"/>
              </w:rPr>
            </w:pPr>
            <w:r>
              <w:rPr>
                <w:sz w:val="20"/>
                <w:szCs w:val="20"/>
              </w:rPr>
              <w:t>19.48</w:t>
            </w:r>
          </w:p>
        </w:tc>
        <w:tc>
          <w:tcPr>
            <w:tcW w:w="1152" w:type="dxa"/>
            <w:tcBorders/>
          </w:tcPr>
          <w:p>
            <w:pPr>
              <w:pStyle w:val="Normal"/>
              <w:keepNext w:val="true"/>
              <w:tabs>
                <w:tab w:val="clear" w:pos="720"/>
                <w:tab w:val="decimal" w:pos="522" w:leader="none"/>
              </w:tabs>
              <w:ind w:end="-90"/>
              <w:rPr>
                <w:sz w:val="20"/>
                <w:szCs w:val="20"/>
              </w:rPr>
            </w:pPr>
            <w:r>
              <w:rPr>
                <w:sz w:val="20"/>
                <w:szCs w:val="20"/>
              </w:rPr>
              <w:t>19.44</w:t>
            </w:r>
          </w:p>
        </w:tc>
        <w:tc>
          <w:tcPr>
            <w:tcW w:w="1152" w:type="dxa"/>
            <w:tcBorders/>
          </w:tcPr>
          <w:p>
            <w:pPr>
              <w:pStyle w:val="Normal"/>
              <w:keepNext w:val="true"/>
              <w:tabs>
                <w:tab w:val="clear" w:pos="720"/>
                <w:tab w:val="decimal" w:pos="522" w:leader="none"/>
              </w:tabs>
              <w:ind w:end="-90"/>
              <w:rPr>
                <w:sz w:val="20"/>
                <w:szCs w:val="20"/>
              </w:rPr>
            </w:pPr>
            <w:r>
              <w:rPr>
                <w:sz w:val="20"/>
                <w:szCs w:val="20"/>
              </w:rPr>
              <w:t>19.52</w:t>
            </w:r>
          </w:p>
        </w:tc>
        <w:tc>
          <w:tcPr>
            <w:tcW w:w="1152" w:type="dxa"/>
            <w:tcBorders/>
          </w:tcPr>
          <w:p>
            <w:pPr>
              <w:pStyle w:val="Normal"/>
              <w:keepNext w:val="true"/>
              <w:tabs>
                <w:tab w:val="clear" w:pos="720"/>
                <w:tab w:val="decimal" w:pos="522" w:leader="none"/>
              </w:tabs>
              <w:ind w:end="-90"/>
              <w:rPr>
                <w:sz w:val="20"/>
                <w:szCs w:val="20"/>
              </w:rPr>
            </w:pPr>
            <w:r>
              <w:rPr>
                <w:sz w:val="20"/>
                <w:szCs w:val="20"/>
              </w:rPr>
              <w:t>19.21</w:t>
            </w:r>
          </w:p>
        </w:tc>
      </w:tr>
      <w:tr>
        <w:trPr/>
        <w:tc>
          <w:tcPr>
            <w:tcW w:w="1224" w:type="dxa"/>
            <w:tcBorders/>
          </w:tcPr>
          <w:p>
            <w:pPr>
              <w:pStyle w:val="Normal"/>
              <w:keepNext w:val="true"/>
              <w:ind w:end="-90"/>
              <w:rPr>
                <w:sz w:val="20"/>
                <w:szCs w:val="20"/>
              </w:rPr>
            </w:pPr>
            <w:r>
              <w:rPr>
                <w:sz w:val="20"/>
                <w:szCs w:val="20"/>
              </w:rPr>
              <w:t xml:space="preserve">NYH </w:t>
            </w:r>
          </w:p>
        </w:tc>
        <w:tc>
          <w:tcPr>
            <w:tcW w:w="1800" w:type="dxa"/>
            <w:tcBorders/>
          </w:tcPr>
          <w:p>
            <w:pPr>
              <w:pStyle w:val="Normal"/>
              <w:keepNext w:val="true"/>
              <w:ind w:end="-90"/>
              <w:rPr>
                <w:sz w:val="20"/>
                <w:szCs w:val="20"/>
              </w:rPr>
            </w:pPr>
            <w:r>
              <w:rPr>
                <w:sz w:val="20"/>
                <w:szCs w:val="20"/>
              </w:rPr>
              <w:t xml:space="preserve">HSFO </w:t>
            </w:r>
          </w:p>
        </w:tc>
        <w:tc>
          <w:tcPr>
            <w:tcW w:w="1152" w:type="dxa"/>
            <w:tcBorders/>
          </w:tcPr>
          <w:p>
            <w:pPr>
              <w:pStyle w:val="Normal"/>
              <w:keepNext w:val="true"/>
              <w:tabs>
                <w:tab w:val="clear" w:pos="720"/>
                <w:tab w:val="decimal" w:pos="433" w:leader="none"/>
              </w:tabs>
              <w:ind w:end="-90"/>
              <w:rPr>
                <w:sz w:val="20"/>
                <w:szCs w:val="20"/>
              </w:rPr>
            </w:pPr>
            <w:r>
              <w:rPr>
                <w:sz w:val="20"/>
                <w:szCs w:val="20"/>
              </w:rPr>
              <w:t>16.75</w:t>
            </w:r>
          </w:p>
        </w:tc>
        <w:tc>
          <w:tcPr>
            <w:tcW w:w="1152" w:type="dxa"/>
            <w:tcBorders/>
          </w:tcPr>
          <w:p>
            <w:pPr>
              <w:pStyle w:val="Normal"/>
              <w:keepNext w:val="true"/>
              <w:tabs>
                <w:tab w:val="clear" w:pos="720"/>
                <w:tab w:val="decimal" w:pos="410" w:leader="none"/>
              </w:tabs>
              <w:ind w:end="-90"/>
              <w:rPr>
                <w:sz w:val="20"/>
                <w:szCs w:val="20"/>
              </w:rPr>
            </w:pPr>
            <w:r>
              <w:rPr>
                <w:sz w:val="20"/>
                <w:szCs w:val="20"/>
              </w:rPr>
              <w:t>18.72</w:t>
            </w:r>
          </w:p>
        </w:tc>
        <w:tc>
          <w:tcPr>
            <w:tcW w:w="1152" w:type="dxa"/>
            <w:tcBorders/>
          </w:tcPr>
          <w:p>
            <w:pPr>
              <w:pStyle w:val="Normal"/>
              <w:keepNext w:val="true"/>
              <w:tabs>
                <w:tab w:val="clear" w:pos="720"/>
                <w:tab w:val="decimal" w:pos="522" w:leader="none"/>
              </w:tabs>
              <w:ind w:end="-90"/>
              <w:rPr>
                <w:sz w:val="20"/>
                <w:szCs w:val="20"/>
              </w:rPr>
            </w:pPr>
            <w:r>
              <w:rPr>
                <w:sz w:val="20"/>
                <w:szCs w:val="20"/>
              </w:rPr>
              <w:t>18.45</w:t>
            </w:r>
          </w:p>
        </w:tc>
        <w:tc>
          <w:tcPr>
            <w:tcW w:w="1152" w:type="dxa"/>
            <w:tcBorders/>
          </w:tcPr>
          <w:p>
            <w:pPr>
              <w:pStyle w:val="Normal"/>
              <w:keepNext w:val="true"/>
              <w:tabs>
                <w:tab w:val="clear" w:pos="720"/>
                <w:tab w:val="decimal" w:pos="522" w:leader="none"/>
              </w:tabs>
              <w:ind w:end="-90"/>
              <w:rPr>
                <w:sz w:val="20"/>
                <w:szCs w:val="20"/>
              </w:rPr>
            </w:pPr>
            <w:r>
              <w:rPr>
                <w:sz w:val="20"/>
                <w:szCs w:val="20"/>
              </w:rPr>
              <w:t>18.39</w:t>
            </w:r>
          </w:p>
        </w:tc>
        <w:tc>
          <w:tcPr>
            <w:tcW w:w="1152" w:type="dxa"/>
            <w:tcBorders/>
          </w:tcPr>
          <w:p>
            <w:pPr>
              <w:pStyle w:val="Normal"/>
              <w:keepNext w:val="true"/>
              <w:tabs>
                <w:tab w:val="clear" w:pos="720"/>
                <w:tab w:val="decimal" w:pos="522" w:leader="none"/>
              </w:tabs>
              <w:ind w:end="-90"/>
              <w:rPr>
                <w:sz w:val="20"/>
                <w:szCs w:val="20"/>
              </w:rPr>
            </w:pPr>
            <w:r>
              <w:rPr>
                <w:sz w:val="20"/>
                <w:szCs w:val="20"/>
              </w:rPr>
              <w:t>18.52</w:t>
            </w:r>
          </w:p>
        </w:tc>
      </w:tr>
      <w:tr>
        <w:trPr/>
        <w:tc>
          <w:tcPr>
            <w:tcW w:w="1224" w:type="dxa"/>
            <w:tcBorders/>
          </w:tcPr>
          <w:p>
            <w:pPr>
              <w:pStyle w:val="Normal"/>
              <w:keepNext w:val="true"/>
              <w:ind w:end="-90"/>
              <w:rPr>
                <w:sz w:val="20"/>
                <w:szCs w:val="20"/>
              </w:rPr>
            </w:pPr>
            <w:r>
              <w:rPr>
                <w:sz w:val="20"/>
                <w:szCs w:val="20"/>
              </w:rPr>
              <w:t xml:space="preserve">NWE </w:t>
            </w:r>
          </w:p>
        </w:tc>
        <w:tc>
          <w:tcPr>
            <w:tcW w:w="1800" w:type="dxa"/>
            <w:tcBorders/>
          </w:tcPr>
          <w:p>
            <w:pPr>
              <w:pStyle w:val="Normal"/>
              <w:keepNext w:val="true"/>
              <w:ind w:end="-90"/>
              <w:rPr>
                <w:sz w:val="20"/>
                <w:szCs w:val="20"/>
              </w:rPr>
            </w:pPr>
            <w:r>
              <w:rPr>
                <w:sz w:val="20"/>
                <w:szCs w:val="20"/>
              </w:rPr>
              <w:t xml:space="preserve">LSFO </w:t>
            </w:r>
          </w:p>
        </w:tc>
        <w:tc>
          <w:tcPr>
            <w:tcW w:w="1152" w:type="dxa"/>
            <w:tcBorders/>
          </w:tcPr>
          <w:p>
            <w:pPr>
              <w:pStyle w:val="Normal"/>
              <w:keepNext w:val="true"/>
              <w:tabs>
                <w:tab w:val="clear" w:pos="720"/>
                <w:tab w:val="decimal" w:pos="433" w:leader="none"/>
              </w:tabs>
              <w:ind w:end="-90"/>
              <w:rPr>
                <w:sz w:val="20"/>
                <w:szCs w:val="20"/>
              </w:rPr>
            </w:pPr>
            <w:r>
              <w:rPr>
                <w:sz w:val="20"/>
                <w:szCs w:val="20"/>
              </w:rPr>
              <w:t>17.38</w:t>
            </w:r>
          </w:p>
        </w:tc>
        <w:tc>
          <w:tcPr>
            <w:tcW w:w="1152" w:type="dxa"/>
            <w:tcBorders/>
          </w:tcPr>
          <w:p>
            <w:pPr>
              <w:pStyle w:val="Normal"/>
              <w:keepNext w:val="true"/>
              <w:tabs>
                <w:tab w:val="clear" w:pos="720"/>
                <w:tab w:val="decimal" w:pos="410" w:leader="none"/>
              </w:tabs>
              <w:ind w:end="-90"/>
              <w:rPr>
                <w:sz w:val="20"/>
                <w:szCs w:val="20"/>
              </w:rPr>
            </w:pPr>
            <w:r>
              <w:rPr>
                <w:sz w:val="20"/>
                <w:szCs w:val="20"/>
              </w:rPr>
              <w:t>17.86</w:t>
            </w:r>
          </w:p>
        </w:tc>
        <w:tc>
          <w:tcPr>
            <w:tcW w:w="1152" w:type="dxa"/>
            <w:tcBorders/>
          </w:tcPr>
          <w:p>
            <w:pPr>
              <w:pStyle w:val="Normal"/>
              <w:keepNext w:val="true"/>
              <w:tabs>
                <w:tab w:val="clear" w:pos="720"/>
                <w:tab w:val="decimal" w:pos="522" w:leader="none"/>
              </w:tabs>
              <w:ind w:end="-90"/>
              <w:rPr>
                <w:sz w:val="20"/>
                <w:szCs w:val="20"/>
              </w:rPr>
            </w:pPr>
            <w:r>
              <w:rPr>
                <w:sz w:val="20"/>
                <w:szCs w:val="20"/>
              </w:rPr>
              <w:t>19.10</w:t>
            </w:r>
          </w:p>
        </w:tc>
        <w:tc>
          <w:tcPr>
            <w:tcW w:w="1152" w:type="dxa"/>
            <w:tcBorders/>
          </w:tcPr>
          <w:p>
            <w:pPr>
              <w:pStyle w:val="Normal"/>
              <w:keepNext w:val="true"/>
              <w:tabs>
                <w:tab w:val="clear" w:pos="720"/>
                <w:tab w:val="decimal" w:pos="522" w:leader="none"/>
              </w:tabs>
              <w:ind w:end="-90"/>
              <w:rPr>
                <w:sz w:val="20"/>
                <w:szCs w:val="20"/>
              </w:rPr>
            </w:pPr>
            <w:r>
              <w:rPr>
                <w:sz w:val="20"/>
                <w:szCs w:val="20"/>
              </w:rPr>
              <w:t>18.50</w:t>
            </w:r>
          </w:p>
        </w:tc>
        <w:tc>
          <w:tcPr>
            <w:tcW w:w="1152" w:type="dxa"/>
            <w:tcBorders/>
          </w:tcPr>
          <w:p>
            <w:pPr>
              <w:pStyle w:val="Normal"/>
              <w:keepNext w:val="true"/>
              <w:tabs>
                <w:tab w:val="clear" w:pos="720"/>
                <w:tab w:val="decimal" w:pos="522" w:leader="none"/>
              </w:tabs>
              <w:ind w:end="-90"/>
              <w:rPr>
                <w:sz w:val="20"/>
                <w:szCs w:val="20"/>
              </w:rPr>
            </w:pPr>
            <w:r>
              <w:rPr>
                <w:sz w:val="20"/>
                <w:szCs w:val="20"/>
              </w:rPr>
              <w:t>18.82</w:t>
            </w:r>
          </w:p>
        </w:tc>
      </w:tr>
      <w:tr>
        <w:trPr/>
        <w:tc>
          <w:tcPr>
            <w:tcW w:w="1224" w:type="dxa"/>
            <w:tcBorders/>
          </w:tcPr>
          <w:p>
            <w:pPr>
              <w:pStyle w:val="Normal"/>
              <w:keepNext w:val="true"/>
              <w:ind w:end="-90"/>
              <w:rPr>
                <w:sz w:val="20"/>
                <w:szCs w:val="20"/>
              </w:rPr>
            </w:pPr>
            <w:r>
              <w:rPr>
                <w:sz w:val="20"/>
                <w:szCs w:val="20"/>
              </w:rPr>
              <w:t xml:space="preserve">NWE  </w:t>
            </w:r>
          </w:p>
        </w:tc>
        <w:tc>
          <w:tcPr>
            <w:tcW w:w="1800" w:type="dxa"/>
            <w:tcBorders/>
          </w:tcPr>
          <w:p>
            <w:pPr>
              <w:pStyle w:val="Normal"/>
              <w:keepNext w:val="true"/>
              <w:ind w:end="-90"/>
              <w:rPr>
                <w:sz w:val="20"/>
                <w:szCs w:val="20"/>
              </w:rPr>
            </w:pPr>
            <w:r>
              <w:rPr>
                <w:sz w:val="20"/>
                <w:szCs w:val="20"/>
              </w:rPr>
              <w:t>HSFO</w:t>
            </w:r>
          </w:p>
        </w:tc>
        <w:tc>
          <w:tcPr>
            <w:tcW w:w="1152" w:type="dxa"/>
            <w:tcBorders/>
          </w:tcPr>
          <w:p>
            <w:pPr>
              <w:pStyle w:val="Normal"/>
              <w:keepNext w:val="true"/>
              <w:tabs>
                <w:tab w:val="clear" w:pos="720"/>
                <w:tab w:val="decimal" w:pos="433" w:leader="none"/>
              </w:tabs>
              <w:ind w:end="-90"/>
              <w:rPr>
                <w:sz w:val="20"/>
                <w:szCs w:val="20"/>
              </w:rPr>
            </w:pPr>
            <w:r>
              <w:rPr>
                <w:sz w:val="20"/>
                <w:szCs w:val="20"/>
              </w:rPr>
              <w:t>15.78</w:t>
            </w:r>
          </w:p>
        </w:tc>
        <w:tc>
          <w:tcPr>
            <w:tcW w:w="1152" w:type="dxa"/>
            <w:tcBorders/>
          </w:tcPr>
          <w:p>
            <w:pPr>
              <w:pStyle w:val="Normal"/>
              <w:keepNext w:val="true"/>
              <w:tabs>
                <w:tab w:val="clear" w:pos="720"/>
                <w:tab w:val="decimal" w:pos="410" w:leader="none"/>
              </w:tabs>
              <w:ind w:end="-90"/>
              <w:rPr>
                <w:sz w:val="20"/>
                <w:szCs w:val="20"/>
              </w:rPr>
            </w:pPr>
            <w:r>
              <w:rPr>
                <w:sz w:val="20"/>
                <w:szCs w:val="20"/>
              </w:rPr>
              <w:t>16.67</w:t>
            </w:r>
          </w:p>
        </w:tc>
        <w:tc>
          <w:tcPr>
            <w:tcW w:w="1152" w:type="dxa"/>
            <w:tcBorders/>
          </w:tcPr>
          <w:p>
            <w:pPr>
              <w:pStyle w:val="Normal"/>
              <w:keepNext w:val="true"/>
              <w:tabs>
                <w:tab w:val="clear" w:pos="720"/>
                <w:tab w:val="decimal" w:pos="522" w:leader="none"/>
              </w:tabs>
              <w:ind w:end="-90"/>
              <w:rPr>
                <w:sz w:val="20"/>
                <w:szCs w:val="20"/>
              </w:rPr>
            </w:pPr>
            <w:r>
              <w:rPr>
                <w:sz w:val="20"/>
                <w:szCs w:val="20"/>
              </w:rPr>
              <w:t>17.86</w:t>
            </w:r>
          </w:p>
        </w:tc>
        <w:tc>
          <w:tcPr>
            <w:tcW w:w="1152" w:type="dxa"/>
            <w:tcBorders/>
          </w:tcPr>
          <w:p>
            <w:pPr>
              <w:pStyle w:val="Normal"/>
              <w:keepNext w:val="true"/>
              <w:tabs>
                <w:tab w:val="clear" w:pos="720"/>
                <w:tab w:val="decimal" w:pos="522" w:leader="none"/>
              </w:tabs>
              <w:ind w:end="-90"/>
              <w:rPr>
                <w:sz w:val="20"/>
                <w:szCs w:val="20"/>
              </w:rPr>
            </w:pPr>
            <w:r>
              <w:rPr>
                <w:sz w:val="20"/>
                <w:szCs w:val="20"/>
              </w:rPr>
              <w:t>18.04</w:t>
            </w:r>
          </w:p>
        </w:tc>
        <w:tc>
          <w:tcPr>
            <w:tcW w:w="1152" w:type="dxa"/>
            <w:tcBorders/>
          </w:tcPr>
          <w:p>
            <w:pPr>
              <w:pStyle w:val="Normal"/>
              <w:keepNext w:val="true"/>
              <w:tabs>
                <w:tab w:val="clear" w:pos="720"/>
                <w:tab w:val="decimal" w:pos="522" w:leader="none"/>
              </w:tabs>
              <w:ind w:end="-90"/>
              <w:rPr>
                <w:sz w:val="20"/>
                <w:szCs w:val="20"/>
              </w:rPr>
            </w:pPr>
            <w:r>
              <w:rPr>
                <w:sz w:val="20"/>
                <w:szCs w:val="20"/>
              </w:rPr>
              <w:t>18.05</w:t>
            </w:r>
          </w:p>
        </w:tc>
      </w:tr>
      <w:tr>
        <w:trPr/>
        <w:tc>
          <w:tcPr>
            <w:tcW w:w="1224" w:type="dxa"/>
            <w:tcBorders/>
          </w:tcPr>
          <w:p>
            <w:pPr>
              <w:pStyle w:val="Normal"/>
              <w:keepNext w:val="true"/>
              <w:ind w:end="-90"/>
              <w:rPr>
                <w:sz w:val="20"/>
                <w:szCs w:val="20"/>
              </w:rPr>
            </w:pPr>
            <w:r>
              <w:rPr>
                <w:sz w:val="20"/>
                <w:szCs w:val="20"/>
              </w:rPr>
              <w:t xml:space="preserve">Med </w:t>
            </w:r>
          </w:p>
        </w:tc>
        <w:tc>
          <w:tcPr>
            <w:tcW w:w="1800" w:type="dxa"/>
            <w:tcBorders/>
          </w:tcPr>
          <w:p>
            <w:pPr>
              <w:pStyle w:val="Normal"/>
              <w:keepNext w:val="true"/>
              <w:ind w:end="-90"/>
              <w:rPr>
                <w:sz w:val="20"/>
                <w:szCs w:val="20"/>
              </w:rPr>
            </w:pPr>
            <w:r>
              <w:rPr>
                <w:sz w:val="20"/>
                <w:szCs w:val="20"/>
              </w:rPr>
              <w:t xml:space="preserve">LSFO </w:t>
            </w:r>
          </w:p>
        </w:tc>
        <w:tc>
          <w:tcPr>
            <w:tcW w:w="1152" w:type="dxa"/>
            <w:tcBorders/>
          </w:tcPr>
          <w:p>
            <w:pPr>
              <w:pStyle w:val="Normal"/>
              <w:keepNext w:val="true"/>
              <w:tabs>
                <w:tab w:val="clear" w:pos="720"/>
                <w:tab w:val="decimal" w:pos="433" w:leader="none"/>
              </w:tabs>
              <w:ind w:end="-90"/>
              <w:rPr>
                <w:sz w:val="20"/>
                <w:szCs w:val="20"/>
              </w:rPr>
            </w:pPr>
            <w:r>
              <w:rPr>
                <w:sz w:val="20"/>
                <w:szCs w:val="20"/>
              </w:rPr>
              <w:t>17.57</w:t>
            </w:r>
          </w:p>
        </w:tc>
        <w:tc>
          <w:tcPr>
            <w:tcW w:w="1152" w:type="dxa"/>
            <w:tcBorders/>
          </w:tcPr>
          <w:p>
            <w:pPr>
              <w:pStyle w:val="Normal"/>
              <w:keepNext w:val="true"/>
              <w:tabs>
                <w:tab w:val="clear" w:pos="720"/>
                <w:tab w:val="decimal" w:pos="410" w:leader="none"/>
              </w:tabs>
              <w:ind w:end="-90"/>
              <w:rPr>
                <w:sz w:val="20"/>
                <w:szCs w:val="20"/>
              </w:rPr>
            </w:pPr>
            <w:r>
              <w:rPr>
                <w:sz w:val="20"/>
                <w:szCs w:val="20"/>
              </w:rPr>
              <w:t>17.88</w:t>
            </w:r>
          </w:p>
        </w:tc>
        <w:tc>
          <w:tcPr>
            <w:tcW w:w="1152" w:type="dxa"/>
            <w:tcBorders/>
          </w:tcPr>
          <w:p>
            <w:pPr>
              <w:pStyle w:val="Normal"/>
              <w:keepNext w:val="true"/>
              <w:tabs>
                <w:tab w:val="clear" w:pos="720"/>
                <w:tab w:val="decimal" w:pos="522" w:leader="none"/>
              </w:tabs>
              <w:ind w:end="-90"/>
              <w:rPr>
                <w:sz w:val="20"/>
                <w:szCs w:val="20"/>
              </w:rPr>
            </w:pPr>
            <w:r>
              <w:rPr>
                <w:sz w:val="20"/>
                <w:szCs w:val="20"/>
              </w:rPr>
              <w:t>18.95</w:t>
            </w:r>
          </w:p>
        </w:tc>
        <w:tc>
          <w:tcPr>
            <w:tcW w:w="1152" w:type="dxa"/>
            <w:tcBorders/>
          </w:tcPr>
          <w:p>
            <w:pPr>
              <w:pStyle w:val="Normal"/>
              <w:keepNext w:val="true"/>
              <w:tabs>
                <w:tab w:val="clear" w:pos="720"/>
                <w:tab w:val="decimal" w:pos="522" w:leader="none"/>
              </w:tabs>
              <w:ind w:end="-90"/>
              <w:rPr>
                <w:sz w:val="20"/>
                <w:szCs w:val="20"/>
              </w:rPr>
            </w:pPr>
            <w:r>
              <w:rPr>
                <w:sz w:val="20"/>
                <w:szCs w:val="20"/>
              </w:rPr>
              <w:t>18.27</w:t>
            </w:r>
          </w:p>
        </w:tc>
        <w:tc>
          <w:tcPr>
            <w:tcW w:w="1152" w:type="dxa"/>
            <w:tcBorders/>
          </w:tcPr>
          <w:p>
            <w:pPr>
              <w:pStyle w:val="Normal"/>
              <w:keepNext w:val="true"/>
              <w:tabs>
                <w:tab w:val="clear" w:pos="720"/>
                <w:tab w:val="decimal" w:pos="522" w:leader="none"/>
              </w:tabs>
              <w:ind w:end="-90"/>
              <w:rPr>
                <w:sz w:val="20"/>
                <w:szCs w:val="20"/>
              </w:rPr>
            </w:pPr>
            <w:r>
              <w:rPr>
                <w:sz w:val="20"/>
                <w:szCs w:val="20"/>
              </w:rPr>
              <w:t>18.75</w:t>
            </w:r>
          </w:p>
        </w:tc>
      </w:tr>
      <w:tr>
        <w:trPr/>
        <w:tc>
          <w:tcPr>
            <w:tcW w:w="1224" w:type="dxa"/>
            <w:tcBorders/>
          </w:tcPr>
          <w:p>
            <w:pPr>
              <w:pStyle w:val="Normal"/>
              <w:keepNext w:val="true"/>
              <w:ind w:end="-90"/>
              <w:rPr>
                <w:sz w:val="20"/>
                <w:szCs w:val="20"/>
              </w:rPr>
            </w:pPr>
            <w:r>
              <w:rPr>
                <w:sz w:val="20"/>
                <w:szCs w:val="20"/>
              </w:rPr>
              <w:t xml:space="preserve">Med </w:t>
            </w:r>
          </w:p>
        </w:tc>
        <w:tc>
          <w:tcPr>
            <w:tcW w:w="1800" w:type="dxa"/>
            <w:tcBorders/>
          </w:tcPr>
          <w:p>
            <w:pPr>
              <w:pStyle w:val="Normal"/>
              <w:keepNext w:val="true"/>
              <w:ind w:end="-90"/>
              <w:rPr>
                <w:sz w:val="20"/>
                <w:szCs w:val="20"/>
              </w:rPr>
            </w:pPr>
            <w:r>
              <w:rPr>
                <w:sz w:val="20"/>
                <w:szCs w:val="20"/>
              </w:rPr>
              <w:t>HSFO</w:t>
            </w:r>
          </w:p>
        </w:tc>
        <w:tc>
          <w:tcPr>
            <w:tcW w:w="1152" w:type="dxa"/>
            <w:tcBorders/>
          </w:tcPr>
          <w:p>
            <w:pPr>
              <w:pStyle w:val="Normal"/>
              <w:keepNext w:val="true"/>
              <w:tabs>
                <w:tab w:val="clear" w:pos="720"/>
                <w:tab w:val="decimal" w:pos="433" w:leader="none"/>
              </w:tabs>
              <w:ind w:end="-90"/>
              <w:rPr>
                <w:sz w:val="20"/>
                <w:szCs w:val="20"/>
              </w:rPr>
            </w:pPr>
            <w:r>
              <w:rPr>
                <w:sz w:val="20"/>
                <w:szCs w:val="20"/>
              </w:rPr>
              <w:t>16.20</w:t>
            </w:r>
          </w:p>
        </w:tc>
        <w:tc>
          <w:tcPr>
            <w:tcW w:w="1152" w:type="dxa"/>
            <w:tcBorders/>
          </w:tcPr>
          <w:p>
            <w:pPr>
              <w:pStyle w:val="Normal"/>
              <w:keepNext w:val="true"/>
              <w:tabs>
                <w:tab w:val="clear" w:pos="720"/>
                <w:tab w:val="decimal" w:pos="410" w:leader="none"/>
              </w:tabs>
              <w:ind w:end="-90"/>
              <w:rPr>
                <w:sz w:val="20"/>
                <w:szCs w:val="20"/>
              </w:rPr>
            </w:pPr>
            <w:r>
              <w:rPr>
                <w:sz w:val="20"/>
                <w:szCs w:val="20"/>
              </w:rPr>
              <w:t>17.36</w:t>
            </w:r>
          </w:p>
        </w:tc>
        <w:tc>
          <w:tcPr>
            <w:tcW w:w="1152" w:type="dxa"/>
            <w:tcBorders/>
          </w:tcPr>
          <w:p>
            <w:pPr>
              <w:pStyle w:val="Normal"/>
              <w:keepNext w:val="true"/>
              <w:tabs>
                <w:tab w:val="clear" w:pos="720"/>
                <w:tab w:val="decimal" w:pos="522" w:leader="none"/>
              </w:tabs>
              <w:ind w:end="-90"/>
              <w:rPr>
                <w:sz w:val="20"/>
                <w:szCs w:val="20"/>
              </w:rPr>
            </w:pPr>
            <w:r>
              <w:rPr>
                <w:sz w:val="20"/>
                <w:szCs w:val="20"/>
              </w:rPr>
              <w:t>18.47</w:t>
            </w:r>
          </w:p>
        </w:tc>
        <w:tc>
          <w:tcPr>
            <w:tcW w:w="1152" w:type="dxa"/>
            <w:tcBorders/>
          </w:tcPr>
          <w:p>
            <w:pPr>
              <w:pStyle w:val="Normal"/>
              <w:keepNext w:val="true"/>
              <w:tabs>
                <w:tab w:val="clear" w:pos="720"/>
                <w:tab w:val="decimal" w:pos="522" w:leader="none"/>
              </w:tabs>
              <w:ind w:end="-90"/>
              <w:rPr>
                <w:sz w:val="20"/>
                <w:szCs w:val="20"/>
              </w:rPr>
            </w:pPr>
            <w:r>
              <w:rPr>
                <w:sz w:val="20"/>
                <w:szCs w:val="20"/>
              </w:rPr>
              <w:t>18.35</w:t>
            </w:r>
          </w:p>
        </w:tc>
        <w:tc>
          <w:tcPr>
            <w:tcW w:w="1152" w:type="dxa"/>
            <w:tcBorders/>
          </w:tcPr>
          <w:p>
            <w:pPr>
              <w:pStyle w:val="Normal"/>
              <w:keepNext w:val="true"/>
              <w:tabs>
                <w:tab w:val="clear" w:pos="720"/>
                <w:tab w:val="decimal" w:pos="522" w:leader="none"/>
              </w:tabs>
              <w:ind w:end="-90"/>
              <w:rPr>
                <w:sz w:val="20"/>
                <w:szCs w:val="20"/>
              </w:rPr>
            </w:pPr>
            <w:r>
              <w:rPr>
                <w:sz w:val="20"/>
                <w:szCs w:val="20"/>
              </w:rPr>
              <w:t>18.26</w:t>
            </w:r>
          </w:p>
        </w:tc>
      </w:tr>
      <w:tr>
        <w:trPr/>
        <w:tc>
          <w:tcPr>
            <w:tcW w:w="1224" w:type="dxa"/>
            <w:tcBorders/>
          </w:tcPr>
          <w:p>
            <w:pPr>
              <w:pStyle w:val="Normal"/>
              <w:keepNext w:val="true"/>
              <w:ind w:end="-90"/>
              <w:rPr>
                <w:sz w:val="20"/>
                <w:szCs w:val="20"/>
              </w:rPr>
            </w:pPr>
            <w:r>
              <w:rPr>
                <w:sz w:val="20"/>
                <w:szCs w:val="20"/>
              </w:rPr>
              <w:t xml:space="preserve">Sing. </w:t>
            </w:r>
          </w:p>
        </w:tc>
        <w:tc>
          <w:tcPr>
            <w:tcW w:w="1800" w:type="dxa"/>
            <w:tcBorders/>
          </w:tcPr>
          <w:p>
            <w:pPr>
              <w:pStyle w:val="Normal"/>
              <w:keepNext w:val="true"/>
              <w:ind w:end="-90"/>
              <w:rPr>
                <w:sz w:val="20"/>
                <w:szCs w:val="20"/>
              </w:rPr>
            </w:pPr>
            <w:r>
              <w:rPr>
                <w:sz w:val="20"/>
                <w:szCs w:val="20"/>
              </w:rPr>
              <w:t xml:space="preserve">LSWR </w:t>
            </w:r>
          </w:p>
        </w:tc>
        <w:tc>
          <w:tcPr>
            <w:tcW w:w="1152" w:type="dxa"/>
            <w:tcBorders/>
          </w:tcPr>
          <w:p>
            <w:pPr>
              <w:pStyle w:val="Normal"/>
              <w:keepNext w:val="true"/>
              <w:tabs>
                <w:tab w:val="clear" w:pos="720"/>
                <w:tab w:val="decimal" w:pos="433" w:leader="none"/>
              </w:tabs>
              <w:ind w:end="-90"/>
              <w:rPr>
                <w:sz w:val="20"/>
                <w:szCs w:val="20"/>
              </w:rPr>
            </w:pPr>
            <w:r>
              <w:rPr>
                <w:sz w:val="20"/>
                <w:szCs w:val="20"/>
              </w:rPr>
              <w:t>17.23</w:t>
            </w:r>
          </w:p>
        </w:tc>
        <w:tc>
          <w:tcPr>
            <w:tcW w:w="1152" w:type="dxa"/>
            <w:tcBorders/>
          </w:tcPr>
          <w:p>
            <w:pPr>
              <w:pStyle w:val="Normal"/>
              <w:keepNext w:val="true"/>
              <w:tabs>
                <w:tab w:val="clear" w:pos="720"/>
                <w:tab w:val="decimal" w:pos="410" w:leader="none"/>
              </w:tabs>
              <w:ind w:end="-90"/>
              <w:rPr>
                <w:sz w:val="20"/>
                <w:szCs w:val="20"/>
              </w:rPr>
            </w:pPr>
            <w:r>
              <w:rPr>
                <w:sz w:val="20"/>
                <w:szCs w:val="20"/>
              </w:rPr>
              <w:t>18.95</w:t>
            </w:r>
          </w:p>
        </w:tc>
        <w:tc>
          <w:tcPr>
            <w:tcW w:w="1152" w:type="dxa"/>
            <w:tcBorders/>
          </w:tcPr>
          <w:p>
            <w:pPr>
              <w:pStyle w:val="Normal"/>
              <w:keepNext w:val="true"/>
              <w:tabs>
                <w:tab w:val="clear" w:pos="720"/>
                <w:tab w:val="decimal" w:pos="522" w:leader="none"/>
              </w:tabs>
              <w:ind w:end="-90"/>
              <w:rPr>
                <w:sz w:val="20"/>
                <w:szCs w:val="20"/>
              </w:rPr>
            </w:pPr>
            <w:r>
              <w:rPr>
                <w:sz w:val="20"/>
                <w:szCs w:val="20"/>
              </w:rPr>
              <w:t>20.46</w:t>
            </w:r>
          </w:p>
        </w:tc>
        <w:tc>
          <w:tcPr>
            <w:tcW w:w="1152" w:type="dxa"/>
            <w:tcBorders/>
          </w:tcPr>
          <w:p>
            <w:pPr>
              <w:pStyle w:val="Normal"/>
              <w:keepNext w:val="true"/>
              <w:tabs>
                <w:tab w:val="clear" w:pos="720"/>
                <w:tab w:val="decimal" w:pos="522" w:leader="none"/>
              </w:tabs>
              <w:ind w:end="-90"/>
              <w:rPr>
                <w:sz w:val="20"/>
                <w:szCs w:val="20"/>
              </w:rPr>
            </w:pPr>
            <w:r>
              <w:rPr>
                <w:sz w:val="20"/>
                <w:szCs w:val="20"/>
              </w:rPr>
              <w:t>21.23</w:t>
            </w:r>
          </w:p>
        </w:tc>
        <w:tc>
          <w:tcPr>
            <w:tcW w:w="1152" w:type="dxa"/>
            <w:tcBorders/>
          </w:tcPr>
          <w:p>
            <w:pPr>
              <w:pStyle w:val="Normal"/>
              <w:keepNext w:val="true"/>
              <w:tabs>
                <w:tab w:val="clear" w:pos="720"/>
                <w:tab w:val="decimal" w:pos="522" w:leader="none"/>
              </w:tabs>
              <w:ind w:end="-90"/>
              <w:rPr>
                <w:sz w:val="20"/>
                <w:szCs w:val="20"/>
              </w:rPr>
            </w:pPr>
            <w:r>
              <w:rPr>
                <w:sz w:val="20"/>
                <w:szCs w:val="20"/>
              </w:rPr>
              <w:t>21.45</w:t>
            </w:r>
          </w:p>
        </w:tc>
      </w:tr>
      <w:tr>
        <w:trPr/>
        <w:tc>
          <w:tcPr>
            <w:tcW w:w="1224" w:type="dxa"/>
            <w:tcBorders/>
          </w:tcPr>
          <w:p>
            <w:pPr>
              <w:pStyle w:val="Normal"/>
              <w:keepNext w:val="true"/>
              <w:ind w:end="-90"/>
              <w:rPr>
                <w:sz w:val="20"/>
                <w:szCs w:val="20"/>
              </w:rPr>
            </w:pPr>
            <w:r>
              <w:rPr>
                <w:sz w:val="20"/>
                <w:szCs w:val="20"/>
              </w:rPr>
              <w:t xml:space="preserve">Sing.  </w:t>
            </w:r>
          </w:p>
        </w:tc>
        <w:tc>
          <w:tcPr>
            <w:tcW w:w="1800" w:type="dxa"/>
            <w:tcBorders/>
          </w:tcPr>
          <w:p>
            <w:pPr>
              <w:pStyle w:val="Normal"/>
              <w:keepNext w:val="true"/>
              <w:ind w:end="-90"/>
              <w:rPr>
                <w:sz w:val="20"/>
                <w:szCs w:val="20"/>
              </w:rPr>
            </w:pPr>
            <w:r>
              <w:rPr>
                <w:sz w:val="20"/>
                <w:szCs w:val="20"/>
              </w:rPr>
              <w:t>HSFO</w:t>
            </w:r>
          </w:p>
        </w:tc>
        <w:tc>
          <w:tcPr>
            <w:tcW w:w="1152" w:type="dxa"/>
            <w:tcBorders/>
          </w:tcPr>
          <w:p>
            <w:pPr>
              <w:pStyle w:val="Normal"/>
              <w:keepNext w:val="true"/>
              <w:tabs>
                <w:tab w:val="clear" w:pos="720"/>
                <w:tab w:val="decimal" w:pos="433" w:leader="none"/>
              </w:tabs>
              <w:ind w:end="-90"/>
              <w:rPr>
                <w:sz w:val="20"/>
                <w:szCs w:val="20"/>
              </w:rPr>
            </w:pPr>
            <w:r>
              <w:rPr>
                <w:sz w:val="20"/>
                <w:szCs w:val="20"/>
              </w:rPr>
              <w:t>17.83</w:t>
            </w:r>
          </w:p>
        </w:tc>
        <w:tc>
          <w:tcPr>
            <w:tcW w:w="1152" w:type="dxa"/>
            <w:tcBorders/>
          </w:tcPr>
          <w:p>
            <w:pPr>
              <w:pStyle w:val="Normal"/>
              <w:keepNext w:val="true"/>
              <w:tabs>
                <w:tab w:val="clear" w:pos="720"/>
                <w:tab w:val="decimal" w:pos="410" w:leader="none"/>
              </w:tabs>
              <w:ind w:end="-90"/>
              <w:rPr>
                <w:sz w:val="20"/>
                <w:szCs w:val="20"/>
              </w:rPr>
            </w:pPr>
            <w:r>
              <w:rPr>
                <w:sz w:val="20"/>
                <w:szCs w:val="20"/>
              </w:rPr>
              <w:t>19.48</w:t>
            </w:r>
          </w:p>
        </w:tc>
        <w:tc>
          <w:tcPr>
            <w:tcW w:w="1152" w:type="dxa"/>
            <w:tcBorders/>
          </w:tcPr>
          <w:p>
            <w:pPr>
              <w:pStyle w:val="Normal"/>
              <w:keepNext w:val="true"/>
              <w:tabs>
                <w:tab w:val="clear" w:pos="720"/>
                <w:tab w:val="decimal" w:pos="522" w:leader="none"/>
              </w:tabs>
              <w:ind w:end="-90"/>
              <w:rPr>
                <w:sz w:val="20"/>
                <w:szCs w:val="20"/>
              </w:rPr>
            </w:pPr>
            <w:r>
              <w:rPr>
                <w:sz w:val="20"/>
                <w:szCs w:val="20"/>
              </w:rPr>
              <w:t>21.11</w:t>
            </w:r>
          </w:p>
        </w:tc>
        <w:tc>
          <w:tcPr>
            <w:tcW w:w="1152" w:type="dxa"/>
            <w:tcBorders/>
          </w:tcPr>
          <w:p>
            <w:pPr>
              <w:pStyle w:val="Normal"/>
              <w:keepNext w:val="true"/>
              <w:tabs>
                <w:tab w:val="clear" w:pos="720"/>
                <w:tab w:val="decimal" w:pos="522" w:leader="none"/>
              </w:tabs>
              <w:ind w:end="-90"/>
              <w:rPr>
                <w:sz w:val="20"/>
                <w:szCs w:val="20"/>
              </w:rPr>
            </w:pPr>
            <w:r>
              <w:rPr>
                <w:sz w:val="20"/>
                <w:szCs w:val="20"/>
              </w:rPr>
              <w:t>21.87</w:t>
            </w:r>
          </w:p>
        </w:tc>
        <w:tc>
          <w:tcPr>
            <w:tcW w:w="1152" w:type="dxa"/>
            <w:tcBorders/>
          </w:tcPr>
          <w:p>
            <w:pPr>
              <w:pStyle w:val="Normal"/>
              <w:keepNext w:val="true"/>
              <w:tabs>
                <w:tab w:val="clear" w:pos="720"/>
                <w:tab w:val="decimal" w:pos="522" w:leader="none"/>
              </w:tabs>
              <w:ind w:end="-90"/>
              <w:rPr>
                <w:sz w:val="20"/>
                <w:szCs w:val="20"/>
              </w:rPr>
            </w:pPr>
            <w:r>
              <w:rPr>
                <w:sz w:val="20"/>
                <w:szCs w:val="20"/>
              </w:rPr>
              <w:t>21.66</w:t>
            </w:r>
          </w:p>
        </w:tc>
      </w:tr>
    </w:tbl>
    <w:p>
      <w:pPr>
        <w:pStyle w:val="Normal"/>
        <w:ind w:firstLine="540" w:end="-90"/>
        <w:rPr>
          <w:sz w:val="20"/>
          <w:szCs w:val="20"/>
        </w:rPr>
      </w:pPr>
      <w:r>
        <w:rPr>
          <w:sz w:val="20"/>
          <w:szCs w:val="20"/>
        </w:rPr>
        <w:t>*  Source:  Platt’s Oilgram</w:t>
      </w:r>
    </w:p>
    <w:p>
      <w:pPr>
        <w:pStyle w:val="Normal"/>
        <w:rPr>
          <w:sz w:val="20"/>
          <w:szCs w:val="20"/>
        </w:rPr>
      </w:pPr>
      <w:r>
        <w:rPr>
          <w:sz w:val="20"/>
          <w:szCs w:val="20"/>
        </w:rPr>
      </w:r>
    </w:p>
    <w:p>
      <w:pPr>
        <w:pStyle w:val="Normal"/>
        <w:rPr/>
      </w:pPr>
      <w:r>
        <w:rPr/>
        <w:t>The New York market was very strong for 0.3%S LSFO supported by utility demand.  The December average price of 0.3%S LSFO was $23.45 up $1.92 per barrel versus November. The 0.3%S market commanded large premiums over the 1.0%S market.  LSFO 1.0%S averaged $19.21 per barrel down $0.31 per barrel versus November’s average.  HSFO moved slightly higher averaging $18.52 per barrel up $0.13 per barrel.</w:t>
      </w:r>
    </w:p>
    <w:p>
      <w:pPr>
        <w:pStyle w:val="Normal"/>
        <w:rPr/>
      </w:pPr>
      <w:r>
        <w:rPr/>
      </w:r>
    </w:p>
    <w:p>
      <w:pPr>
        <w:pStyle w:val="Normal"/>
        <w:rPr/>
      </w:pPr>
      <w:r>
        <w:rPr/>
        <w:t>The European fuel oil market showed more strength for  1.0%S grades than for HSFO.  In Northwest Europe prices averaged $18.82 per barrel up $0.32 per barrel versus November for 1.0%S material.  HSFO was virtually unchanged on average at $18.05 per barrel.  In the Mediterranean, 1%S prices averaged $18.75 per barrel in December, up $0.48 per barrel while HSFO averaged $18.26 per barrel — down marginally $0.09 per barrel from November.</w:t>
      </w:r>
    </w:p>
    <w:p>
      <w:pPr>
        <w:pStyle w:val="Normal"/>
        <w:rPr/>
      </w:pPr>
      <w:r>
        <w:rPr/>
      </w:r>
    </w:p>
    <w:p>
      <w:pPr>
        <w:pStyle w:val="Normal"/>
        <w:rPr/>
      </w:pPr>
      <w:r>
        <w:rPr/>
        <w:t>In the Far East, Singapore markets showed similar trends to Europe with low sulfur material showing more strength than HSFO.  LSWR averaged $21.45 per barrel, up $0.22 per barrel from November’s average while HSFO at $21.66 per barrel in December fell $0.19 per barrel.</w:t>
      </w:r>
    </w:p>
    <w:p>
      <w:pPr>
        <w:pStyle w:val="Normal"/>
        <w:rPr/>
      </w:pPr>
      <w:r>
        <w:rPr/>
      </w:r>
    </w:p>
    <w:p>
      <w:pPr>
        <w:pStyle w:val="Normal"/>
        <w:rPr/>
      </w:pPr>
      <w:r>
        <w:rPr/>
        <w:t>The Monthly Average Relative Strength (MARS) of fuel oils are shown below for the various markets.  The MARS is calculated by taking the barrel price of fuel oil divided by the barrel price of crude oil.  The result is reflected as a percentage.  Different crude oils are used as the references for different fuel oils depending upon sulfur content and location.  The MARS is calculated using Dubai crude as the reference crude oil for all of the high sulfur fuel oils worldwide.  The MARS is calculated using Nigerian Bonny Crude as the reference crude oil for New York (netted back to the Caribbean), LSFO - 0.3%S and LSFO - 1.0%S figures, as well as Med LSFO figures.  The MARS is calculated using Brent Crude oil as the reference crude in the Northwest Europe (NWE) LSFO - 1.0%S figures.  The MARS is calculated using Minas crude oil as the reference crude oil in the Singapore LSWR figures.</w:t>
      </w:r>
    </w:p>
    <w:p>
      <w:pPr>
        <w:pStyle w:val="Normal"/>
        <w:ind w:end="-90"/>
        <w:rPr>
          <w:color w:val="000000"/>
        </w:rPr>
      </w:pPr>
      <w:r>
        <w:rPr>
          <w:color w:val="000000"/>
        </w:rPr>
      </w:r>
    </w:p>
    <w:p>
      <w:pPr>
        <w:pStyle w:val="Normal"/>
        <w:keepNext w:val="true"/>
        <w:tabs>
          <w:tab w:val="clear" w:pos="720"/>
          <w:tab w:val="left" w:pos="3690" w:leader="none"/>
          <w:tab w:val="center" w:pos="6210" w:leader="none"/>
          <w:tab w:val="right" w:pos="8730" w:leader="none"/>
        </w:tabs>
        <w:rPr/>
      </w:pPr>
      <w:r>
        <w:rPr>
          <w:sz w:val="20"/>
          <w:szCs w:val="20"/>
        </w:rPr>
        <w:tab/>
      </w:r>
      <w:r>
        <w:rPr>
          <w:sz w:val="20"/>
          <w:szCs w:val="20"/>
          <w:u w:val="single"/>
        </w:rPr>
        <w:tab/>
        <w:t>MARS</w:t>
        <w:tab/>
      </w:r>
    </w:p>
    <w:tbl>
      <w:tblPr>
        <w:tblW w:w="8103" w:type="dxa"/>
        <w:jc w:val="center"/>
        <w:tblInd w:w="0" w:type="dxa"/>
        <w:tblLayout w:type="fixed"/>
        <w:tblCellMar>
          <w:top w:w="0" w:type="dxa"/>
          <w:start w:w="108" w:type="dxa"/>
          <w:bottom w:w="0" w:type="dxa"/>
          <w:end w:w="108" w:type="dxa"/>
        </w:tblCellMar>
      </w:tblPr>
      <w:tblGrid>
        <w:gridCol w:w="1414"/>
        <w:gridCol w:w="1649"/>
        <w:gridCol w:w="1008"/>
        <w:gridCol w:w="1008"/>
        <w:gridCol w:w="1008"/>
        <w:gridCol w:w="1008"/>
        <w:gridCol w:w="1008"/>
      </w:tblGrid>
      <w:tr>
        <w:trPr/>
        <w:tc>
          <w:tcPr>
            <w:tcW w:w="1414" w:type="dxa"/>
            <w:tcBorders/>
          </w:tcPr>
          <w:p>
            <w:pPr>
              <w:pStyle w:val="Normal"/>
              <w:keepNext w:val="true"/>
              <w:rPr>
                <w:sz w:val="20"/>
                <w:szCs w:val="20"/>
                <w:u w:val="single"/>
              </w:rPr>
            </w:pPr>
            <w:r>
              <w:rPr>
                <w:sz w:val="20"/>
                <w:szCs w:val="20"/>
                <w:u w:val="single"/>
              </w:rPr>
              <w:t>Location</w:t>
            </w:r>
          </w:p>
        </w:tc>
        <w:tc>
          <w:tcPr>
            <w:tcW w:w="1649" w:type="dxa"/>
            <w:tcBorders/>
          </w:tcPr>
          <w:p>
            <w:pPr>
              <w:pStyle w:val="Normal"/>
              <w:keepNext w:val="true"/>
              <w:rPr>
                <w:sz w:val="20"/>
                <w:szCs w:val="20"/>
                <w:u w:val="single"/>
              </w:rPr>
            </w:pPr>
            <w:r>
              <w:rPr>
                <w:sz w:val="20"/>
                <w:szCs w:val="20"/>
                <w:u w:val="single"/>
              </w:rPr>
              <w:t>Grade</w:t>
            </w:r>
          </w:p>
        </w:tc>
        <w:tc>
          <w:tcPr>
            <w:tcW w:w="1008" w:type="dxa"/>
            <w:tcBorders/>
          </w:tcPr>
          <w:p>
            <w:pPr>
              <w:pStyle w:val="Normal"/>
              <w:keepNext w:val="true"/>
              <w:jc w:val="center"/>
              <w:rPr>
                <w:sz w:val="20"/>
                <w:szCs w:val="20"/>
                <w:u w:val="single"/>
              </w:rPr>
            </w:pPr>
            <w:r>
              <w:rPr>
                <w:sz w:val="20"/>
                <w:szCs w:val="20"/>
                <w:u w:val="single"/>
              </w:rPr>
              <w:t>Aug</w:t>
            </w:r>
          </w:p>
        </w:tc>
        <w:tc>
          <w:tcPr>
            <w:tcW w:w="1008" w:type="dxa"/>
            <w:tcBorders/>
          </w:tcPr>
          <w:p>
            <w:pPr>
              <w:pStyle w:val="Normal"/>
              <w:keepNext w:val="true"/>
              <w:jc w:val="center"/>
              <w:rPr>
                <w:sz w:val="20"/>
                <w:szCs w:val="20"/>
                <w:u w:val="single"/>
              </w:rPr>
            </w:pPr>
            <w:r>
              <w:rPr>
                <w:sz w:val="20"/>
                <w:szCs w:val="20"/>
                <w:u w:val="single"/>
              </w:rPr>
              <w:t>Sept</w:t>
            </w:r>
          </w:p>
        </w:tc>
        <w:tc>
          <w:tcPr>
            <w:tcW w:w="1008" w:type="dxa"/>
            <w:tcBorders/>
          </w:tcPr>
          <w:p>
            <w:pPr>
              <w:pStyle w:val="Normal"/>
              <w:keepNext w:val="true"/>
              <w:jc w:val="center"/>
              <w:rPr>
                <w:sz w:val="20"/>
                <w:szCs w:val="20"/>
                <w:u w:val="single"/>
              </w:rPr>
            </w:pPr>
            <w:r>
              <w:rPr>
                <w:sz w:val="20"/>
                <w:szCs w:val="20"/>
                <w:u w:val="single"/>
              </w:rPr>
              <w:t>Oct</w:t>
            </w:r>
          </w:p>
        </w:tc>
        <w:tc>
          <w:tcPr>
            <w:tcW w:w="1008" w:type="dxa"/>
            <w:tcBorders/>
          </w:tcPr>
          <w:p>
            <w:pPr>
              <w:pStyle w:val="Normal"/>
              <w:keepNext w:val="true"/>
              <w:jc w:val="center"/>
              <w:rPr>
                <w:sz w:val="20"/>
                <w:szCs w:val="20"/>
                <w:u w:val="single"/>
              </w:rPr>
            </w:pPr>
            <w:r>
              <w:rPr>
                <w:sz w:val="20"/>
                <w:szCs w:val="20"/>
                <w:u w:val="single"/>
              </w:rPr>
              <w:t>Nov</w:t>
            </w:r>
          </w:p>
        </w:tc>
        <w:tc>
          <w:tcPr>
            <w:tcW w:w="1008" w:type="dxa"/>
            <w:tcBorders/>
          </w:tcPr>
          <w:p>
            <w:pPr>
              <w:pStyle w:val="Normal"/>
              <w:keepNext w:val="true"/>
              <w:jc w:val="center"/>
              <w:rPr>
                <w:sz w:val="20"/>
                <w:szCs w:val="20"/>
                <w:u w:val="single"/>
              </w:rPr>
            </w:pPr>
            <w:r>
              <w:rPr>
                <w:sz w:val="20"/>
                <w:szCs w:val="20"/>
                <w:u w:val="single"/>
              </w:rPr>
              <w:t>Dec</w:t>
            </w:r>
          </w:p>
        </w:tc>
      </w:tr>
      <w:tr>
        <w:trPr/>
        <w:tc>
          <w:tcPr>
            <w:tcW w:w="1414" w:type="dxa"/>
            <w:tcBorders/>
          </w:tcPr>
          <w:p>
            <w:pPr>
              <w:pStyle w:val="Normal"/>
              <w:keepNext w:val="true"/>
              <w:rPr>
                <w:sz w:val="20"/>
                <w:szCs w:val="20"/>
              </w:rPr>
            </w:pPr>
            <w:r>
              <w:rPr>
                <w:sz w:val="20"/>
                <w:szCs w:val="20"/>
              </w:rPr>
              <w:t>NYH</w:t>
            </w:r>
          </w:p>
        </w:tc>
        <w:tc>
          <w:tcPr>
            <w:tcW w:w="1649" w:type="dxa"/>
            <w:tcBorders/>
          </w:tcPr>
          <w:p>
            <w:pPr>
              <w:pStyle w:val="Normal"/>
              <w:keepNext w:val="true"/>
              <w:rPr>
                <w:sz w:val="20"/>
                <w:szCs w:val="20"/>
              </w:rPr>
            </w:pPr>
            <w:r>
              <w:rPr>
                <w:sz w:val="20"/>
                <w:szCs w:val="20"/>
              </w:rPr>
              <w:t>LSFO-0.3%S</w:t>
            </w:r>
          </w:p>
        </w:tc>
        <w:tc>
          <w:tcPr>
            <w:tcW w:w="1008" w:type="dxa"/>
            <w:tcBorders/>
          </w:tcPr>
          <w:p>
            <w:pPr>
              <w:pStyle w:val="Normal"/>
              <w:keepNext w:val="true"/>
              <w:tabs>
                <w:tab w:val="clear" w:pos="720"/>
                <w:tab w:val="decimal" w:pos="467" w:leader="none"/>
              </w:tabs>
              <w:rPr>
                <w:sz w:val="20"/>
                <w:szCs w:val="20"/>
              </w:rPr>
            </w:pPr>
            <w:r>
              <w:rPr>
                <w:sz w:val="20"/>
                <w:szCs w:val="20"/>
              </w:rPr>
              <w:t>93.9*</w:t>
            </w:r>
          </w:p>
        </w:tc>
        <w:tc>
          <w:tcPr>
            <w:tcW w:w="1008" w:type="dxa"/>
            <w:tcBorders/>
          </w:tcPr>
          <w:p>
            <w:pPr>
              <w:pStyle w:val="Normal"/>
              <w:keepNext w:val="true"/>
              <w:tabs>
                <w:tab w:val="clear" w:pos="720"/>
                <w:tab w:val="decimal" w:pos="431" w:leader="none"/>
              </w:tabs>
              <w:rPr>
                <w:sz w:val="20"/>
                <w:szCs w:val="20"/>
              </w:rPr>
            </w:pPr>
            <w:r>
              <w:rPr>
                <w:sz w:val="20"/>
                <w:szCs w:val="20"/>
              </w:rPr>
              <w:t>88.7*</w:t>
            </w:r>
          </w:p>
        </w:tc>
        <w:tc>
          <w:tcPr>
            <w:tcW w:w="1008" w:type="dxa"/>
            <w:tcBorders/>
          </w:tcPr>
          <w:p>
            <w:pPr>
              <w:pStyle w:val="Normal"/>
              <w:keepNext w:val="true"/>
              <w:tabs>
                <w:tab w:val="clear" w:pos="720"/>
                <w:tab w:val="decimal" w:pos="413" w:leader="none"/>
              </w:tabs>
              <w:rPr>
                <w:sz w:val="20"/>
                <w:szCs w:val="20"/>
              </w:rPr>
            </w:pPr>
            <w:r>
              <w:rPr>
                <w:sz w:val="20"/>
                <w:szCs w:val="20"/>
              </w:rPr>
              <w:t>89.2*</w:t>
            </w:r>
          </w:p>
        </w:tc>
        <w:tc>
          <w:tcPr>
            <w:tcW w:w="1008" w:type="dxa"/>
            <w:tcBorders/>
          </w:tcPr>
          <w:p>
            <w:pPr>
              <w:pStyle w:val="Normal"/>
              <w:keepNext w:val="true"/>
              <w:tabs>
                <w:tab w:val="clear" w:pos="720"/>
                <w:tab w:val="decimal" w:pos="449" w:leader="none"/>
              </w:tabs>
              <w:rPr>
                <w:sz w:val="20"/>
                <w:szCs w:val="20"/>
              </w:rPr>
            </w:pPr>
            <w:r>
              <w:rPr>
                <w:sz w:val="20"/>
                <w:szCs w:val="20"/>
              </w:rPr>
              <w:t>81.2*</w:t>
            </w:r>
          </w:p>
        </w:tc>
        <w:tc>
          <w:tcPr>
            <w:tcW w:w="1008" w:type="dxa"/>
            <w:tcBorders/>
          </w:tcPr>
          <w:p>
            <w:pPr>
              <w:pStyle w:val="Normal"/>
              <w:keepNext w:val="true"/>
              <w:tabs>
                <w:tab w:val="clear" w:pos="720"/>
                <w:tab w:val="decimal" w:pos="449" w:leader="none"/>
              </w:tabs>
              <w:rPr>
                <w:sz w:val="20"/>
                <w:szCs w:val="20"/>
              </w:rPr>
            </w:pPr>
            <w:r>
              <w:rPr>
                <w:sz w:val="20"/>
                <w:szCs w:val="20"/>
              </w:rPr>
              <w:t>83.7*</w:t>
            </w:r>
          </w:p>
        </w:tc>
      </w:tr>
      <w:tr>
        <w:trPr/>
        <w:tc>
          <w:tcPr>
            <w:tcW w:w="1414" w:type="dxa"/>
            <w:tcBorders/>
          </w:tcPr>
          <w:p>
            <w:pPr>
              <w:pStyle w:val="Normal"/>
              <w:keepNext w:val="true"/>
              <w:rPr>
                <w:sz w:val="20"/>
                <w:szCs w:val="20"/>
              </w:rPr>
            </w:pPr>
            <w:r>
              <w:rPr>
                <w:sz w:val="20"/>
                <w:szCs w:val="20"/>
              </w:rPr>
              <w:t xml:space="preserve">NYH </w:t>
            </w:r>
          </w:p>
        </w:tc>
        <w:tc>
          <w:tcPr>
            <w:tcW w:w="1649" w:type="dxa"/>
            <w:tcBorders/>
          </w:tcPr>
          <w:p>
            <w:pPr>
              <w:pStyle w:val="Normal"/>
              <w:keepNext w:val="true"/>
              <w:rPr>
                <w:sz w:val="20"/>
                <w:szCs w:val="20"/>
              </w:rPr>
            </w:pPr>
            <w:r>
              <w:rPr>
                <w:sz w:val="20"/>
                <w:szCs w:val="20"/>
              </w:rPr>
              <w:t>LSFO-1.0%S</w:t>
            </w:r>
          </w:p>
        </w:tc>
        <w:tc>
          <w:tcPr>
            <w:tcW w:w="1008" w:type="dxa"/>
            <w:tcBorders/>
          </w:tcPr>
          <w:p>
            <w:pPr>
              <w:pStyle w:val="Normal"/>
              <w:keepNext w:val="true"/>
              <w:tabs>
                <w:tab w:val="clear" w:pos="720"/>
                <w:tab w:val="decimal" w:pos="467" w:leader="none"/>
              </w:tabs>
              <w:rPr>
                <w:sz w:val="20"/>
                <w:szCs w:val="20"/>
              </w:rPr>
            </w:pPr>
            <w:r>
              <w:rPr>
                <w:sz w:val="20"/>
                <w:szCs w:val="20"/>
              </w:rPr>
              <w:t>84.6*</w:t>
            </w:r>
          </w:p>
        </w:tc>
        <w:tc>
          <w:tcPr>
            <w:tcW w:w="1008" w:type="dxa"/>
            <w:tcBorders/>
          </w:tcPr>
          <w:p>
            <w:pPr>
              <w:pStyle w:val="Normal"/>
              <w:keepNext w:val="true"/>
              <w:tabs>
                <w:tab w:val="clear" w:pos="720"/>
                <w:tab w:val="decimal" w:pos="431" w:leader="none"/>
              </w:tabs>
              <w:rPr>
                <w:sz w:val="20"/>
                <w:szCs w:val="20"/>
              </w:rPr>
            </w:pPr>
            <w:r>
              <w:rPr>
                <w:sz w:val="20"/>
                <w:szCs w:val="20"/>
              </w:rPr>
              <w:t>79.5*</w:t>
            </w:r>
          </w:p>
        </w:tc>
        <w:tc>
          <w:tcPr>
            <w:tcW w:w="1008" w:type="dxa"/>
            <w:tcBorders/>
          </w:tcPr>
          <w:p>
            <w:pPr>
              <w:pStyle w:val="Normal"/>
              <w:keepNext w:val="true"/>
              <w:tabs>
                <w:tab w:val="clear" w:pos="720"/>
                <w:tab w:val="decimal" w:pos="413" w:leader="none"/>
              </w:tabs>
              <w:rPr>
                <w:sz w:val="20"/>
                <w:szCs w:val="20"/>
              </w:rPr>
            </w:pPr>
            <w:r>
              <w:rPr>
                <w:sz w:val="20"/>
                <w:szCs w:val="20"/>
              </w:rPr>
              <w:t>81.0*</w:t>
            </w:r>
          </w:p>
        </w:tc>
        <w:tc>
          <w:tcPr>
            <w:tcW w:w="1008" w:type="dxa"/>
            <w:tcBorders/>
          </w:tcPr>
          <w:p>
            <w:pPr>
              <w:pStyle w:val="Normal"/>
              <w:keepNext w:val="true"/>
              <w:tabs>
                <w:tab w:val="clear" w:pos="720"/>
                <w:tab w:val="decimal" w:pos="449" w:leader="none"/>
              </w:tabs>
              <w:rPr>
                <w:sz w:val="20"/>
                <w:szCs w:val="20"/>
              </w:rPr>
            </w:pPr>
            <w:r>
              <w:rPr>
                <w:sz w:val="20"/>
                <w:szCs w:val="20"/>
              </w:rPr>
              <w:t>73.2*</w:t>
            </w:r>
          </w:p>
        </w:tc>
        <w:tc>
          <w:tcPr>
            <w:tcW w:w="1008" w:type="dxa"/>
            <w:tcBorders/>
          </w:tcPr>
          <w:p>
            <w:pPr>
              <w:pStyle w:val="Normal"/>
              <w:keepNext w:val="true"/>
              <w:tabs>
                <w:tab w:val="clear" w:pos="720"/>
                <w:tab w:val="decimal" w:pos="449" w:leader="none"/>
              </w:tabs>
              <w:rPr>
                <w:sz w:val="20"/>
                <w:szCs w:val="20"/>
              </w:rPr>
            </w:pPr>
            <w:r>
              <w:rPr>
                <w:sz w:val="20"/>
                <w:szCs w:val="20"/>
              </w:rPr>
              <w:t>67.7*</w:t>
            </w:r>
          </w:p>
        </w:tc>
      </w:tr>
      <w:tr>
        <w:trPr/>
        <w:tc>
          <w:tcPr>
            <w:tcW w:w="1414" w:type="dxa"/>
            <w:tcBorders/>
          </w:tcPr>
          <w:p>
            <w:pPr>
              <w:pStyle w:val="Normal"/>
              <w:keepNext w:val="true"/>
              <w:rPr>
                <w:sz w:val="20"/>
                <w:szCs w:val="20"/>
              </w:rPr>
            </w:pPr>
            <w:r>
              <w:rPr>
                <w:sz w:val="20"/>
                <w:szCs w:val="20"/>
              </w:rPr>
              <w:t>NYH</w:t>
            </w:r>
          </w:p>
        </w:tc>
        <w:tc>
          <w:tcPr>
            <w:tcW w:w="1649" w:type="dxa"/>
            <w:tcBorders/>
          </w:tcPr>
          <w:p>
            <w:pPr>
              <w:pStyle w:val="Normal"/>
              <w:keepNext w:val="true"/>
              <w:rPr>
                <w:sz w:val="20"/>
                <w:szCs w:val="20"/>
              </w:rPr>
            </w:pPr>
            <w:r>
              <w:rPr>
                <w:sz w:val="20"/>
                <w:szCs w:val="20"/>
              </w:rPr>
              <w:t>HSFO</w:t>
            </w:r>
          </w:p>
        </w:tc>
        <w:tc>
          <w:tcPr>
            <w:tcW w:w="1008" w:type="dxa"/>
            <w:tcBorders/>
          </w:tcPr>
          <w:p>
            <w:pPr>
              <w:pStyle w:val="Normal"/>
              <w:keepNext w:val="true"/>
              <w:tabs>
                <w:tab w:val="clear" w:pos="720"/>
                <w:tab w:val="decimal" w:pos="467" w:leader="none"/>
              </w:tabs>
              <w:rPr>
                <w:sz w:val="20"/>
                <w:szCs w:val="20"/>
              </w:rPr>
            </w:pPr>
            <w:r>
              <w:rPr>
                <w:sz w:val="20"/>
                <w:szCs w:val="20"/>
              </w:rPr>
              <w:t>78.4*</w:t>
            </w:r>
          </w:p>
        </w:tc>
        <w:tc>
          <w:tcPr>
            <w:tcW w:w="1008" w:type="dxa"/>
            <w:tcBorders/>
          </w:tcPr>
          <w:p>
            <w:pPr>
              <w:pStyle w:val="Normal"/>
              <w:keepNext w:val="true"/>
              <w:tabs>
                <w:tab w:val="clear" w:pos="720"/>
                <w:tab w:val="decimal" w:pos="431" w:leader="none"/>
              </w:tabs>
              <w:rPr>
                <w:sz w:val="20"/>
                <w:szCs w:val="20"/>
              </w:rPr>
            </w:pPr>
            <w:r>
              <w:rPr>
                <w:sz w:val="20"/>
                <w:szCs w:val="20"/>
              </w:rPr>
              <w:t>78.3*</w:t>
            </w:r>
          </w:p>
        </w:tc>
        <w:tc>
          <w:tcPr>
            <w:tcW w:w="1008" w:type="dxa"/>
            <w:tcBorders/>
          </w:tcPr>
          <w:p>
            <w:pPr>
              <w:pStyle w:val="Normal"/>
              <w:keepNext w:val="true"/>
              <w:tabs>
                <w:tab w:val="clear" w:pos="720"/>
                <w:tab w:val="decimal" w:pos="413" w:leader="none"/>
              </w:tabs>
              <w:rPr>
                <w:sz w:val="20"/>
                <w:szCs w:val="20"/>
              </w:rPr>
            </w:pPr>
            <w:r>
              <w:rPr>
                <w:sz w:val="20"/>
                <w:szCs w:val="20"/>
              </w:rPr>
              <w:t>78.7*</w:t>
            </w:r>
          </w:p>
        </w:tc>
        <w:tc>
          <w:tcPr>
            <w:tcW w:w="1008" w:type="dxa"/>
            <w:tcBorders/>
          </w:tcPr>
          <w:p>
            <w:pPr>
              <w:pStyle w:val="Normal"/>
              <w:keepNext w:val="true"/>
              <w:tabs>
                <w:tab w:val="clear" w:pos="720"/>
                <w:tab w:val="decimal" w:pos="449" w:leader="none"/>
              </w:tabs>
              <w:rPr>
                <w:sz w:val="20"/>
                <w:szCs w:val="20"/>
              </w:rPr>
            </w:pPr>
            <w:r>
              <w:rPr>
                <w:sz w:val="20"/>
                <w:szCs w:val="20"/>
              </w:rPr>
              <w:t>73.2*</w:t>
            </w:r>
          </w:p>
        </w:tc>
        <w:tc>
          <w:tcPr>
            <w:tcW w:w="1008" w:type="dxa"/>
            <w:tcBorders/>
          </w:tcPr>
          <w:p>
            <w:pPr>
              <w:pStyle w:val="Normal"/>
              <w:keepNext w:val="true"/>
              <w:tabs>
                <w:tab w:val="clear" w:pos="720"/>
                <w:tab w:val="decimal" w:pos="449" w:leader="none"/>
              </w:tabs>
              <w:rPr>
                <w:sz w:val="20"/>
                <w:szCs w:val="20"/>
              </w:rPr>
            </w:pPr>
            <w:r>
              <w:rPr>
                <w:sz w:val="20"/>
                <w:szCs w:val="20"/>
              </w:rPr>
              <w:t>71.6*</w:t>
            </w:r>
          </w:p>
        </w:tc>
      </w:tr>
      <w:tr>
        <w:trPr/>
        <w:tc>
          <w:tcPr>
            <w:tcW w:w="1414" w:type="dxa"/>
            <w:tcBorders/>
          </w:tcPr>
          <w:p>
            <w:pPr>
              <w:pStyle w:val="Normal"/>
              <w:keepNext w:val="true"/>
              <w:rPr>
                <w:sz w:val="20"/>
                <w:szCs w:val="20"/>
              </w:rPr>
            </w:pPr>
            <w:r>
              <w:rPr>
                <w:sz w:val="20"/>
                <w:szCs w:val="20"/>
              </w:rPr>
              <w:t xml:space="preserve">NWE </w:t>
            </w:r>
          </w:p>
        </w:tc>
        <w:tc>
          <w:tcPr>
            <w:tcW w:w="1649" w:type="dxa"/>
            <w:tcBorders/>
          </w:tcPr>
          <w:p>
            <w:pPr>
              <w:pStyle w:val="Normal"/>
              <w:keepNext w:val="true"/>
              <w:rPr>
                <w:sz w:val="20"/>
                <w:szCs w:val="20"/>
              </w:rPr>
            </w:pPr>
            <w:r>
              <w:rPr>
                <w:sz w:val="20"/>
                <w:szCs w:val="20"/>
              </w:rPr>
              <w:t xml:space="preserve">LSFO  </w:t>
            </w:r>
          </w:p>
        </w:tc>
        <w:tc>
          <w:tcPr>
            <w:tcW w:w="1008" w:type="dxa"/>
            <w:tcBorders/>
          </w:tcPr>
          <w:p>
            <w:pPr>
              <w:pStyle w:val="Normal"/>
              <w:keepNext w:val="true"/>
              <w:tabs>
                <w:tab w:val="clear" w:pos="720"/>
                <w:tab w:val="decimal" w:pos="467" w:leader="none"/>
              </w:tabs>
              <w:rPr>
                <w:sz w:val="20"/>
                <w:szCs w:val="20"/>
              </w:rPr>
            </w:pPr>
            <w:r>
              <w:rPr>
                <w:sz w:val="20"/>
                <w:szCs w:val="20"/>
              </w:rPr>
              <w:t>83.6</w:t>
            </w:r>
          </w:p>
        </w:tc>
        <w:tc>
          <w:tcPr>
            <w:tcW w:w="1008" w:type="dxa"/>
            <w:tcBorders/>
          </w:tcPr>
          <w:p>
            <w:pPr>
              <w:pStyle w:val="Normal"/>
              <w:keepNext w:val="true"/>
              <w:tabs>
                <w:tab w:val="clear" w:pos="720"/>
                <w:tab w:val="decimal" w:pos="431" w:leader="none"/>
              </w:tabs>
              <w:rPr>
                <w:sz w:val="20"/>
                <w:szCs w:val="20"/>
              </w:rPr>
            </w:pPr>
            <w:r>
              <w:rPr>
                <w:sz w:val="20"/>
                <w:szCs w:val="20"/>
              </w:rPr>
              <w:t>77.5</w:t>
            </w:r>
          </w:p>
        </w:tc>
        <w:tc>
          <w:tcPr>
            <w:tcW w:w="1008" w:type="dxa"/>
            <w:tcBorders/>
          </w:tcPr>
          <w:p>
            <w:pPr>
              <w:pStyle w:val="Normal"/>
              <w:keepNext w:val="true"/>
              <w:tabs>
                <w:tab w:val="clear" w:pos="720"/>
                <w:tab w:val="decimal" w:pos="413" w:leader="none"/>
              </w:tabs>
              <w:rPr>
                <w:sz w:val="20"/>
                <w:szCs w:val="20"/>
              </w:rPr>
            </w:pPr>
            <w:r>
              <w:rPr>
                <w:sz w:val="20"/>
                <w:szCs w:val="20"/>
              </w:rPr>
              <w:t>84.9</w:t>
            </w:r>
          </w:p>
        </w:tc>
        <w:tc>
          <w:tcPr>
            <w:tcW w:w="1008" w:type="dxa"/>
            <w:tcBorders/>
          </w:tcPr>
          <w:p>
            <w:pPr>
              <w:pStyle w:val="Normal"/>
              <w:keepNext w:val="true"/>
              <w:tabs>
                <w:tab w:val="clear" w:pos="720"/>
                <w:tab w:val="decimal" w:pos="449" w:leader="none"/>
              </w:tabs>
              <w:rPr>
                <w:sz w:val="20"/>
                <w:szCs w:val="20"/>
              </w:rPr>
            </w:pPr>
            <w:r>
              <w:rPr>
                <w:sz w:val="20"/>
                <w:szCs w:val="20"/>
              </w:rPr>
              <w:t>73.1</w:t>
            </w:r>
          </w:p>
        </w:tc>
        <w:tc>
          <w:tcPr>
            <w:tcW w:w="1008" w:type="dxa"/>
            <w:tcBorders/>
          </w:tcPr>
          <w:p>
            <w:pPr>
              <w:pStyle w:val="Normal"/>
              <w:keepNext w:val="true"/>
              <w:tabs>
                <w:tab w:val="clear" w:pos="720"/>
                <w:tab w:val="decimal" w:pos="449" w:leader="none"/>
              </w:tabs>
              <w:rPr>
                <w:sz w:val="20"/>
                <w:szCs w:val="20"/>
              </w:rPr>
            </w:pPr>
            <w:r>
              <w:rPr>
                <w:sz w:val="20"/>
                <w:szCs w:val="20"/>
              </w:rPr>
              <w:t>72.1</w:t>
            </w:r>
          </w:p>
        </w:tc>
      </w:tr>
      <w:tr>
        <w:trPr/>
        <w:tc>
          <w:tcPr>
            <w:tcW w:w="1414" w:type="dxa"/>
            <w:tcBorders/>
          </w:tcPr>
          <w:p>
            <w:pPr>
              <w:pStyle w:val="Normal"/>
              <w:keepNext w:val="true"/>
              <w:rPr>
                <w:sz w:val="20"/>
                <w:szCs w:val="20"/>
              </w:rPr>
            </w:pPr>
            <w:r>
              <w:rPr>
                <w:sz w:val="20"/>
                <w:szCs w:val="20"/>
              </w:rPr>
              <w:t>NWE</w:t>
            </w:r>
          </w:p>
        </w:tc>
        <w:tc>
          <w:tcPr>
            <w:tcW w:w="1649" w:type="dxa"/>
            <w:tcBorders/>
          </w:tcPr>
          <w:p>
            <w:pPr>
              <w:pStyle w:val="Normal"/>
              <w:keepNext w:val="true"/>
              <w:rPr>
                <w:sz w:val="20"/>
                <w:szCs w:val="20"/>
              </w:rPr>
            </w:pPr>
            <w:r>
              <w:rPr>
                <w:sz w:val="20"/>
                <w:szCs w:val="20"/>
              </w:rPr>
              <w:t xml:space="preserve">HSFO </w:t>
            </w:r>
          </w:p>
        </w:tc>
        <w:tc>
          <w:tcPr>
            <w:tcW w:w="1008" w:type="dxa"/>
            <w:tcBorders/>
          </w:tcPr>
          <w:p>
            <w:pPr>
              <w:pStyle w:val="Normal"/>
              <w:keepNext w:val="true"/>
              <w:tabs>
                <w:tab w:val="clear" w:pos="720"/>
                <w:tab w:val="decimal" w:pos="467" w:leader="none"/>
              </w:tabs>
              <w:rPr>
                <w:sz w:val="20"/>
                <w:szCs w:val="20"/>
              </w:rPr>
            </w:pPr>
            <w:r>
              <w:rPr>
                <w:sz w:val="20"/>
                <w:szCs w:val="20"/>
              </w:rPr>
              <w:t>77.3</w:t>
            </w:r>
          </w:p>
        </w:tc>
        <w:tc>
          <w:tcPr>
            <w:tcW w:w="1008" w:type="dxa"/>
            <w:tcBorders/>
          </w:tcPr>
          <w:p>
            <w:pPr>
              <w:pStyle w:val="Normal"/>
              <w:keepNext w:val="true"/>
              <w:tabs>
                <w:tab w:val="clear" w:pos="720"/>
                <w:tab w:val="decimal" w:pos="431" w:leader="none"/>
              </w:tabs>
              <w:rPr>
                <w:sz w:val="20"/>
                <w:szCs w:val="20"/>
              </w:rPr>
            </w:pPr>
            <w:r>
              <w:rPr>
                <w:sz w:val="20"/>
                <w:szCs w:val="20"/>
              </w:rPr>
              <w:t>72.6</w:t>
            </w:r>
          </w:p>
        </w:tc>
        <w:tc>
          <w:tcPr>
            <w:tcW w:w="1008" w:type="dxa"/>
            <w:tcBorders/>
          </w:tcPr>
          <w:p>
            <w:pPr>
              <w:pStyle w:val="Normal"/>
              <w:keepNext w:val="true"/>
              <w:tabs>
                <w:tab w:val="clear" w:pos="720"/>
                <w:tab w:val="decimal" w:pos="413" w:leader="none"/>
              </w:tabs>
              <w:rPr>
                <w:sz w:val="20"/>
                <w:szCs w:val="20"/>
              </w:rPr>
            </w:pPr>
            <w:r>
              <w:rPr>
                <w:sz w:val="20"/>
                <w:szCs w:val="20"/>
              </w:rPr>
              <w:t>79.3</w:t>
            </w:r>
          </w:p>
        </w:tc>
        <w:tc>
          <w:tcPr>
            <w:tcW w:w="1008" w:type="dxa"/>
            <w:tcBorders/>
          </w:tcPr>
          <w:p>
            <w:pPr>
              <w:pStyle w:val="Normal"/>
              <w:keepNext w:val="true"/>
              <w:tabs>
                <w:tab w:val="clear" w:pos="720"/>
                <w:tab w:val="decimal" w:pos="449" w:leader="none"/>
              </w:tabs>
              <w:rPr>
                <w:sz w:val="20"/>
                <w:szCs w:val="20"/>
              </w:rPr>
            </w:pPr>
            <w:r>
              <w:rPr>
                <w:sz w:val="20"/>
                <w:szCs w:val="20"/>
              </w:rPr>
              <w:t>74.8</w:t>
            </w:r>
          </w:p>
        </w:tc>
        <w:tc>
          <w:tcPr>
            <w:tcW w:w="1008" w:type="dxa"/>
            <w:tcBorders/>
          </w:tcPr>
          <w:p>
            <w:pPr>
              <w:pStyle w:val="Normal"/>
              <w:keepNext w:val="true"/>
              <w:tabs>
                <w:tab w:val="clear" w:pos="720"/>
                <w:tab w:val="decimal" w:pos="449" w:leader="none"/>
              </w:tabs>
              <w:rPr>
                <w:sz w:val="20"/>
                <w:szCs w:val="20"/>
              </w:rPr>
            </w:pPr>
            <w:r>
              <w:rPr>
                <w:sz w:val="20"/>
                <w:szCs w:val="20"/>
              </w:rPr>
              <w:t>73.5</w:t>
            </w:r>
          </w:p>
        </w:tc>
      </w:tr>
      <w:tr>
        <w:trPr/>
        <w:tc>
          <w:tcPr>
            <w:tcW w:w="1414" w:type="dxa"/>
            <w:tcBorders/>
          </w:tcPr>
          <w:p>
            <w:pPr>
              <w:pStyle w:val="Normal"/>
              <w:keepNext w:val="true"/>
              <w:rPr>
                <w:sz w:val="20"/>
                <w:szCs w:val="20"/>
              </w:rPr>
            </w:pPr>
            <w:r>
              <w:rPr>
                <w:sz w:val="20"/>
                <w:szCs w:val="20"/>
              </w:rPr>
              <w:t xml:space="preserve">Med  </w:t>
            </w:r>
          </w:p>
        </w:tc>
        <w:tc>
          <w:tcPr>
            <w:tcW w:w="1649" w:type="dxa"/>
            <w:tcBorders/>
          </w:tcPr>
          <w:p>
            <w:pPr>
              <w:pStyle w:val="Normal"/>
              <w:keepNext w:val="true"/>
              <w:rPr>
                <w:sz w:val="20"/>
                <w:szCs w:val="20"/>
              </w:rPr>
            </w:pPr>
            <w:r>
              <w:rPr>
                <w:sz w:val="20"/>
                <w:szCs w:val="20"/>
              </w:rPr>
              <w:t xml:space="preserve">LSFO </w:t>
            </w:r>
          </w:p>
        </w:tc>
        <w:tc>
          <w:tcPr>
            <w:tcW w:w="1008" w:type="dxa"/>
            <w:tcBorders/>
          </w:tcPr>
          <w:p>
            <w:pPr>
              <w:pStyle w:val="Normal"/>
              <w:keepNext w:val="true"/>
              <w:tabs>
                <w:tab w:val="clear" w:pos="720"/>
                <w:tab w:val="decimal" w:pos="467" w:leader="none"/>
              </w:tabs>
              <w:rPr>
                <w:sz w:val="20"/>
                <w:szCs w:val="20"/>
              </w:rPr>
            </w:pPr>
            <w:r>
              <w:rPr>
                <w:sz w:val="20"/>
                <w:szCs w:val="20"/>
              </w:rPr>
              <w:t>83.6</w:t>
            </w:r>
          </w:p>
        </w:tc>
        <w:tc>
          <w:tcPr>
            <w:tcW w:w="1008" w:type="dxa"/>
            <w:tcBorders/>
          </w:tcPr>
          <w:p>
            <w:pPr>
              <w:pStyle w:val="Normal"/>
              <w:keepNext w:val="true"/>
              <w:tabs>
                <w:tab w:val="clear" w:pos="720"/>
                <w:tab w:val="decimal" w:pos="431" w:leader="none"/>
              </w:tabs>
              <w:rPr>
                <w:sz w:val="20"/>
                <w:szCs w:val="20"/>
              </w:rPr>
            </w:pPr>
            <w:r>
              <w:rPr>
                <w:sz w:val="20"/>
                <w:szCs w:val="20"/>
              </w:rPr>
              <w:t>76.1</w:t>
            </w:r>
          </w:p>
        </w:tc>
        <w:tc>
          <w:tcPr>
            <w:tcW w:w="1008" w:type="dxa"/>
            <w:tcBorders/>
          </w:tcPr>
          <w:p>
            <w:pPr>
              <w:pStyle w:val="Normal"/>
              <w:keepNext w:val="true"/>
              <w:tabs>
                <w:tab w:val="clear" w:pos="720"/>
                <w:tab w:val="decimal" w:pos="413" w:leader="none"/>
              </w:tabs>
              <w:rPr>
                <w:sz w:val="20"/>
                <w:szCs w:val="20"/>
              </w:rPr>
            </w:pPr>
            <w:r>
              <w:rPr>
                <w:sz w:val="20"/>
                <w:szCs w:val="20"/>
              </w:rPr>
              <w:t>82.4</w:t>
            </w:r>
          </w:p>
        </w:tc>
        <w:tc>
          <w:tcPr>
            <w:tcW w:w="1008" w:type="dxa"/>
            <w:tcBorders/>
          </w:tcPr>
          <w:p>
            <w:pPr>
              <w:pStyle w:val="Normal"/>
              <w:keepNext w:val="true"/>
              <w:tabs>
                <w:tab w:val="clear" w:pos="720"/>
                <w:tab w:val="decimal" w:pos="449" w:leader="none"/>
              </w:tabs>
              <w:rPr>
                <w:sz w:val="20"/>
                <w:szCs w:val="20"/>
              </w:rPr>
            </w:pPr>
            <w:r>
              <w:rPr>
                <w:sz w:val="20"/>
                <w:szCs w:val="20"/>
              </w:rPr>
              <w:t>71.5</w:t>
            </w:r>
          </w:p>
        </w:tc>
        <w:tc>
          <w:tcPr>
            <w:tcW w:w="1008" w:type="dxa"/>
            <w:tcBorders/>
          </w:tcPr>
          <w:p>
            <w:pPr>
              <w:pStyle w:val="Normal"/>
              <w:keepNext w:val="true"/>
              <w:tabs>
                <w:tab w:val="clear" w:pos="720"/>
                <w:tab w:val="decimal" w:pos="449" w:leader="none"/>
              </w:tabs>
              <w:rPr>
                <w:sz w:val="20"/>
                <w:szCs w:val="20"/>
              </w:rPr>
            </w:pPr>
            <w:r>
              <w:rPr>
                <w:sz w:val="20"/>
                <w:szCs w:val="20"/>
              </w:rPr>
              <w:t>69.7</w:t>
            </w:r>
          </w:p>
        </w:tc>
      </w:tr>
      <w:tr>
        <w:trPr/>
        <w:tc>
          <w:tcPr>
            <w:tcW w:w="1414" w:type="dxa"/>
            <w:tcBorders/>
          </w:tcPr>
          <w:p>
            <w:pPr>
              <w:pStyle w:val="Normal"/>
              <w:keepNext w:val="true"/>
              <w:rPr>
                <w:sz w:val="20"/>
                <w:szCs w:val="20"/>
              </w:rPr>
            </w:pPr>
            <w:r>
              <w:rPr>
                <w:sz w:val="20"/>
                <w:szCs w:val="20"/>
              </w:rPr>
              <w:t xml:space="preserve">Med </w:t>
            </w:r>
          </w:p>
        </w:tc>
        <w:tc>
          <w:tcPr>
            <w:tcW w:w="1649" w:type="dxa"/>
            <w:tcBorders/>
          </w:tcPr>
          <w:p>
            <w:pPr>
              <w:pStyle w:val="Normal"/>
              <w:keepNext w:val="true"/>
              <w:rPr>
                <w:sz w:val="20"/>
                <w:szCs w:val="20"/>
              </w:rPr>
            </w:pPr>
            <w:r>
              <w:rPr>
                <w:sz w:val="20"/>
                <w:szCs w:val="20"/>
              </w:rPr>
              <w:t xml:space="preserve">HSFO </w:t>
            </w:r>
          </w:p>
        </w:tc>
        <w:tc>
          <w:tcPr>
            <w:tcW w:w="1008" w:type="dxa"/>
            <w:tcBorders/>
          </w:tcPr>
          <w:p>
            <w:pPr>
              <w:pStyle w:val="Normal"/>
              <w:keepNext w:val="true"/>
              <w:tabs>
                <w:tab w:val="clear" w:pos="720"/>
                <w:tab w:val="decimal" w:pos="467" w:leader="none"/>
              </w:tabs>
              <w:rPr>
                <w:sz w:val="20"/>
                <w:szCs w:val="20"/>
              </w:rPr>
            </w:pPr>
            <w:r>
              <w:rPr>
                <w:sz w:val="20"/>
                <w:szCs w:val="20"/>
              </w:rPr>
              <w:t>79.4</w:t>
            </w:r>
          </w:p>
        </w:tc>
        <w:tc>
          <w:tcPr>
            <w:tcW w:w="1008" w:type="dxa"/>
            <w:tcBorders/>
          </w:tcPr>
          <w:p>
            <w:pPr>
              <w:pStyle w:val="Normal"/>
              <w:keepNext w:val="true"/>
              <w:tabs>
                <w:tab w:val="clear" w:pos="720"/>
                <w:tab w:val="decimal" w:pos="431" w:leader="none"/>
              </w:tabs>
              <w:rPr>
                <w:sz w:val="20"/>
                <w:szCs w:val="20"/>
              </w:rPr>
            </w:pPr>
            <w:r>
              <w:rPr>
                <w:sz w:val="20"/>
                <w:szCs w:val="20"/>
              </w:rPr>
              <w:t>75.7</w:t>
            </w:r>
          </w:p>
        </w:tc>
        <w:tc>
          <w:tcPr>
            <w:tcW w:w="1008" w:type="dxa"/>
            <w:tcBorders/>
          </w:tcPr>
          <w:p>
            <w:pPr>
              <w:pStyle w:val="Normal"/>
              <w:keepNext w:val="true"/>
              <w:tabs>
                <w:tab w:val="clear" w:pos="720"/>
                <w:tab w:val="decimal" w:pos="413" w:leader="none"/>
              </w:tabs>
              <w:rPr>
                <w:sz w:val="20"/>
                <w:szCs w:val="20"/>
              </w:rPr>
            </w:pPr>
            <w:r>
              <w:rPr>
                <w:sz w:val="20"/>
                <w:szCs w:val="20"/>
              </w:rPr>
              <w:t>82.1</w:t>
            </w:r>
          </w:p>
        </w:tc>
        <w:tc>
          <w:tcPr>
            <w:tcW w:w="1008" w:type="dxa"/>
            <w:tcBorders/>
          </w:tcPr>
          <w:p>
            <w:pPr>
              <w:pStyle w:val="Normal"/>
              <w:keepNext w:val="true"/>
              <w:tabs>
                <w:tab w:val="clear" w:pos="720"/>
                <w:tab w:val="decimal" w:pos="449" w:leader="none"/>
              </w:tabs>
              <w:rPr>
                <w:sz w:val="20"/>
                <w:szCs w:val="20"/>
              </w:rPr>
            </w:pPr>
            <w:r>
              <w:rPr>
                <w:sz w:val="20"/>
                <w:szCs w:val="20"/>
              </w:rPr>
              <w:t>76.2</w:t>
            </w:r>
          </w:p>
        </w:tc>
        <w:tc>
          <w:tcPr>
            <w:tcW w:w="1008" w:type="dxa"/>
            <w:tcBorders/>
          </w:tcPr>
          <w:p>
            <w:pPr>
              <w:pStyle w:val="Normal"/>
              <w:keepNext w:val="true"/>
              <w:tabs>
                <w:tab w:val="clear" w:pos="720"/>
                <w:tab w:val="decimal" w:pos="449" w:leader="none"/>
              </w:tabs>
              <w:rPr>
                <w:sz w:val="20"/>
                <w:szCs w:val="20"/>
              </w:rPr>
            </w:pPr>
            <w:r>
              <w:rPr>
                <w:sz w:val="20"/>
                <w:szCs w:val="20"/>
              </w:rPr>
              <w:t>74.4</w:t>
            </w:r>
          </w:p>
        </w:tc>
      </w:tr>
      <w:tr>
        <w:trPr/>
        <w:tc>
          <w:tcPr>
            <w:tcW w:w="1414" w:type="dxa"/>
            <w:tcBorders/>
          </w:tcPr>
          <w:p>
            <w:pPr>
              <w:pStyle w:val="Normal"/>
              <w:keepNext w:val="true"/>
              <w:rPr>
                <w:sz w:val="20"/>
                <w:szCs w:val="20"/>
              </w:rPr>
            </w:pPr>
            <w:r>
              <w:rPr>
                <w:sz w:val="20"/>
                <w:szCs w:val="20"/>
              </w:rPr>
              <w:t xml:space="preserve">Sing. </w:t>
            </w:r>
          </w:p>
        </w:tc>
        <w:tc>
          <w:tcPr>
            <w:tcW w:w="1649" w:type="dxa"/>
            <w:tcBorders/>
          </w:tcPr>
          <w:p>
            <w:pPr>
              <w:pStyle w:val="Normal"/>
              <w:keepNext w:val="true"/>
              <w:rPr>
                <w:sz w:val="20"/>
                <w:szCs w:val="20"/>
              </w:rPr>
            </w:pPr>
            <w:r>
              <w:rPr>
                <w:sz w:val="20"/>
                <w:szCs w:val="20"/>
              </w:rPr>
              <w:t>LSWR</w:t>
            </w:r>
          </w:p>
        </w:tc>
        <w:tc>
          <w:tcPr>
            <w:tcW w:w="1008" w:type="dxa"/>
            <w:tcBorders/>
          </w:tcPr>
          <w:p>
            <w:pPr>
              <w:pStyle w:val="Normal"/>
              <w:keepNext w:val="true"/>
              <w:tabs>
                <w:tab w:val="clear" w:pos="720"/>
                <w:tab w:val="decimal" w:pos="467" w:leader="none"/>
              </w:tabs>
              <w:rPr>
                <w:sz w:val="20"/>
                <w:szCs w:val="20"/>
              </w:rPr>
            </w:pPr>
            <w:r>
              <w:rPr>
                <w:sz w:val="20"/>
                <w:szCs w:val="20"/>
              </w:rPr>
              <w:t>86.7</w:t>
            </w:r>
          </w:p>
        </w:tc>
        <w:tc>
          <w:tcPr>
            <w:tcW w:w="1008" w:type="dxa"/>
            <w:tcBorders/>
          </w:tcPr>
          <w:p>
            <w:pPr>
              <w:pStyle w:val="Normal"/>
              <w:keepNext w:val="true"/>
              <w:tabs>
                <w:tab w:val="clear" w:pos="720"/>
                <w:tab w:val="decimal" w:pos="431" w:leader="none"/>
              </w:tabs>
              <w:rPr>
                <w:sz w:val="20"/>
                <w:szCs w:val="20"/>
              </w:rPr>
            </w:pPr>
            <w:r>
              <w:rPr>
                <w:sz w:val="20"/>
                <w:szCs w:val="20"/>
              </w:rPr>
              <w:t>85.8</w:t>
            </w:r>
          </w:p>
        </w:tc>
        <w:tc>
          <w:tcPr>
            <w:tcW w:w="1008" w:type="dxa"/>
            <w:tcBorders/>
          </w:tcPr>
          <w:p>
            <w:pPr>
              <w:pStyle w:val="Normal"/>
              <w:keepNext w:val="true"/>
              <w:tabs>
                <w:tab w:val="clear" w:pos="720"/>
                <w:tab w:val="decimal" w:pos="413" w:leader="none"/>
              </w:tabs>
              <w:rPr>
                <w:sz w:val="20"/>
                <w:szCs w:val="20"/>
              </w:rPr>
            </w:pPr>
            <w:r>
              <w:rPr>
                <w:sz w:val="20"/>
                <w:szCs w:val="20"/>
              </w:rPr>
              <w:t>90.8</w:t>
            </w:r>
          </w:p>
        </w:tc>
        <w:tc>
          <w:tcPr>
            <w:tcW w:w="1008" w:type="dxa"/>
            <w:tcBorders/>
          </w:tcPr>
          <w:p>
            <w:pPr>
              <w:pStyle w:val="Normal"/>
              <w:keepNext w:val="true"/>
              <w:tabs>
                <w:tab w:val="clear" w:pos="720"/>
                <w:tab w:val="decimal" w:pos="449" w:leader="none"/>
              </w:tabs>
              <w:rPr>
                <w:sz w:val="20"/>
                <w:szCs w:val="20"/>
              </w:rPr>
            </w:pPr>
            <w:r>
              <w:rPr>
                <w:sz w:val="20"/>
                <w:szCs w:val="20"/>
              </w:rPr>
              <w:t>88.5</w:t>
            </w:r>
          </w:p>
        </w:tc>
        <w:tc>
          <w:tcPr>
            <w:tcW w:w="1008" w:type="dxa"/>
            <w:tcBorders/>
          </w:tcPr>
          <w:p>
            <w:pPr>
              <w:pStyle w:val="Normal"/>
              <w:keepNext w:val="true"/>
              <w:tabs>
                <w:tab w:val="clear" w:pos="720"/>
                <w:tab w:val="decimal" w:pos="449" w:leader="none"/>
              </w:tabs>
              <w:rPr>
                <w:sz w:val="20"/>
                <w:szCs w:val="20"/>
              </w:rPr>
            </w:pPr>
            <w:r>
              <w:rPr>
                <w:sz w:val="20"/>
                <w:szCs w:val="20"/>
              </w:rPr>
              <w:t>87.8</w:t>
            </w:r>
          </w:p>
        </w:tc>
      </w:tr>
      <w:tr>
        <w:trPr/>
        <w:tc>
          <w:tcPr>
            <w:tcW w:w="1414" w:type="dxa"/>
            <w:tcBorders/>
          </w:tcPr>
          <w:p>
            <w:pPr>
              <w:pStyle w:val="Normal"/>
              <w:keepNext w:val="true"/>
              <w:rPr>
                <w:sz w:val="20"/>
                <w:szCs w:val="20"/>
              </w:rPr>
            </w:pPr>
            <w:r>
              <w:rPr>
                <w:sz w:val="20"/>
                <w:szCs w:val="20"/>
              </w:rPr>
              <w:t>Sing.</w:t>
            </w:r>
          </w:p>
        </w:tc>
        <w:tc>
          <w:tcPr>
            <w:tcW w:w="1649" w:type="dxa"/>
            <w:tcBorders/>
          </w:tcPr>
          <w:p>
            <w:pPr>
              <w:pStyle w:val="Normal"/>
              <w:keepNext w:val="true"/>
              <w:rPr>
                <w:sz w:val="20"/>
                <w:szCs w:val="20"/>
              </w:rPr>
            </w:pPr>
            <w:r>
              <w:rPr>
                <w:sz w:val="20"/>
                <w:szCs w:val="20"/>
              </w:rPr>
              <w:t xml:space="preserve">HSFO  </w:t>
            </w:r>
          </w:p>
        </w:tc>
        <w:tc>
          <w:tcPr>
            <w:tcW w:w="1008" w:type="dxa"/>
            <w:tcBorders/>
          </w:tcPr>
          <w:p>
            <w:pPr>
              <w:pStyle w:val="Normal"/>
              <w:keepNext w:val="true"/>
              <w:tabs>
                <w:tab w:val="clear" w:pos="720"/>
                <w:tab w:val="decimal" w:pos="467" w:leader="none"/>
              </w:tabs>
              <w:rPr>
                <w:sz w:val="20"/>
                <w:szCs w:val="20"/>
              </w:rPr>
            </w:pPr>
            <w:r>
              <w:rPr>
                <w:sz w:val="20"/>
                <w:szCs w:val="20"/>
              </w:rPr>
              <w:t>90.1</w:t>
            </w:r>
          </w:p>
        </w:tc>
        <w:tc>
          <w:tcPr>
            <w:tcW w:w="1008" w:type="dxa"/>
            <w:tcBorders/>
          </w:tcPr>
          <w:p>
            <w:pPr>
              <w:pStyle w:val="Normal"/>
              <w:keepNext w:val="true"/>
              <w:tabs>
                <w:tab w:val="clear" w:pos="720"/>
                <w:tab w:val="decimal" w:pos="431" w:leader="none"/>
              </w:tabs>
              <w:rPr>
                <w:sz w:val="20"/>
                <w:szCs w:val="20"/>
              </w:rPr>
            </w:pPr>
            <w:r>
              <w:rPr>
                <w:sz w:val="20"/>
                <w:szCs w:val="20"/>
              </w:rPr>
              <w:t>87.4</w:t>
            </w:r>
          </w:p>
        </w:tc>
        <w:tc>
          <w:tcPr>
            <w:tcW w:w="1008" w:type="dxa"/>
            <w:tcBorders/>
          </w:tcPr>
          <w:p>
            <w:pPr>
              <w:pStyle w:val="Normal"/>
              <w:keepNext w:val="true"/>
              <w:tabs>
                <w:tab w:val="clear" w:pos="720"/>
                <w:tab w:val="decimal" w:pos="413" w:leader="none"/>
              </w:tabs>
              <w:rPr>
                <w:sz w:val="20"/>
                <w:szCs w:val="20"/>
              </w:rPr>
            </w:pPr>
            <w:r>
              <w:rPr>
                <w:sz w:val="20"/>
                <w:szCs w:val="20"/>
              </w:rPr>
              <w:t>96.7</w:t>
            </w:r>
          </w:p>
        </w:tc>
        <w:tc>
          <w:tcPr>
            <w:tcW w:w="1008" w:type="dxa"/>
            <w:tcBorders/>
          </w:tcPr>
          <w:p>
            <w:pPr>
              <w:pStyle w:val="Normal"/>
              <w:keepNext w:val="true"/>
              <w:tabs>
                <w:tab w:val="clear" w:pos="720"/>
                <w:tab w:val="decimal" w:pos="449" w:leader="none"/>
              </w:tabs>
              <w:rPr>
                <w:sz w:val="20"/>
                <w:szCs w:val="20"/>
              </w:rPr>
            </w:pPr>
            <w:r>
              <w:rPr>
                <w:sz w:val="20"/>
                <w:szCs w:val="20"/>
              </w:rPr>
              <w:t>93.3</w:t>
            </w:r>
          </w:p>
        </w:tc>
        <w:tc>
          <w:tcPr>
            <w:tcW w:w="1008" w:type="dxa"/>
            <w:tcBorders/>
          </w:tcPr>
          <w:p>
            <w:pPr>
              <w:pStyle w:val="Normal"/>
              <w:keepNext w:val="true"/>
              <w:tabs>
                <w:tab w:val="clear" w:pos="720"/>
                <w:tab w:val="decimal" w:pos="449" w:leader="none"/>
              </w:tabs>
              <w:rPr>
                <w:sz w:val="20"/>
                <w:szCs w:val="20"/>
              </w:rPr>
            </w:pPr>
            <w:r>
              <w:rPr>
                <w:sz w:val="20"/>
                <w:szCs w:val="20"/>
              </w:rPr>
              <w:t>90.4</w:t>
            </w:r>
          </w:p>
        </w:tc>
      </w:tr>
    </w:tbl>
    <w:p>
      <w:pPr>
        <w:pStyle w:val="Normal"/>
        <w:ind w:firstLine="900" w:end="0"/>
        <w:rPr/>
      </w:pPr>
      <w:r>
        <w:rPr>
          <w:b/>
          <w:bCs/>
          <w:sz w:val="20"/>
          <w:szCs w:val="20"/>
        </w:rPr>
        <w:t xml:space="preserve">*  </w:t>
      </w:r>
      <w:r>
        <w:rPr>
          <w:sz w:val="20"/>
          <w:szCs w:val="20"/>
        </w:rPr>
        <w:t>Determined on a Caribbean netback basis</w:t>
      </w:r>
    </w:p>
    <w:p>
      <w:pPr>
        <w:pStyle w:val="Normal"/>
        <w:rPr>
          <w:sz w:val="20"/>
          <w:szCs w:val="20"/>
        </w:rPr>
      </w:pPr>
      <w:r>
        <w:rPr>
          <w:sz w:val="20"/>
          <w:szCs w:val="20"/>
        </w:rPr>
      </w:r>
    </w:p>
    <w:p>
      <w:pPr>
        <w:pStyle w:val="Normal"/>
        <w:rPr/>
      </w:pPr>
      <w:r>
        <w:rPr/>
        <w:t>The calculated MARS for fuel oil declined dramatically in December as it did in November in all major markets and for all grades of fuel oil except the LSFO 0.3%S grade in New York Harbor which was strong.  Fuel oil prices could not keep up with crude oil prices on a relative basis.  The sharpest declines in MARS were in the New York market for 1.0%S and HSFO while declines in the Far East as measured by the Singapore market and Europe proved to be more modest.</w:t>
      </w:r>
    </w:p>
    <w:p>
      <w:pPr>
        <w:pStyle w:val="Normal"/>
        <w:rPr/>
      </w:pPr>
      <w:r>
        <w:rPr/>
      </w:r>
    </w:p>
    <w:p>
      <w:pPr>
        <w:pStyle w:val="Normal"/>
        <w:rPr/>
      </w:pPr>
      <w:r>
        <w:rPr/>
        <w:t>In New York, LSFO 0.3% prices were strong with the MARS bouncing off November lows to 83.7%.  The LSFO 1.0%S and HSFO markets showed relative weakness with LSFO 1%S MARS slipping to 67.7% from 73.2% in November.  This is a six-month low for LSFO 1.0%S.  HSFO’s MARS in December declined to 71.6% from 73.2% in November.  December’s level is approaching six-month lows established last July.</w:t>
      </w:r>
    </w:p>
    <w:p>
      <w:pPr>
        <w:pStyle w:val="Normal"/>
        <w:rPr/>
      </w:pPr>
      <w:r>
        <w:rPr/>
      </w:r>
    </w:p>
    <w:p>
      <w:pPr>
        <w:pStyle w:val="Normal"/>
        <w:rPr/>
      </w:pPr>
      <w:r>
        <w:rPr/>
        <w:t>In Northwest Europe and the Med, the relative strength of all grades of fuel oil declined.  However, while low sulfur (1.0%S) grades tested six-month lows, high-sulfur grades were well above six-month lows.  Northwest Europe posted December MARS of 72.1% for LSFO and 73.5% for HSFO while in the Med LSFO’s MARS for December stood at 69.7% while HSFO’s was 74.4%.</w:t>
      </w:r>
    </w:p>
    <w:p>
      <w:pPr>
        <w:pStyle w:val="Normal"/>
        <w:rPr/>
      </w:pPr>
      <w:r>
        <w:rPr/>
      </w:r>
    </w:p>
    <w:p>
      <w:pPr>
        <w:pStyle w:val="Normal"/>
        <w:rPr/>
      </w:pPr>
      <w:r>
        <w:rPr/>
        <w:t>In the Far East, the relative strength of fuel oil prices also declined with LSWR falling to 87.8% in December versus 88.5% in November.  HSFO’s MARS was 90.4% in December versus 93.3% in November.</w:t>
      </w:r>
    </w:p>
    <w:p>
      <w:pPr>
        <w:pStyle w:val="Normal"/>
        <w:rPr/>
      </w:pPr>
      <w:r>
        <w:rPr/>
      </w:r>
    </w:p>
    <w:p>
      <w:pPr>
        <w:pStyle w:val="Normal"/>
        <w:rPr/>
      </w:pPr>
      <w:r>
        <w:rPr/>
        <w:t>In December, as in November, fuel oil prices were weak relative to crude prices.  This trend reflects more the strength in the crude oil markets rather that weakness in fuel oil prices.</w:t>
      </w:r>
    </w:p>
    <w:p>
      <w:pPr>
        <w:pStyle w:val="Normal"/>
        <w:rPr/>
      </w:pPr>
      <w:r>
        <w:rPr/>
      </w:r>
    </w:p>
    <w:p>
      <w:pPr>
        <w:pStyle w:val="Normal"/>
        <w:rPr/>
      </w:pPr>
      <w:r>
        <w:rPr/>
        <w:t>In the Western Hemisphere, the LSFO 0.3%S market was strong mostly reflecting utility demand.  High sulfur demand was more muted.  However, Mexico purchased at least three cargoes of high sulfur fuel oil from the Gulf Coast in December.</w:t>
      </w:r>
    </w:p>
    <w:p>
      <w:pPr>
        <w:pStyle w:val="Normal"/>
        <w:rPr/>
      </w:pPr>
      <w:r>
        <w:rPr/>
      </w:r>
    </w:p>
    <w:p>
      <w:pPr>
        <w:pStyle w:val="Normal"/>
        <w:rPr/>
      </w:pPr>
      <w:r>
        <w:rPr/>
        <w:t>In Europe, some low sulfur resids continued to be downgraded into the bunker market.  Russian fuel oil exports are believed to have declined further in December following the implementation of a high fuel oil export tariff.  November fuel oil exports were about 1.8 million tons down from 2.1 million tons in October.</w:t>
      </w:r>
    </w:p>
    <w:p>
      <w:pPr>
        <w:pStyle w:val="Normal"/>
        <w:rPr/>
      </w:pPr>
      <w:r>
        <w:rPr/>
      </w:r>
    </w:p>
    <w:p>
      <w:pPr>
        <w:pStyle w:val="Normal"/>
        <w:rPr/>
      </w:pPr>
      <w:r>
        <w:rPr/>
        <w:t>The Far East market for fuel oil remained relatively strong in December when compared to the other regions of the world.  Refinery runs in Singapore are down as poor refining margins there limit capacity utilization and fuel oil production.  This situation was being offset by high refinery runs in Korea where fuel oil exports are large.  Thai Oil’s 220,000 b/d Bangkok refinery is expected to be down for several months following a fire at its storage facilities in early December.  The cause of the fire is being investigated.  China’s fuel oil production is expected to rise significantly in the coming months, as local refiners process more crude.  The increased production is expected to help reduce imports in China.  Meanwhile, LSWR sales were primarily destined for typical Japanese and Korean markets.  However, some LSWR co-loaded with crude oil was reported moving to the US.</w:t>
      </w:r>
    </w:p>
    <w:p>
      <w:pPr>
        <w:pStyle w:val="Heading4"/>
        <w:ind w:hanging="0" w:start="0"/>
        <w:rPr>
          <w:b w:val="false"/>
          <w:bCs w:val="false"/>
          <w:color w:val="FFFFFF"/>
        </w:rPr>
      </w:pPr>
      <w:r>
        <w:rPr>
          <w:b w:val="false"/>
          <w:bCs w:val="false"/>
          <w:color w:val="FFFFFF"/>
        </w:rPr>
      </w:r>
    </w:p>
    <w:p>
      <w:pPr>
        <w:pStyle w:val="Heading4"/>
        <w:ind w:hanging="0" w:start="0"/>
        <w:rPr>
          <w:b w:val="false"/>
          <w:bCs w:val="false"/>
          <w:color w:val="FFFFFF"/>
        </w:rPr>
      </w:pPr>
      <w:r>
        <w:rPr>
          <w:b w:val="false"/>
          <w:bCs w:val="false"/>
          <w:color w:val="FFFFFF"/>
        </w:rPr>
      </w:r>
      <w:r>
        <w:br w:type="page"/>
      </w:r>
    </w:p>
    <w:p>
      <w:pPr>
        <w:pStyle w:val="Heading4"/>
        <w:ind w:hanging="0" w:start="0"/>
        <w:rPr/>
      </w:pPr>
      <w:r>
        <w:rPr/>
        <w:t>Figure II-A:  Spot Crude Oil Prices</w:t>
      </w:r>
    </w:p>
    <w:p>
      <w:pPr>
        <w:pStyle w:val="Normal"/>
        <w:rPr/>
      </w:pPr>
      <w:r>
        <w:rPr/>
      </w:r>
    </w:p>
    <w:p>
      <w:pPr>
        <w:pStyle w:val="Normal"/>
        <w:jc w:val="center"/>
        <w:rPr/>
      </w:pPr>
      <w:r>
        <w:rPr/>
        <w:drawing>
          <wp:inline distT="0" distB="0" distL="0" distR="0">
            <wp:extent cx="5929630" cy="427926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3"/>
                    <a:stretch>
                      <a:fillRect/>
                    </a:stretch>
                  </pic:blipFill>
                  <pic:spPr bwMode="auto">
                    <a:xfrm>
                      <a:off x="0" y="0"/>
                      <a:ext cx="5929630" cy="4279265"/>
                    </a:xfrm>
                    <a:prstGeom prst="rect">
                      <a:avLst/>
                    </a:prstGeom>
                    <a:noFill/>
                  </pic:spPr>
                </pic:pic>
              </a:graphicData>
            </a:graphic>
          </wp:inline>
        </w:drawing>
      </w:r>
    </w:p>
    <w:p>
      <w:pPr>
        <w:pStyle w:val="Normal"/>
        <w:jc w:val="center"/>
        <w:rPr/>
      </w:pPr>
      <w:r>
        <w:rPr/>
      </w:r>
    </w:p>
    <w:p>
      <w:pPr>
        <w:pStyle w:val="Normal"/>
        <w:jc w:val="center"/>
        <w:rPr/>
      </w:pPr>
      <w:r>
        <w:rPr/>
      </w:r>
    </w:p>
    <w:p>
      <w:pPr>
        <w:pStyle w:val="Normal"/>
        <w:jc w:val="center"/>
        <w:rPr>
          <w:sz w:val="20"/>
          <w:szCs w:val="20"/>
        </w:rPr>
      </w:pPr>
      <w:r>
        <w:rPr>
          <w:sz w:val="20"/>
          <w:szCs w:val="20"/>
        </w:rPr>
        <w:t xml:space="preserve"> </w:t>
      </w:r>
      <w:r>
        <w:rPr>
          <w:sz w:val="20"/>
          <w:szCs w:val="20"/>
        </w:rPr>
        <w:t>(US$/Barrel)</w:t>
      </w:r>
    </w:p>
    <w:p>
      <w:pPr>
        <w:pStyle w:val="Normal"/>
        <w:jc w:val="center"/>
        <w:rPr>
          <w:sz w:val="20"/>
          <w:szCs w:val="20"/>
        </w:rPr>
      </w:pPr>
      <w:r>
        <w:rPr>
          <w:sz w:val="20"/>
          <w:szCs w:val="20"/>
        </w:rPr>
      </w:r>
    </w:p>
    <w:p>
      <w:pPr>
        <w:pStyle w:val="toptableII-A"/>
        <w:rPr/>
      </w:pPr>
      <w:r>
        <w:rPr/>
        <w:tab/>
        <w:t>Dubai</w:t>
        <w:tab/>
        <w:t>Dated</w:t>
        <w:tab/>
        <w:t>Bonny</w:t>
        <w:tab/>
        <w:br/>
      </w:r>
      <w:r>
        <w:rPr>
          <w:u w:val="single"/>
        </w:rPr>
        <w:t>Period</w:t>
      </w:r>
      <w:r>
        <w:rPr/>
        <w:tab/>
      </w:r>
      <w:r>
        <w:rPr>
          <w:u w:val="single"/>
        </w:rPr>
        <w:t>1st Month</w:t>
      </w:r>
      <w:r>
        <w:rPr/>
        <w:tab/>
      </w:r>
      <w:r>
        <w:rPr>
          <w:u w:val="single"/>
        </w:rPr>
        <w:t>Brent</w:t>
      </w:r>
      <w:r>
        <w:rPr/>
        <w:tab/>
      </w:r>
      <w:r>
        <w:rPr>
          <w:u w:val="single"/>
        </w:rPr>
        <w:t>Light</w:t>
      </w:r>
      <w:r>
        <w:rPr/>
        <w:tab/>
      </w:r>
      <w:r>
        <w:rPr>
          <w:u w:val="single"/>
        </w:rPr>
        <w:t>Minas</w:t>
      </w:r>
    </w:p>
    <w:p>
      <w:pPr>
        <w:pStyle w:val="bottableIIa"/>
        <w:rPr/>
      </w:pPr>
      <w:r>
        <w:rPr/>
        <w:t xml:space="preserve">Dec-99 </w:t>
        <w:tab/>
        <w:t xml:space="preserve">23.61 </w:t>
        <w:tab/>
        <w:t xml:space="preserve">25.57 </w:t>
        <w:tab/>
        <w:t xml:space="preserve">25.83 </w:t>
        <w:tab/>
        <w:t xml:space="preserve">24.19 </w:t>
      </w:r>
    </w:p>
    <w:p>
      <w:pPr>
        <w:pStyle w:val="bottableIIa"/>
        <w:rPr/>
      </w:pPr>
      <w:r>
        <w:rPr/>
        <w:t xml:space="preserve">Jan-00 </w:t>
        <w:tab/>
        <w:t xml:space="preserve">24.00 </w:t>
        <w:tab/>
        <w:t xml:space="preserve">25.60 </w:t>
        <w:tab/>
        <w:t xml:space="preserve">25.80 </w:t>
        <w:tab/>
        <w:t xml:space="preserve">24.50 </w:t>
      </w:r>
    </w:p>
    <w:p>
      <w:pPr>
        <w:pStyle w:val="bottableIIa"/>
        <w:rPr/>
      </w:pPr>
      <w:r>
        <w:rPr/>
        <w:t xml:space="preserve">Feb-00 </w:t>
        <w:tab/>
        <w:t xml:space="preserve">24.90 </w:t>
        <w:tab/>
        <w:t xml:space="preserve">26.20 </w:t>
        <w:tab/>
        <w:t xml:space="preserve">26.38 </w:t>
        <w:tab/>
        <w:t xml:space="preserve">25.40 </w:t>
      </w:r>
    </w:p>
    <w:p>
      <w:pPr>
        <w:pStyle w:val="bottableIIa"/>
        <w:rPr/>
      </w:pPr>
      <w:r>
        <w:rPr/>
        <w:t xml:space="preserve">Mar-00 </w:t>
        <w:tab/>
        <w:t xml:space="preserve">25.20 </w:t>
        <w:tab/>
        <w:t xml:space="preserve">26.25 </w:t>
        <w:tab/>
        <w:t xml:space="preserve">26.40 </w:t>
        <w:tab/>
        <w:t xml:space="preserve">25.70 </w:t>
      </w:r>
    </w:p>
    <w:p>
      <w:pPr>
        <w:pStyle w:val="bottableIIa"/>
        <w:rPr/>
      </w:pPr>
      <w:r>
        <w:rPr/>
        <w:t xml:space="preserve">Apr-00 </w:t>
        <w:tab/>
        <w:t xml:space="preserve">24.00 </w:t>
        <w:tab/>
        <w:t xml:space="preserve">25.00 </w:t>
        <w:tab/>
        <w:t xml:space="preserve">25.13 </w:t>
        <w:tab/>
        <w:t xml:space="preserve">24.50 </w:t>
      </w:r>
    </w:p>
    <w:p>
      <w:pPr>
        <w:pStyle w:val="bottableIIa"/>
        <w:rPr/>
      </w:pPr>
      <w:r>
        <w:rPr/>
        <w:t xml:space="preserve">May-00 </w:t>
        <w:tab/>
        <w:t xml:space="preserve">23.00 </w:t>
        <w:tab/>
        <w:t xml:space="preserve">24.00 </w:t>
        <w:tab/>
        <w:t xml:space="preserve">24.10 </w:t>
        <w:tab/>
        <w:t xml:space="preserve">23.30 </w:t>
      </w:r>
    </w:p>
    <w:p>
      <w:pPr>
        <w:pStyle w:val="bottableIIa"/>
        <w:rPr/>
      </w:pPr>
      <w:r>
        <w:rPr/>
        <w:t xml:space="preserve">Jun-00 </w:t>
        <w:tab/>
        <w:t xml:space="preserve">22.00 </w:t>
        <w:tab/>
        <w:t xml:space="preserve">22.95 </w:t>
        <w:tab/>
        <w:t xml:space="preserve">23.05 </w:t>
        <w:tab/>
        <w:t xml:space="preserve">22.10 </w:t>
      </w:r>
    </w:p>
    <w:p>
      <w:pPr>
        <w:pStyle w:val="bottableIIa"/>
        <w:rPr/>
      </w:pPr>
      <w:r>
        <w:rPr/>
        <w:t xml:space="preserve">Jul-00 </w:t>
        <w:tab/>
        <w:t xml:space="preserve">21.75 </w:t>
        <w:tab/>
        <w:t xml:space="preserve">22.70 </w:t>
        <w:tab/>
        <w:t xml:space="preserve">22.80 </w:t>
        <w:tab/>
        <w:t xml:space="preserve">21.85 </w:t>
      </w:r>
    </w:p>
    <w:p>
      <w:pPr>
        <w:pStyle w:val="bottableIIa"/>
        <w:rPr/>
      </w:pPr>
      <w:r>
        <w:rPr/>
        <w:t xml:space="preserve">Aug-00 </w:t>
        <w:tab/>
        <w:t xml:space="preserve">21.60 </w:t>
        <w:tab/>
        <w:t xml:space="preserve">22.55 </w:t>
        <w:tab/>
        <w:t xml:space="preserve">22.65 </w:t>
        <w:tab/>
        <w:t xml:space="preserve">21.90 </w:t>
      </w:r>
    </w:p>
    <w:p>
      <w:pPr>
        <w:pStyle w:val="bottableIIa"/>
        <w:rPr/>
      </w:pPr>
      <w:r>
        <w:rPr/>
        <w:t xml:space="preserve">Sep-00 </w:t>
        <w:tab/>
        <w:t xml:space="preserve">21.55 </w:t>
        <w:tab/>
        <w:t xml:space="preserve">22.50 </w:t>
        <w:tab/>
        <w:t xml:space="preserve">22.60 </w:t>
        <w:tab/>
        <w:t xml:space="preserve">22.05 </w:t>
      </w:r>
    </w:p>
    <w:p>
      <w:pPr>
        <w:pStyle w:val="bottableIIa"/>
        <w:rPr/>
      </w:pPr>
      <w:r>
        <w:rPr/>
        <w:t xml:space="preserve">Oct-00 </w:t>
        <w:tab/>
        <w:t xml:space="preserve">21.75 </w:t>
        <w:tab/>
        <w:t xml:space="preserve">22.70 </w:t>
        <w:tab/>
        <w:t xml:space="preserve">22.80 </w:t>
        <w:tab/>
        <w:t xml:space="preserve">22.25 </w:t>
      </w:r>
    </w:p>
    <w:p>
      <w:pPr>
        <w:pStyle w:val="bottableIIa"/>
        <w:rPr/>
      </w:pPr>
      <w:r>
        <w:rPr/>
        <w:t xml:space="preserve">Nov-00 </w:t>
        <w:tab/>
        <w:t xml:space="preserve">21.85 </w:t>
        <w:tab/>
        <w:t xml:space="preserve">22.85 </w:t>
        <w:tab/>
        <w:t xml:space="preserve">22.95 </w:t>
        <w:tab/>
        <w:t>22.35</w:t>
      </w:r>
    </w:p>
    <w:p>
      <w:pPr>
        <w:pStyle w:val="bottableIIa"/>
        <w:rPr/>
      </w:pPr>
      <w:r>
        <w:rPr/>
      </w:r>
    </w:p>
    <w:p>
      <w:pPr>
        <w:pStyle w:val="bottableIIa"/>
        <w:rPr/>
      </w:pPr>
      <w:r>
        <w:rPr/>
      </w:r>
      <w:r>
        <w:br w:type="page"/>
      </w:r>
    </w:p>
    <w:p>
      <w:pPr>
        <w:pStyle w:val="Heading4"/>
        <w:ind w:hanging="0" w:start="0"/>
        <w:rPr/>
      </w:pPr>
      <w:r>
        <w:rPr/>
        <w:t>Figure II-B:  Spot New York Harbor Resid Prices</w:t>
      </w:r>
    </w:p>
    <w:p>
      <w:pPr>
        <w:pStyle w:val="Normal"/>
        <w:rPr/>
      </w:pPr>
      <w:r>
        <w:rPr/>
      </w:r>
    </w:p>
    <w:p>
      <w:pPr>
        <w:pStyle w:val="Normal"/>
        <w:jc w:val="center"/>
        <w:rPr/>
      </w:pPr>
      <w:r>
        <w:rPr/>
        <w:drawing>
          <wp:inline distT="0" distB="0" distL="0" distR="0">
            <wp:extent cx="5929630" cy="427926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4"/>
                    <a:stretch>
                      <a:fillRect/>
                    </a:stretch>
                  </pic:blipFill>
                  <pic:spPr bwMode="auto">
                    <a:xfrm>
                      <a:off x="0" y="0"/>
                      <a:ext cx="5929630" cy="4279265"/>
                    </a:xfrm>
                    <a:prstGeom prst="rect">
                      <a:avLst/>
                    </a:prstGeom>
                    <a:noFill/>
                  </pic:spPr>
                </pic:pic>
              </a:graphicData>
            </a:graphic>
          </wp:inline>
        </w:drawing>
      </w:r>
    </w:p>
    <w:p>
      <w:pPr>
        <w:pStyle w:val="Normal"/>
        <w:jc w:val="center"/>
        <w:rPr/>
      </w:pPr>
      <w:r>
        <w:rPr/>
      </w:r>
    </w:p>
    <w:p>
      <w:pPr>
        <w:pStyle w:val="Normal"/>
        <w:jc w:val="center"/>
        <w:rPr>
          <w:sz w:val="20"/>
          <w:szCs w:val="20"/>
        </w:rPr>
      </w:pPr>
      <w:r>
        <w:rPr>
          <w:sz w:val="20"/>
          <w:szCs w:val="20"/>
        </w:rPr>
      </w:r>
    </w:p>
    <w:p>
      <w:pPr>
        <w:pStyle w:val="Normal"/>
        <w:jc w:val="center"/>
        <w:rPr>
          <w:sz w:val="20"/>
          <w:szCs w:val="20"/>
        </w:rPr>
      </w:pPr>
      <w:r>
        <w:rPr>
          <w:sz w:val="20"/>
          <w:szCs w:val="20"/>
        </w:rPr>
        <w:t xml:space="preserve"> </w:t>
      </w:r>
      <w:r>
        <w:rPr>
          <w:sz w:val="20"/>
          <w:szCs w:val="20"/>
        </w:rPr>
        <w:t>(US$/Barrel)</w:t>
      </w:r>
    </w:p>
    <w:p>
      <w:pPr>
        <w:pStyle w:val="Normal"/>
        <w:tabs>
          <w:tab w:val="clear" w:pos="720"/>
          <w:tab w:val="center" w:pos="2496" w:leader="none"/>
          <w:tab w:val="center" w:pos="4416" w:leader="none"/>
          <w:tab w:val="center" w:pos="6336" w:leader="none"/>
          <w:tab w:val="center" w:pos="8256" w:leader="none"/>
        </w:tabs>
        <w:spacing w:lineRule="exact" w:line="240"/>
        <w:jc w:val="center"/>
        <w:rPr/>
      </w:pPr>
      <w:r>
        <w:rPr/>
      </w:r>
    </w:p>
    <w:p>
      <w:pPr>
        <w:pStyle w:val="toptableII-B"/>
        <w:rPr/>
      </w:pPr>
      <w:r>
        <w:rPr>
          <w:u w:val="single"/>
        </w:rPr>
        <w:t>Period</w:t>
      </w:r>
      <w:r>
        <w:rPr/>
        <w:tab/>
      </w:r>
      <w:r>
        <w:rPr>
          <w:u w:val="single"/>
        </w:rPr>
        <w:t>0.3%S (HP)</w:t>
      </w:r>
      <w:r>
        <w:rPr/>
        <w:tab/>
      </w:r>
      <w:r>
        <w:rPr>
          <w:u w:val="single"/>
        </w:rPr>
        <w:t xml:space="preserve">No. 6 1%S </w:t>
      </w:r>
      <w:r>
        <w:rPr/>
        <w:tab/>
      </w:r>
      <w:r>
        <w:rPr>
          <w:u w:val="single"/>
        </w:rPr>
        <w:t>No. 6 3.0%S</w:t>
      </w:r>
    </w:p>
    <w:p>
      <w:pPr>
        <w:pStyle w:val="bottomtable2B"/>
        <w:rPr/>
      </w:pPr>
      <w:r>
        <w:rPr/>
        <w:t xml:space="preserve">Dec-99 </w:t>
        <w:tab/>
        <w:t xml:space="preserve">23.45 </w:t>
        <w:tab/>
        <w:t xml:space="preserve">19.21 </w:t>
        <w:tab/>
        <w:t xml:space="preserve">18.52 </w:t>
      </w:r>
    </w:p>
    <w:p>
      <w:pPr>
        <w:pStyle w:val="bottomtable2B"/>
        <w:rPr/>
      </w:pPr>
      <w:r>
        <w:rPr/>
        <w:t xml:space="preserve">Jan-00 </w:t>
        <w:tab/>
        <w:t xml:space="preserve">24.04 </w:t>
        <w:tab/>
        <w:t xml:space="preserve">20.09 </w:t>
        <w:tab/>
        <w:t xml:space="preserve">19.68 </w:t>
      </w:r>
    </w:p>
    <w:p>
      <w:pPr>
        <w:pStyle w:val="bottomtable2B"/>
        <w:rPr/>
      </w:pPr>
      <w:r>
        <w:rPr/>
        <w:t xml:space="preserve">Feb-00 </w:t>
        <w:tab/>
        <w:t xml:space="preserve">23.28 </w:t>
        <w:tab/>
        <w:t xml:space="preserve">21.08 </w:t>
        <w:tab/>
        <w:t xml:space="preserve">19.99 </w:t>
      </w:r>
    </w:p>
    <w:p>
      <w:pPr>
        <w:pStyle w:val="bottomtable2B"/>
        <w:rPr/>
      </w:pPr>
      <w:r>
        <w:rPr/>
        <w:t xml:space="preserve">Mar-00 </w:t>
        <w:tab/>
        <w:t xml:space="preserve">22.94 </w:t>
        <w:tab/>
        <w:t xml:space="preserve">21.49 </w:t>
        <w:tab/>
        <w:t xml:space="preserve">19.84 </w:t>
      </w:r>
    </w:p>
    <w:p>
      <w:pPr>
        <w:pStyle w:val="bottomtable2B"/>
        <w:rPr/>
      </w:pPr>
      <w:r>
        <w:rPr/>
        <w:t xml:space="preserve">Apr-00 </w:t>
        <w:tab/>
        <w:t xml:space="preserve">22.17 </w:t>
        <w:tab/>
        <w:t xml:space="preserve">20.82 </w:t>
        <w:tab/>
        <w:t xml:space="preserve">18.73 </w:t>
      </w:r>
    </w:p>
    <w:p>
      <w:pPr>
        <w:pStyle w:val="bottomtable2B"/>
        <w:rPr/>
      </w:pPr>
      <w:r>
        <w:rPr/>
        <w:t xml:space="preserve">May-00 </w:t>
        <w:tab/>
        <w:t xml:space="preserve">21.42 </w:t>
        <w:tab/>
        <w:t xml:space="preserve">20.02 </w:t>
        <w:tab/>
        <w:t xml:space="preserve">17.93 </w:t>
      </w:r>
    </w:p>
    <w:p>
      <w:pPr>
        <w:pStyle w:val="bottomtable2B"/>
        <w:rPr/>
      </w:pPr>
      <w:r>
        <w:rPr/>
        <w:t xml:space="preserve">Jun-00 </w:t>
        <w:tab/>
        <w:t xml:space="preserve">20.54 </w:t>
        <w:tab/>
        <w:t xml:space="preserve">19.09 </w:t>
        <w:tab/>
        <w:t xml:space="preserve">17.20 </w:t>
      </w:r>
    </w:p>
    <w:p>
      <w:pPr>
        <w:pStyle w:val="bottomtable2B"/>
        <w:rPr/>
      </w:pPr>
      <w:r>
        <w:rPr/>
        <w:t xml:space="preserve">Jul-00 </w:t>
        <w:tab/>
        <w:t xml:space="preserve">20.57 </w:t>
        <w:tab/>
        <w:t xml:space="preserve">19.07 </w:t>
        <w:tab/>
        <w:t xml:space="preserve">17.03 </w:t>
      </w:r>
    </w:p>
    <w:p>
      <w:pPr>
        <w:pStyle w:val="bottomtable2B"/>
        <w:rPr/>
      </w:pPr>
      <w:r>
        <w:rPr/>
        <w:t xml:space="preserve">Aug-00 </w:t>
        <w:tab/>
        <w:t xml:space="preserve">20.62 </w:t>
        <w:tab/>
        <w:t xml:space="preserve">19.07 </w:t>
        <w:tab/>
        <w:t xml:space="preserve">16.92 </w:t>
      </w:r>
    </w:p>
    <w:p>
      <w:pPr>
        <w:pStyle w:val="bottomtable2B"/>
        <w:rPr/>
      </w:pPr>
      <w:r>
        <w:rPr/>
        <w:t xml:space="preserve">Sep-00 </w:t>
        <w:tab/>
        <w:t xml:space="preserve">20.80 </w:t>
        <w:tab/>
        <w:t xml:space="preserve">19.20 </w:t>
        <w:tab/>
        <w:t xml:space="preserve">17.06 </w:t>
      </w:r>
    </w:p>
    <w:p>
      <w:pPr>
        <w:pStyle w:val="bottomtable2B"/>
        <w:rPr/>
      </w:pPr>
      <w:r>
        <w:rPr/>
        <w:t xml:space="preserve">Oct-00 </w:t>
        <w:tab/>
        <w:t xml:space="preserve">20.96 </w:t>
        <w:tab/>
        <w:t xml:space="preserve">19.41 </w:t>
        <w:tab/>
        <w:t xml:space="preserve">17.32 </w:t>
      </w:r>
    </w:p>
    <w:p>
      <w:pPr>
        <w:pStyle w:val="bottomtable2B"/>
        <w:rPr/>
      </w:pPr>
      <w:r>
        <w:rPr/>
        <w:t xml:space="preserve">Nov-00 </w:t>
        <w:tab/>
        <w:t xml:space="preserve">21.08 </w:t>
        <w:tab/>
        <w:t xml:space="preserve">19.53 </w:t>
        <w:tab/>
        <w:t>17.39</w:t>
      </w:r>
    </w:p>
    <w:p>
      <w:pPr>
        <w:pStyle w:val="bottomtable2B"/>
        <w:rPr/>
      </w:pPr>
      <w:r>
        <w:rPr/>
      </w:r>
    </w:p>
    <w:p>
      <w:pPr>
        <w:pStyle w:val="bottomtable2B"/>
        <w:rPr/>
      </w:pPr>
      <w:r>
        <w:rPr/>
      </w:r>
    </w:p>
    <w:p>
      <w:pPr>
        <w:pStyle w:val="Normal"/>
        <w:spacing w:lineRule="exact" w:line="200"/>
        <w:ind w:firstLine="900" w:end="0"/>
        <w:rPr>
          <w:sz w:val="20"/>
          <w:szCs w:val="20"/>
        </w:rPr>
      </w:pPr>
      <w:r>
        <w:rPr>
          <w:sz w:val="20"/>
          <w:szCs w:val="20"/>
        </w:rPr>
        <w:t>Note:  The above cargo prices include import duty and oil spill tax.</w:t>
      </w:r>
    </w:p>
    <w:p>
      <w:pPr>
        <w:pStyle w:val="Normal"/>
        <w:tabs>
          <w:tab w:val="clear" w:pos="720"/>
          <w:tab w:val="center" w:pos="2496" w:leader="none"/>
          <w:tab w:val="center" w:pos="4416" w:leader="none"/>
          <w:tab w:val="center" w:pos="6336" w:leader="none"/>
          <w:tab w:val="center" w:pos="8256" w:leader="none"/>
        </w:tabs>
        <w:spacing w:lineRule="exact" w:line="240"/>
        <w:ind w:start="1440" w:end="0"/>
        <w:jc w:val="center"/>
        <w:rPr>
          <w:sz w:val="20"/>
          <w:szCs w:val="20"/>
        </w:rPr>
      </w:pPr>
      <w:r>
        <w:rPr>
          <w:sz w:val="20"/>
          <w:szCs w:val="20"/>
        </w:rPr>
      </w:r>
      <w:r>
        <w:br w:type="page"/>
      </w:r>
    </w:p>
    <w:p>
      <w:pPr>
        <w:pStyle w:val="Heading4"/>
        <w:ind w:hanging="0" w:start="0"/>
        <w:rPr/>
      </w:pPr>
      <w:r>
        <w:rPr/>
        <w:t>Figure II-C:  Spot Caribbean Resid Values and Crude Oil Prices</w:t>
      </w:r>
    </w:p>
    <w:p>
      <w:pPr>
        <w:pStyle w:val="Normal"/>
        <w:rPr/>
      </w:pPr>
      <w:r>
        <w:rPr/>
      </w:r>
    </w:p>
    <w:p>
      <w:pPr>
        <w:pStyle w:val="Normal"/>
        <w:jc w:val="center"/>
        <w:rPr/>
      </w:pPr>
      <w:r>
        <w:rPr/>
        <w:drawing>
          <wp:inline distT="0" distB="0" distL="0" distR="0">
            <wp:extent cx="5929630" cy="427926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5"/>
                    <a:stretch>
                      <a:fillRect/>
                    </a:stretch>
                  </pic:blipFill>
                  <pic:spPr bwMode="auto">
                    <a:xfrm>
                      <a:off x="0" y="0"/>
                      <a:ext cx="5929630" cy="4279265"/>
                    </a:xfrm>
                    <a:prstGeom prst="rect">
                      <a:avLst/>
                    </a:prstGeom>
                    <a:noFill/>
                  </pic:spPr>
                </pic:pic>
              </a:graphicData>
            </a:graphic>
          </wp:inline>
        </w:drawing>
      </w:r>
    </w:p>
    <w:p>
      <w:pPr>
        <w:pStyle w:val="Normal"/>
        <w:jc w:val="center"/>
        <w:rPr/>
      </w:pPr>
      <w:r>
        <w:rPr/>
      </w:r>
    </w:p>
    <w:p>
      <w:pPr>
        <w:pStyle w:val="bottomlinetoptableII-C"/>
        <w:tabs>
          <w:tab w:val="clear" w:pos="2520"/>
          <w:tab w:val="clear" w:pos="3744"/>
          <w:tab w:val="clear" w:pos="4464"/>
          <w:tab w:val="clear" w:pos="5184"/>
          <w:tab w:val="clear" w:pos="5904"/>
          <w:tab w:val="clear" w:pos="6552"/>
          <w:tab w:val="clear" w:pos="7872"/>
          <w:tab w:val="left" w:pos="1080" w:leader="none"/>
          <w:tab w:val="center" w:pos="3600" w:leader="none"/>
          <w:tab w:val="right" w:pos="5940" w:leader="none"/>
          <w:tab w:val="left" w:pos="6570" w:leader="none"/>
          <w:tab w:val="center" w:pos="7920" w:leader="none"/>
          <w:tab w:val="right" w:pos="9216" w:leader="none"/>
        </w:tabs>
        <w:rPr/>
      </w:pPr>
      <w:r>
        <w:rPr/>
        <w:tab/>
      </w:r>
      <w:r>
        <w:rPr>
          <w:u w:val="single"/>
        </w:rPr>
        <w:tab/>
        <w:t>Prices in US$/Barrel</w:t>
        <w:tab/>
      </w:r>
      <w:r>
        <w:rPr/>
        <w:tab/>
      </w:r>
      <w:r>
        <w:rPr>
          <w:u w:val="single"/>
        </w:rPr>
        <w:tab/>
        <w:t>Price Ratios  in Percentages</w:t>
        <w:tab/>
      </w:r>
    </w:p>
    <w:p>
      <w:pPr>
        <w:pStyle w:val="middlelinetoptabII-C"/>
        <w:spacing w:lineRule="exact" w:line="200"/>
        <w:rPr/>
      </w:pPr>
      <w:r>
        <w:rPr/>
        <w:tab/>
        <w:t>New York Harbor</w:t>
        <w:tab/>
        <w:t>Spot Crude Oil</w:t>
        <w:tab/>
        <w:br/>
        <w:tab/>
        <w:t>Fuel Oil Netback</w:t>
        <w:tab/>
        <w:t>Delivered to</w:t>
        <w:tab/>
        <w:t>Fuel Oil Netbacks</w:t>
      </w:r>
    </w:p>
    <w:p>
      <w:pPr>
        <w:pStyle w:val="bottomlinetoptableII-C"/>
        <w:tabs>
          <w:tab w:val="clear" w:pos="3744"/>
          <w:tab w:val="left" w:pos="1080" w:leader="none"/>
          <w:tab w:val="center" w:pos="2520" w:leader="none"/>
          <w:tab w:val="right" w:pos="3870" w:leader="none"/>
          <w:tab w:val="left" w:pos="4464" w:leader="none"/>
          <w:tab w:val="center" w:pos="5184" w:leader="none"/>
          <w:tab w:val="right" w:pos="5904" w:leader="none"/>
          <w:tab w:val="left" w:pos="6552" w:leader="none"/>
          <w:tab w:val="center" w:pos="7872" w:leader="none"/>
          <w:tab w:val="right" w:pos="9216" w:leader="none"/>
        </w:tabs>
        <w:rPr/>
      </w:pPr>
      <w:r>
        <w:rPr/>
        <w:tab/>
      </w:r>
      <w:r>
        <w:rPr>
          <w:u w:val="single"/>
        </w:rPr>
        <w:tab/>
        <w:t>to Curacao</w:t>
        <w:tab/>
      </w:r>
      <w:r>
        <w:rPr/>
        <w:tab/>
      </w:r>
      <w:r>
        <w:rPr>
          <w:u w:val="single"/>
        </w:rPr>
        <w:tab/>
        <w:t>Curacao</w:t>
        <w:tab/>
      </w:r>
      <w:r>
        <w:rPr/>
        <w:tab/>
      </w:r>
      <w:r>
        <w:rPr>
          <w:u w:val="single"/>
        </w:rPr>
        <w:tab/>
        <w:t>to Delivered Crude</w:t>
        <w:tab/>
      </w:r>
    </w:p>
    <w:p>
      <w:pPr>
        <w:pStyle w:val="Normal"/>
        <w:tabs>
          <w:tab w:val="clear" w:pos="720"/>
          <w:tab w:val="center" w:pos="1920" w:leader="none"/>
        </w:tabs>
        <w:rPr/>
      </w:pPr>
      <w:r>
        <w:rPr/>
      </w:r>
    </w:p>
    <w:p>
      <w:pPr>
        <w:pStyle w:val="colheadingtableII-C"/>
        <w:tabs>
          <w:tab w:val="clear" w:pos="1440"/>
          <w:tab w:val="center" w:pos="1530" w:leader="none"/>
          <w:tab w:val="center" w:pos="2592" w:leader="none"/>
          <w:tab w:val="center" w:pos="3648" w:leader="none"/>
          <w:tab w:val="center" w:pos="4704" w:leader="none"/>
          <w:tab w:val="center" w:pos="5760" w:leader="none"/>
          <w:tab w:val="center" w:pos="6816" w:leader="none"/>
          <w:tab w:val="center" w:pos="7968" w:leader="none"/>
          <w:tab w:val="center" w:pos="9024" w:leader="none"/>
        </w:tabs>
        <w:rPr/>
      </w:pPr>
      <w:r>
        <w:rPr/>
        <w:tab/>
        <w:tab/>
        <w:tab/>
        <w:tab/>
        <w:tab/>
        <w:tab/>
        <w:t>0.3%S</w:t>
        <w:tab/>
        <w:t>1%S</w:t>
        <w:tab/>
        <w:t>3%S</w:t>
        <w:br/>
        <w:tab/>
        <w:t>No. 6</w:t>
        <w:tab/>
        <w:t>No. 6</w:t>
        <w:tab/>
        <w:t>No. 6</w:t>
        <w:tab/>
        <w:t>Bonny</w:t>
        <w:tab/>
        <w:tab/>
        <w:t>to</w:t>
        <w:tab/>
        <w:t>to</w:t>
        <w:tab/>
        <w:t>to</w:t>
        <w:br/>
      </w:r>
      <w:r>
        <w:rPr>
          <w:u w:val="single"/>
        </w:rPr>
        <w:t>Period</w:t>
      </w:r>
      <w:r>
        <w:rPr/>
        <w:tab/>
      </w:r>
      <w:r>
        <w:rPr>
          <w:u w:val="single"/>
        </w:rPr>
        <w:t>0.3%S HP</w:t>
        <w:tab/>
        <w:t>1%S</w:t>
        <w:tab/>
        <w:t>3%S</w:t>
      </w:r>
      <w:r>
        <w:rPr/>
        <w:tab/>
      </w:r>
      <w:r>
        <w:rPr>
          <w:u w:val="single"/>
        </w:rPr>
        <w:t>Light</w:t>
        <w:tab/>
        <w:t>Dubai</w:t>
      </w:r>
      <w:r>
        <w:rPr/>
        <w:tab/>
      </w:r>
      <w:r>
        <w:rPr>
          <w:u w:val="single"/>
        </w:rPr>
        <w:t>Bonny</w:t>
        <w:tab/>
        <w:t>Bonny</w:t>
        <w:tab/>
        <w:t>Dubai</w:t>
      </w:r>
    </w:p>
    <w:p>
      <w:pPr>
        <w:pStyle w:val="bodytableII-C"/>
        <w:rPr/>
      </w:pPr>
      <w:r>
        <w:rPr/>
        <w:t xml:space="preserve">Dec-99 </w:t>
        <w:tab/>
        <w:t xml:space="preserve">22.50 </w:t>
        <w:tab/>
        <w:t xml:space="preserve">18.20 </w:t>
        <w:tab/>
        <w:t xml:space="preserve">17.52 </w:t>
        <w:tab/>
        <w:t xml:space="preserve">26.88 </w:t>
        <w:tab/>
        <w:t xml:space="preserve">24.48 </w:t>
        <w:tab/>
        <w:t>83.7%</w:t>
        <w:tab/>
        <w:t>67.7%</w:t>
        <w:tab/>
        <w:t>71.6%</w:t>
      </w:r>
    </w:p>
    <w:p>
      <w:pPr>
        <w:pStyle w:val="bodytableII-C"/>
        <w:rPr/>
      </w:pPr>
      <w:r>
        <w:rPr/>
        <w:t xml:space="preserve">Jan-00 </w:t>
        <w:tab/>
        <w:t xml:space="preserve">23.24 </w:t>
        <w:tab/>
        <w:t xml:space="preserve">19.24 </w:t>
        <w:tab/>
        <w:t xml:space="preserve">18.83 </w:t>
        <w:tab/>
        <w:t xml:space="preserve">26.56 </w:t>
        <w:tab/>
        <w:t xml:space="preserve">24.94 </w:t>
        <w:tab/>
        <w:t>87.5%</w:t>
        <w:tab/>
        <w:t>72.4%</w:t>
        <w:tab/>
        <w:t>75.5%</w:t>
      </w:r>
    </w:p>
    <w:p>
      <w:pPr>
        <w:pStyle w:val="bodytableII-C"/>
        <w:rPr/>
      </w:pPr>
      <w:r>
        <w:rPr/>
        <w:t xml:space="preserve">Feb-00 </w:t>
        <w:tab/>
        <w:t xml:space="preserve">22.48 </w:t>
        <w:tab/>
        <w:t xml:space="preserve">20.23 </w:t>
        <w:tab/>
        <w:t xml:space="preserve">19.14 </w:t>
        <w:tab/>
        <w:t xml:space="preserve">27.16 </w:t>
        <w:tab/>
        <w:t xml:space="preserve">25.84 </w:t>
        <w:tab/>
        <w:t>82.8%</w:t>
        <w:tab/>
        <w:t>74.5%</w:t>
        <w:tab/>
        <w:t>74.1%</w:t>
      </w:r>
    </w:p>
    <w:p>
      <w:pPr>
        <w:pStyle w:val="bodytableII-C"/>
        <w:rPr/>
      </w:pPr>
      <w:r>
        <w:rPr/>
        <w:t xml:space="preserve">Mar-00 </w:t>
        <w:tab/>
        <w:t xml:space="preserve">22.14 </w:t>
        <w:tab/>
        <w:t xml:space="preserve">20.64 </w:t>
        <w:tab/>
        <w:t xml:space="preserve">18.99 </w:t>
        <w:tab/>
        <w:t xml:space="preserve">27.20 </w:t>
        <w:tab/>
        <w:t xml:space="preserve">26.14 </w:t>
        <w:tab/>
        <w:t>81.4%</w:t>
        <w:tab/>
        <w:t>75.9%</w:t>
        <w:tab/>
        <w:t>72.6%</w:t>
      </w:r>
    </w:p>
    <w:p>
      <w:pPr>
        <w:pStyle w:val="bodytableII-C"/>
        <w:rPr/>
      </w:pPr>
      <w:r>
        <w:rPr/>
        <w:t xml:space="preserve">Apr-00 </w:t>
        <w:tab/>
        <w:t xml:space="preserve">21.37 </w:t>
        <w:tab/>
        <w:t xml:space="preserve">19.97 </w:t>
        <w:tab/>
        <w:t xml:space="preserve">17.88 </w:t>
        <w:tab/>
        <w:t xml:space="preserve">25.93 </w:t>
        <w:tab/>
        <w:t xml:space="preserve">24.94 </w:t>
        <w:tab/>
        <w:t>82.4%</w:t>
        <w:tab/>
        <w:t>77.0%</w:t>
        <w:tab/>
        <w:t>71.7%</w:t>
      </w:r>
    </w:p>
    <w:p>
      <w:pPr>
        <w:pStyle w:val="bodytableII-C"/>
        <w:rPr/>
      </w:pPr>
      <w:r>
        <w:rPr/>
        <w:t xml:space="preserve">May-00 </w:t>
        <w:tab/>
        <w:t xml:space="preserve">20.62 </w:t>
        <w:tab/>
        <w:t xml:space="preserve">19.17 </w:t>
        <w:tab/>
        <w:t xml:space="preserve">17.08 </w:t>
        <w:tab/>
        <w:t xml:space="preserve">24.90 </w:t>
        <w:tab/>
        <w:t xml:space="preserve">23.92 </w:t>
        <w:tab/>
        <w:t>82.8%</w:t>
        <w:tab/>
        <w:t>77.0%</w:t>
        <w:tab/>
        <w:t>71.4%</w:t>
      </w:r>
    </w:p>
    <w:p>
      <w:pPr>
        <w:pStyle w:val="bodytableII-C"/>
        <w:rPr/>
      </w:pPr>
      <w:r>
        <w:rPr/>
        <w:t xml:space="preserve">Jun-00 </w:t>
        <w:tab/>
        <w:t xml:space="preserve">19.74 </w:t>
        <w:tab/>
        <w:t xml:space="preserve">18.24 </w:t>
        <w:tab/>
        <w:t xml:space="preserve">16.35 </w:t>
        <w:tab/>
        <w:t xml:space="preserve">23.85 </w:t>
        <w:tab/>
        <w:t xml:space="preserve">22.90 </w:t>
        <w:tab/>
        <w:t>82.8%</w:t>
        <w:tab/>
        <w:t>76.5%</w:t>
        <w:tab/>
        <w:t>71.4%</w:t>
      </w:r>
    </w:p>
    <w:p>
      <w:pPr>
        <w:pStyle w:val="bodytableII-C"/>
        <w:rPr/>
      </w:pPr>
      <w:r>
        <w:rPr/>
        <w:t xml:space="preserve">Jul-00 </w:t>
        <w:tab/>
        <w:t xml:space="preserve">19.77 </w:t>
        <w:tab/>
        <w:t xml:space="preserve">18.22 </w:t>
        <w:tab/>
        <w:t xml:space="preserve">16.18 </w:t>
        <w:tab/>
        <w:t xml:space="preserve">23.60 </w:t>
        <w:tab/>
        <w:t xml:space="preserve">22.65 </w:t>
        <w:tab/>
        <w:t>83.8%</w:t>
        <w:tab/>
        <w:t>77.2%</w:t>
        <w:tab/>
        <w:t>71.4%</w:t>
      </w:r>
    </w:p>
    <w:p>
      <w:pPr>
        <w:pStyle w:val="bodytableII-C"/>
        <w:rPr/>
      </w:pPr>
      <w:r>
        <w:rPr/>
        <w:t xml:space="preserve">Aug-00 </w:t>
        <w:tab/>
        <w:t xml:space="preserve">19.82 </w:t>
        <w:tab/>
        <w:t xml:space="preserve">18.22 </w:t>
        <w:tab/>
        <w:t xml:space="preserve">16.07 </w:t>
        <w:tab/>
        <w:t xml:space="preserve">23.45 </w:t>
        <w:tab/>
        <w:t xml:space="preserve">22.50 </w:t>
        <w:tab/>
        <w:t>84.5%</w:t>
        <w:tab/>
        <w:t>77.7%</w:t>
        <w:tab/>
        <w:t>71.4%</w:t>
      </w:r>
    </w:p>
    <w:p>
      <w:pPr>
        <w:pStyle w:val="bodytableII-C"/>
        <w:rPr/>
      </w:pPr>
      <w:r>
        <w:rPr/>
        <w:t xml:space="preserve">Sep-00 </w:t>
        <w:tab/>
        <w:t xml:space="preserve">20.00 </w:t>
        <w:tab/>
        <w:t xml:space="preserve">18.35 </w:t>
        <w:tab/>
        <w:t xml:space="preserve">16.21 </w:t>
        <w:tab/>
        <w:t xml:space="preserve">23.40 </w:t>
        <w:tab/>
        <w:t xml:space="preserve">22.45 </w:t>
        <w:tab/>
        <w:t>85.5%</w:t>
        <w:tab/>
        <w:t>78.4%</w:t>
        <w:tab/>
        <w:t>72.2%</w:t>
      </w:r>
    </w:p>
    <w:p>
      <w:pPr>
        <w:pStyle w:val="bodytableII-C"/>
        <w:rPr/>
      </w:pPr>
      <w:r>
        <w:rPr/>
        <w:t xml:space="preserve">Oct-00 </w:t>
        <w:tab/>
        <w:t xml:space="preserve">20.16 </w:t>
        <w:tab/>
        <w:t xml:space="preserve">18.56 </w:t>
        <w:tab/>
        <w:t xml:space="preserve">16.47 </w:t>
        <w:tab/>
        <w:t xml:space="preserve">23.60 </w:t>
        <w:tab/>
        <w:t xml:space="preserve">22.65 </w:t>
        <w:tab/>
        <w:t>85.4%</w:t>
        <w:tab/>
        <w:t>78.6%</w:t>
        <w:tab/>
        <w:t>72.7%</w:t>
      </w:r>
    </w:p>
    <w:p>
      <w:pPr>
        <w:pStyle w:val="bodytableII-C"/>
        <w:rPr/>
      </w:pPr>
      <w:r>
        <w:rPr/>
        <w:t xml:space="preserve">Nov-00 </w:t>
        <w:tab/>
        <w:t xml:space="preserve">20.28 </w:t>
        <w:tab/>
        <w:t xml:space="preserve">18.68 </w:t>
        <w:tab/>
        <w:t xml:space="preserve">16.54 </w:t>
        <w:tab/>
        <w:t xml:space="preserve">23.75 </w:t>
        <w:tab/>
        <w:t xml:space="preserve">22.75 </w:t>
        <w:tab/>
        <w:t>85.4%</w:t>
        <w:tab/>
        <w:t>78.7%</w:t>
        <w:tab/>
        <w:t>72.7%</w:t>
      </w:r>
    </w:p>
    <w:p>
      <w:pPr>
        <w:pStyle w:val="bodytableII-C"/>
        <w:rPr/>
      </w:pPr>
      <w:r>
        <w:rPr/>
      </w:r>
    </w:p>
    <w:p>
      <w:pPr>
        <w:pStyle w:val="bodytableII-C"/>
        <w:rPr/>
      </w:pPr>
      <w:r>
        <w:rPr/>
      </w:r>
    </w:p>
    <w:p>
      <w:pPr>
        <w:pStyle w:val="Normal"/>
        <w:tabs>
          <w:tab w:val="clear" w:pos="720"/>
          <w:tab w:val="left" w:pos="216" w:leader="none"/>
          <w:tab w:val="left" w:pos="576" w:leader="none"/>
          <w:tab w:val="left" w:pos="2592" w:leader="none"/>
          <w:tab w:val="left" w:pos="3744" w:leader="none"/>
          <w:tab w:val="center" w:pos="5112" w:leader="none"/>
          <w:tab w:val="center" w:pos="6264" w:leader="none"/>
          <w:tab w:val="left" w:pos="7272" w:leader="none"/>
          <w:tab w:val="center" w:pos="7416" w:leader="none"/>
          <w:tab w:val="center" w:pos="8496" w:leader="none"/>
          <w:tab w:val="right" w:pos="9648" w:leader="none"/>
        </w:tabs>
        <w:spacing w:lineRule="exact" w:line="240"/>
        <w:ind w:hanging="576" w:start="576" w:end="0"/>
        <w:rPr>
          <w:sz w:val="20"/>
          <w:szCs w:val="20"/>
        </w:rPr>
      </w:pPr>
      <w:r>
        <w:rPr>
          <w:sz w:val="20"/>
          <w:szCs w:val="20"/>
        </w:rPr>
        <w:t>Note:</w:t>
        <w:tab/>
        <w:t>Fuel oil netbacks reflect spot cargo prices less freight, import duty, and oil spill tax.</w:t>
      </w:r>
      <w:r>
        <w:br w:type="page"/>
      </w:r>
    </w:p>
    <w:p>
      <w:pPr>
        <w:pStyle w:val="Heading4"/>
        <w:ind w:hanging="0" w:start="0"/>
        <w:rPr/>
      </w:pPr>
      <w:r>
        <w:rPr/>
        <w:t>Figure II-D:  Spot Northwest Europe Resid and Crude Oil Prices</w:t>
      </w:r>
    </w:p>
    <w:p>
      <w:pPr>
        <w:pStyle w:val="Normal"/>
        <w:rPr/>
      </w:pPr>
      <w:r>
        <w:rPr/>
      </w:r>
    </w:p>
    <w:p>
      <w:pPr>
        <w:pStyle w:val="Normal"/>
        <w:jc w:val="center"/>
        <w:rPr/>
      </w:pPr>
      <w:r>
        <w:rPr/>
        <w:drawing>
          <wp:inline distT="0" distB="0" distL="0" distR="0">
            <wp:extent cx="5929630" cy="427926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6"/>
                    <a:stretch>
                      <a:fillRect/>
                    </a:stretch>
                  </pic:blipFill>
                  <pic:spPr bwMode="auto">
                    <a:xfrm>
                      <a:off x="0" y="0"/>
                      <a:ext cx="5929630" cy="4279265"/>
                    </a:xfrm>
                    <a:prstGeom prst="rect">
                      <a:avLst/>
                    </a:prstGeom>
                    <a:noFill/>
                  </pic:spPr>
                </pic:pic>
              </a:graphicData>
            </a:graphic>
          </wp:inline>
        </w:drawing>
      </w:r>
    </w:p>
    <w:p>
      <w:pPr>
        <w:pStyle w:val="Normal"/>
        <w:rPr/>
      </w:pPr>
      <w:r>
        <w:rPr/>
      </w:r>
    </w:p>
    <w:p>
      <w:pPr>
        <w:pStyle w:val="L1tabs2d"/>
        <w:spacing w:lineRule="exact" w:line="200"/>
        <w:rPr/>
      </w:pPr>
      <w:r>
        <w:rPr/>
        <w:tab/>
        <w:tab/>
        <w:tab/>
        <w:tab/>
        <w:tab/>
        <w:t>Price Ratios</w:t>
        <w:br/>
        <w:tab/>
      </w:r>
      <w:r>
        <w:rPr>
          <w:u w:val="single"/>
        </w:rPr>
        <w:tab/>
        <w:t>Prices in US$/Barrel</w:t>
        <w:tab/>
      </w:r>
      <w:r>
        <w:rPr/>
        <w:tab/>
      </w:r>
      <w:r>
        <w:rPr>
          <w:u w:val="single"/>
        </w:rPr>
        <w:tab/>
        <w:t>in Percentages</w:t>
        <w:tab/>
      </w:r>
    </w:p>
    <w:p>
      <w:pPr>
        <w:pStyle w:val="L2tablesIId"/>
        <w:jc w:val="start"/>
        <w:rPr/>
      </w:pPr>
      <w:r>
        <w:rPr/>
        <w:tab/>
        <w:t>Fuel Oil</w:t>
        <w:tab/>
        <w:t>Crude Oil</w:t>
        <w:tab/>
        <w:tab/>
      </w:r>
    </w:p>
    <w:p>
      <w:pPr>
        <w:pStyle w:val="L2tablesIId"/>
        <w:spacing w:lineRule="exact" w:line="200"/>
        <w:jc w:val="start"/>
        <w:rPr/>
      </w:pPr>
      <w:r>
        <w:rPr/>
        <w:tab/>
        <w:t>Northwest Europe</w:t>
        <w:tab/>
        <w:t>Delivered to</w:t>
        <w:tab/>
        <w:tab/>
        <w:t>FOB Fuel Oil to</w:t>
      </w:r>
    </w:p>
    <w:p>
      <w:pPr>
        <w:pStyle w:val="L3tablesIId"/>
        <w:spacing w:lineRule="exact" w:line="200"/>
        <w:jc w:val="start"/>
        <w:rPr/>
      </w:pPr>
      <w:r>
        <w:rPr/>
        <w:tab/>
      </w:r>
      <w:r>
        <w:rPr>
          <w:u w:val="single"/>
        </w:rPr>
        <w:tab/>
        <w:t>FOB Cargoes</w:t>
        <w:tab/>
      </w:r>
      <w:r>
        <w:rPr/>
        <w:tab/>
      </w:r>
      <w:r>
        <w:rPr>
          <w:u w:val="single"/>
        </w:rPr>
        <w:tab/>
        <w:t>Rotterdam</w:t>
        <w:tab/>
      </w:r>
      <w:r>
        <w:rPr/>
        <w:tab/>
      </w:r>
      <w:r>
        <w:rPr>
          <w:u w:val="single"/>
        </w:rPr>
        <w:tab/>
        <w:t>Delivered Crude</w:t>
        <w:tab/>
      </w:r>
      <w:r>
        <w:rPr/>
        <w:br/>
      </w:r>
    </w:p>
    <w:p>
      <w:pPr>
        <w:pStyle w:val="L4tablesIId"/>
        <w:spacing w:lineRule="exact" w:line="200"/>
        <w:rPr/>
      </w:pPr>
      <w:r>
        <w:rPr/>
        <w:tab/>
        <w:tab/>
        <w:tab/>
        <w:tab/>
        <w:tab/>
        <w:t>1.0%S</w:t>
        <w:tab/>
        <w:t>3.5%S</w:t>
        <w:br/>
        <w:tab/>
        <w:tab/>
        <w:tab/>
        <w:tab/>
        <w:tab/>
        <w:t>to</w:t>
        <w:tab/>
        <w:t>to</w:t>
        <w:br/>
      </w:r>
      <w:r>
        <w:rPr>
          <w:u w:val="single"/>
        </w:rPr>
        <w:t>Period</w:t>
      </w:r>
      <w:r>
        <w:rPr/>
        <w:tab/>
      </w:r>
      <w:r>
        <w:rPr>
          <w:u w:val="single"/>
        </w:rPr>
        <w:t>1.0%S</w:t>
        <w:tab/>
        <w:t>3.5%S</w:t>
      </w:r>
      <w:r>
        <w:rPr/>
        <w:tab/>
      </w:r>
      <w:r>
        <w:rPr>
          <w:u w:val="single"/>
        </w:rPr>
        <w:t>Brent</w:t>
        <w:tab/>
        <w:t>Dubai</w:t>
      </w:r>
      <w:r>
        <w:rPr/>
        <w:tab/>
      </w:r>
      <w:r>
        <w:rPr>
          <w:u w:val="single"/>
        </w:rPr>
        <w:t>Brent</w:t>
        <w:tab/>
        <w:t>Dubai</w:t>
      </w:r>
    </w:p>
    <w:p>
      <w:pPr>
        <w:pStyle w:val="L4tablesIId"/>
        <w:rPr/>
      </w:pPr>
      <w:r>
        <w:rPr/>
        <w:t xml:space="preserve">Dec-99 </w:t>
        <w:tab/>
        <w:t xml:space="preserve">18.82 </w:t>
        <w:tab/>
        <w:t xml:space="preserve">18.05 </w:t>
        <w:tab/>
        <w:t xml:space="preserve">26.10 </w:t>
        <w:tab/>
        <w:t xml:space="preserve">24.56 </w:t>
        <w:tab/>
        <w:t>72.1%</w:t>
        <w:tab/>
        <w:t>73.5%</w:t>
      </w:r>
    </w:p>
    <w:p>
      <w:pPr>
        <w:pStyle w:val="L4tablesIId"/>
        <w:rPr/>
      </w:pPr>
      <w:r>
        <w:rPr/>
        <w:t xml:space="preserve">Jan-00 </w:t>
        <w:tab/>
        <w:t xml:space="preserve">19.44 </w:t>
        <w:tab/>
        <w:t xml:space="preserve">18.53 </w:t>
        <w:tab/>
        <w:t xml:space="preserve">26.10 </w:t>
        <w:tab/>
        <w:t xml:space="preserve">25.04 </w:t>
        <w:tab/>
        <w:t>74.5%</w:t>
        <w:tab/>
        <w:t>74.0%</w:t>
      </w:r>
    </w:p>
    <w:p>
      <w:pPr>
        <w:pStyle w:val="L4tablesIId"/>
        <w:rPr/>
      </w:pPr>
      <w:r>
        <w:rPr/>
        <w:t xml:space="preserve">Feb-00 </w:t>
        <w:tab/>
        <w:t xml:space="preserve">20.33 </w:t>
        <w:tab/>
        <w:t xml:space="preserve">18.94 </w:t>
        <w:tab/>
        <w:t xml:space="preserve">26.75 </w:t>
        <w:tab/>
        <w:t xml:space="preserve">25.94 </w:t>
        <w:tab/>
        <w:t>76.0%</w:t>
        <w:tab/>
        <w:t>73.0%</w:t>
      </w:r>
    </w:p>
    <w:p>
      <w:pPr>
        <w:pStyle w:val="L4tablesIId"/>
        <w:rPr/>
      </w:pPr>
      <w:r>
        <w:rPr/>
        <w:t xml:space="preserve">Mar-00 </w:t>
        <w:tab/>
        <w:t xml:space="preserve">20.64 </w:t>
        <w:tab/>
        <w:t xml:space="preserve">18.89 </w:t>
        <w:tab/>
        <w:t xml:space="preserve">26.80 </w:t>
        <w:tab/>
        <w:t xml:space="preserve">26.24 </w:t>
        <w:tab/>
        <w:t>77.0%</w:t>
        <w:tab/>
        <w:t>72.0%</w:t>
      </w:r>
    </w:p>
    <w:p>
      <w:pPr>
        <w:pStyle w:val="L4tablesIId"/>
        <w:rPr/>
      </w:pPr>
      <w:r>
        <w:rPr/>
        <w:t xml:space="preserve">Apr-00 </w:t>
        <w:tab/>
        <w:t xml:space="preserve">19.67 </w:t>
        <w:tab/>
        <w:t xml:space="preserve">17.78 </w:t>
        <w:tab/>
        <w:t xml:space="preserve">25.55 </w:t>
        <w:tab/>
        <w:t xml:space="preserve">25.04 </w:t>
        <w:tab/>
        <w:t>77.0%</w:t>
        <w:tab/>
        <w:t>71.0%</w:t>
      </w:r>
    </w:p>
    <w:p>
      <w:pPr>
        <w:pStyle w:val="L4tablesIId"/>
        <w:rPr/>
      </w:pPr>
      <w:r>
        <w:rPr/>
        <w:t xml:space="preserve">May-00 </w:t>
        <w:tab/>
        <w:t xml:space="preserve">18.87 </w:t>
        <w:tab/>
        <w:t xml:space="preserve">16.93 </w:t>
        <w:tab/>
        <w:t xml:space="preserve">24.50 </w:t>
        <w:tab/>
        <w:t xml:space="preserve">24.02 </w:t>
        <w:tab/>
        <w:t>77.0%</w:t>
        <w:tab/>
        <w:t>70.5%</w:t>
      </w:r>
    </w:p>
    <w:p>
      <w:pPr>
        <w:pStyle w:val="L4tablesIId"/>
        <w:rPr/>
      </w:pPr>
      <w:r>
        <w:rPr/>
        <w:t xml:space="preserve">Jun-00 </w:t>
        <w:tab/>
        <w:t xml:space="preserve">17.94 </w:t>
        <w:tab/>
        <w:t xml:space="preserve">16.10 </w:t>
        <w:tab/>
        <w:t xml:space="preserve">23.45 </w:t>
        <w:tab/>
        <w:t xml:space="preserve">23.00 </w:t>
        <w:tab/>
        <w:t>76.5%</w:t>
        <w:tab/>
        <w:t>70.0%</w:t>
      </w:r>
    </w:p>
    <w:p>
      <w:pPr>
        <w:pStyle w:val="L4tablesIId"/>
        <w:rPr/>
      </w:pPr>
      <w:r>
        <w:rPr/>
        <w:t xml:space="preserve">Jul-00 </w:t>
        <w:tab/>
        <w:t xml:space="preserve">17.52 </w:t>
        <w:tab/>
        <w:t xml:space="preserve">15.93 </w:t>
        <w:tab/>
        <w:t xml:space="preserve">23.20 </w:t>
        <w:tab/>
        <w:t xml:space="preserve">22.75 </w:t>
        <w:tab/>
        <w:t>75.5%</w:t>
        <w:tab/>
        <w:t>70.0%</w:t>
      </w:r>
    </w:p>
    <w:p>
      <w:pPr>
        <w:pStyle w:val="L4tablesIId"/>
        <w:rPr/>
      </w:pPr>
      <w:r>
        <w:rPr/>
        <w:t xml:space="preserve">Aug-00 </w:t>
        <w:tab/>
        <w:t xml:space="preserve">17.52 </w:t>
        <w:tab/>
        <w:t xml:space="preserve">15.82 </w:t>
        <w:tab/>
        <w:t xml:space="preserve">23.05 </w:t>
        <w:tab/>
        <w:t xml:space="preserve">22.60 </w:t>
        <w:tab/>
        <w:t>76.0%</w:t>
        <w:tab/>
        <w:t>70.0%</w:t>
      </w:r>
    </w:p>
    <w:p>
      <w:pPr>
        <w:pStyle w:val="L4tablesIId"/>
        <w:rPr/>
      </w:pPr>
      <w:r>
        <w:rPr/>
        <w:t xml:space="preserve">Sep-00 </w:t>
        <w:tab/>
        <w:t xml:space="preserve">17.60 </w:t>
        <w:tab/>
        <w:t xml:space="preserve">16.01 </w:t>
        <w:tab/>
        <w:t xml:space="preserve">23.00 </w:t>
        <w:tab/>
        <w:t xml:space="preserve">22.55 </w:t>
        <w:tab/>
        <w:t>76.5%</w:t>
        <w:tab/>
        <w:t>71.0%</w:t>
      </w:r>
    </w:p>
    <w:p>
      <w:pPr>
        <w:pStyle w:val="L4tablesIId"/>
        <w:rPr/>
      </w:pPr>
      <w:r>
        <w:rPr/>
        <w:t xml:space="preserve">Oct-00 </w:t>
        <w:tab/>
        <w:t xml:space="preserve">17.86 </w:t>
        <w:tab/>
        <w:t xml:space="preserve">16.27 </w:t>
        <w:tab/>
        <w:t xml:space="preserve">23.20 </w:t>
        <w:tab/>
        <w:t xml:space="preserve">22.75 </w:t>
        <w:tab/>
        <w:t>77.0%</w:t>
        <w:tab/>
        <w:t>71.5%</w:t>
      </w:r>
    </w:p>
    <w:p>
      <w:pPr>
        <w:pStyle w:val="L4tablesIId"/>
        <w:rPr/>
      </w:pPr>
      <w:r>
        <w:rPr/>
        <w:t xml:space="preserve">Nov-00 </w:t>
        <w:tab/>
        <w:t xml:space="preserve">17.98 </w:t>
        <w:tab/>
        <w:t xml:space="preserve">16.34 </w:t>
        <w:tab/>
        <w:t xml:space="preserve">23.35 </w:t>
        <w:tab/>
        <w:t xml:space="preserve">22.85 </w:t>
        <w:tab/>
        <w:t>77.0%</w:t>
        <w:tab/>
        <w:t>71.5%</w:t>
      </w:r>
    </w:p>
    <w:p>
      <w:pPr>
        <w:pStyle w:val="L4tablesIId"/>
        <w:rPr/>
      </w:pPr>
      <w:r>
        <w:rPr/>
      </w:r>
    </w:p>
    <w:p>
      <w:pPr>
        <w:pStyle w:val="L4tablesIId"/>
        <w:rPr/>
      </w:pPr>
      <w:r>
        <w:rPr/>
      </w:r>
    </w:p>
    <w:p>
      <w:pPr>
        <w:pStyle w:val="Normal"/>
        <w:tabs>
          <w:tab w:val="clear" w:pos="720"/>
          <w:tab w:val="left" w:pos="792" w:leader="none"/>
          <w:tab w:val="center" w:pos="3888" w:leader="none"/>
          <w:tab w:val="center" w:pos="7776" w:leader="none"/>
          <w:tab w:val="center" w:pos="8208" w:leader="none"/>
        </w:tabs>
        <w:spacing w:lineRule="exact" w:line="240"/>
        <w:ind w:hanging="792" w:start="792" w:end="0"/>
        <w:rPr>
          <w:sz w:val="20"/>
          <w:szCs w:val="20"/>
        </w:rPr>
      </w:pPr>
      <w:r>
        <w:rPr>
          <w:sz w:val="20"/>
          <w:szCs w:val="20"/>
        </w:rPr>
        <w:t>Note:</w:t>
        <w:tab/>
        <w:t>Conversions in barrels per metric tons are 6.4367 for 1.0%S and 6.3250 for 3.5%S.</w:t>
      </w:r>
      <w:r>
        <w:br w:type="page"/>
      </w:r>
    </w:p>
    <w:p>
      <w:pPr>
        <w:pStyle w:val="Heading4"/>
        <w:ind w:hanging="0" w:start="0"/>
        <w:rPr/>
      </w:pPr>
      <w:r>
        <w:rPr/>
        <w:t>Figure II-E:  Mediterranean Resid and Crude Oil Prices</w:t>
      </w:r>
    </w:p>
    <w:p>
      <w:pPr>
        <w:pStyle w:val="Normal"/>
        <w:rPr/>
      </w:pPr>
      <w:r>
        <w:rPr/>
      </w:r>
    </w:p>
    <w:p>
      <w:pPr>
        <w:pStyle w:val="Normal"/>
        <w:jc w:val="center"/>
        <w:rPr/>
      </w:pPr>
      <w:r>
        <w:rPr/>
        <w:drawing>
          <wp:inline distT="0" distB="0" distL="0" distR="0">
            <wp:extent cx="5929630" cy="427926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7"/>
                    <a:stretch>
                      <a:fillRect/>
                    </a:stretch>
                  </pic:blipFill>
                  <pic:spPr bwMode="auto">
                    <a:xfrm>
                      <a:off x="0" y="0"/>
                      <a:ext cx="5929630" cy="4279265"/>
                    </a:xfrm>
                    <a:prstGeom prst="rect">
                      <a:avLst/>
                    </a:prstGeom>
                    <a:noFill/>
                  </pic:spPr>
                </pic:pic>
              </a:graphicData>
            </a:graphic>
          </wp:inline>
        </w:drawing>
      </w:r>
    </w:p>
    <w:p>
      <w:pPr>
        <w:pStyle w:val="L1tabs2d"/>
        <w:rPr/>
      </w:pPr>
      <w:r>
        <w:rPr/>
        <w:tab/>
        <w:tab/>
        <w:tab/>
        <w:tab/>
        <w:tab/>
        <w:t>Price Ratios</w:t>
        <w:br/>
        <w:tab/>
      </w:r>
      <w:r>
        <w:rPr>
          <w:u w:val="single"/>
        </w:rPr>
        <w:tab/>
        <w:t>Prices in US$/Barrel</w:t>
        <w:tab/>
      </w:r>
      <w:r>
        <w:rPr/>
        <w:tab/>
      </w:r>
      <w:r>
        <w:rPr>
          <w:u w:val="single"/>
        </w:rPr>
        <w:tab/>
        <w:t>in Percentages</w:t>
        <w:tab/>
      </w:r>
    </w:p>
    <w:p>
      <w:pPr>
        <w:pStyle w:val="L2tablesIId"/>
        <w:spacing w:lineRule="exact" w:line="200"/>
        <w:jc w:val="start"/>
        <w:rPr/>
      </w:pPr>
      <w:r>
        <w:rPr/>
        <w:tab/>
        <w:t>Fuel Oil</w:t>
        <w:tab/>
        <w:t>Crude Oil</w:t>
        <w:tab/>
        <w:tab/>
        <w:br/>
        <w:tab/>
        <w:t>Mediterranean</w:t>
        <w:tab/>
        <w:t>Delivered to</w:t>
        <w:tab/>
        <w:tab/>
        <w:t>FOB Fuel Oil to</w:t>
      </w:r>
    </w:p>
    <w:p>
      <w:pPr>
        <w:pStyle w:val="L3tablesIId"/>
        <w:tabs>
          <w:tab w:val="clear" w:pos="8064"/>
          <w:tab w:val="left" w:pos="1368" w:leader="none"/>
          <w:tab w:val="center" w:pos="2232" w:leader="none"/>
          <w:tab w:val="right" w:pos="3096" w:leader="none"/>
          <w:tab w:val="left" w:pos="4320" w:leader="none"/>
          <w:tab w:val="center" w:pos="5184" w:leader="none"/>
          <w:tab w:val="right" w:pos="5976" w:leader="none"/>
          <w:tab w:val="left" w:pos="7128" w:leader="none"/>
          <w:tab w:val="center" w:pos="8100" w:leader="none"/>
          <w:tab w:val="right" w:pos="9072" w:leader="none"/>
        </w:tabs>
        <w:spacing w:lineRule="exact" w:line="200"/>
        <w:jc w:val="start"/>
        <w:rPr/>
      </w:pPr>
      <w:r>
        <w:rPr/>
        <w:tab/>
      </w:r>
      <w:r>
        <w:rPr>
          <w:u w:val="single"/>
        </w:rPr>
        <w:tab/>
        <w:t>FOB Cargoes</w:t>
        <w:tab/>
      </w:r>
      <w:r>
        <w:rPr/>
        <w:tab/>
      </w:r>
      <w:r>
        <w:rPr>
          <w:u w:val="single"/>
        </w:rPr>
        <w:tab/>
        <w:t>Genoa</w:t>
        <w:tab/>
      </w:r>
      <w:r>
        <w:rPr/>
        <w:tab/>
      </w:r>
      <w:r>
        <w:rPr>
          <w:u w:val="single"/>
        </w:rPr>
        <w:tab/>
        <w:t>Delivered Crude</w:t>
        <w:tab/>
      </w:r>
      <w:r>
        <w:rPr/>
        <w:br/>
      </w:r>
    </w:p>
    <w:p>
      <w:pPr>
        <w:pStyle w:val="L4tablesIId"/>
        <w:spacing w:lineRule="exact" w:line="200"/>
        <w:rPr/>
      </w:pPr>
      <w:r>
        <w:rPr/>
        <w:tab/>
        <w:tab/>
        <w:tab/>
        <w:tab/>
        <w:tab/>
        <w:t>1.0%S</w:t>
        <w:tab/>
        <w:t>3.5%S</w:t>
        <w:br/>
        <w:tab/>
        <w:tab/>
        <w:tab/>
        <w:t>Bonny</w:t>
        <w:tab/>
        <w:tab/>
        <w:t>to</w:t>
        <w:tab/>
        <w:t>to</w:t>
        <w:br/>
      </w:r>
      <w:r>
        <w:rPr>
          <w:u w:val="single"/>
        </w:rPr>
        <w:t>Period</w:t>
      </w:r>
      <w:r>
        <w:rPr/>
        <w:tab/>
      </w:r>
      <w:r>
        <w:rPr>
          <w:u w:val="single"/>
        </w:rPr>
        <w:t>1.0%S</w:t>
        <w:tab/>
        <w:t>3.5%S</w:t>
      </w:r>
      <w:r>
        <w:rPr/>
        <w:tab/>
      </w:r>
      <w:r>
        <w:rPr>
          <w:u w:val="single"/>
        </w:rPr>
        <w:t>Light</w:t>
        <w:tab/>
        <w:t>Dubai</w:t>
      </w:r>
      <w:r>
        <w:rPr/>
        <w:tab/>
      </w:r>
      <w:r>
        <w:rPr>
          <w:u w:val="single"/>
        </w:rPr>
        <w:t>Bonny</w:t>
        <w:tab/>
        <w:t>Dubai</w:t>
      </w:r>
    </w:p>
    <w:p>
      <w:pPr>
        <w:pStyle w:val="bott2D"/>
        <w:rPr/>
      </w:pPr>
      <w:r>
        <w:rPr/>
        <w:t xml:space="preserve">Dec-99 </w:t>
        <w:tab/>
        <w:t xml:space="preserve">18.75 </w:t>
        <w:tab/>
        <w:t xml:space="preserve">18.26 </w:t>
        <w:tab/>
        <w:t xml:space="preserve">26.92 </w:t>
        <w:tab/>
        <w:t xml:space="preserve">24.53 </w:t>
        <w:tab/>
        <w:t>69.7%</w:t>
        <w:tab/>
        <w:t>74.4%</w:t>
      </w:r>
    </w:p>
    <w:p>
      <w:pPr>
        <w:pStyle w:val="bott2D"/>
        <w:rPr/>
      </w:pPr>
      <w:r>
        <w:rPr/>
        <w:t xml:space="preserve">Jan-00 </w:t>
        <w:tab/>
        <w:t xml:space="preserve">19.39 </w:t>
        <w:tab/>
        <w:t xml:space="preserve">18.83 </w:t>
        <w:tab/>
        <w:t xml:space="preserve">26.52 </w:t>
        <w:tab/>
        <w:t xml:space="preserve">25.00 </w:t>
        <w:tab/>
        <w:t>73.1%</w:t>
        <w:tab/>
        <w:t>75.3%</w:t>
      </w:r>
    </w:p>
    <w:p>
      <w:pPr>
        <w:pStyle w:val="bott2D"/>
        <w:rPr/>
      </w:pPr>
      <w:r>
        <w:rPr/>
        <w:t xml:space="preserve">Feb-00 </w:t>
        <w:tab/>
        <w:t xml:space="preserve">20.28 </w:t>
        <w:tab/>
        <w:t xml:space="preserve">19.19 </w:t>
        <w:tab/>
        <w:t xml:space="preserve">27.08 </w:t>
        <w:tab/>
        <w:t xml:space="preserve">25.90 </w:t>
        <w:tab/>
        <w:t>74.9%</w:t>
        <w:tab/>
        <w:t>74.1%</w:t>
      </w:r>
    </w:p>
    <w:p>
      <w:pPr>
        <w:pStyle w:val="bott2D"/>
        <w:rPr/>
      </w:pPr>
      <w:r>
        <w:rPr/>
        <w:t xml:space="preserve">Mar-00 </w:t>
        <w:tab/>
        <w:t xml:space="preserve">20.59 </w:t>
        <w:tab/>
        <w:t xml:space="preserve">19.19 </w:t>
        <w:tab/>
        <w:t xml:space="preserve">27.13 </w:t>
        <w:tab/>
        <w:t xml:space="preserve">26.23 </w:t>
        <w:tab/>
        <w:t>75.9%</w:t>
        <w:tab/>
        <w:t>73.2%</w:t>
      </w:r>
    </w:p>
    <w:p>
      <w:pPr>
        <w:pStyle w:val="bott2D"/>
        <w:rPr/>
      </w:pPr>
      <w:r>
        <w:rPr/>
        <w:t xml:space="preserve">Apr-00 </w:t>
        <w:tab/>
        <w:t xml:space="preserve">19.62 </w:t>
        <w:tab/>
        <w:t xml:space="preserve">18.13 </w:t>
        <w:tab/>
        <w:t xml:space="preserve">25.88 </w:t>
        <w:tab/>
        <w:t xml:space="preserve">25.05 </w:t>
        <w:tab/>
        <w:t>75.8%</w:t>
        <w:tab/>
        <w:t>72.4%</w:t>
      </w:r>
    </w:p>
    <w:p>
      <w:pPr>
        <w:pStyle w:val="bott2D"/>
        <w:rPr/>
      </w:pPr>
      <w:r>
        <w:rPr/>
        <w:t xml:space="preserve">May-00 </w:t>
        <w:tab/>
        <w:t xml:space="preserve">18.82 </w:t>
        <w:tab/>
        <w:t xml:space="preserve">17.28 </w:t>
        <w:tab/>
        <w:t xml:space="preserve">24.85 </w:t>
        <w:tab/>
        <w:t xml:space="preserve">24.05 </w:t>
        <w:tab/>
        <w:t>75.7%</w:t>
        <w:tab/>
        <w:t>71.9%</w:t>
      </w:r>
    </w:p>
    <w:p>
      <w:pPr>
        <w:pStyle w:val="bott2D"/>
        <w:rPr/>
      </w:pPr>
      <w:r>
        <w:rPr/>
        <w:t xml:space="preserve">Jun-00 </w:t>
        <w:tab/>
        <w:t xml:space="preserve">17.89 </w:t>
        <w:tab/>
        <w:t xml:space="preserve">16.45 </w:t>
        <w:tab/>
        <w:t xml:space="preserve">23.83 </w:t>
        <w:tab/>
        <w:t xml:space="preserve">23.08 </w:t>
        <w:tab/>
        <w:t>75.1%</w:t>
        <w:tab/>
        <w:t>71.3%</w:t>
      </w:r>
    </w:p>
    <w:p>
      <w:pPr>
        <w:pStyle w:val="bott2D"/>
        <w:rPr/>
      </w:pPr>
      <w:r>
        <w:rPr/>
        <w:t xml:space="preserve">Jul-00 </w:t>
        <w:tab/>
        <w:t xml:space="preserve">17.47 </w:t>
        <w:tab/>
        <w:t xml:space="preserve">16.18 </w:t>
        <w:tab/>
        <w:t xml:space="preserve">23.58 </w:t>
        <w:tab/>
        <w:t xml:space="preserve">22.83 </w:t>
        <w:tab/>
        <w:t>74.1%</w:t>
        <w:tab/>
        <w:t>70.9%</w:t>
      </w:r>
    </w:p>
    <w:p>
      <w:pPr>
        <w:pStyle w:val="bott2D"/>
        <w:rPr/>
      </w:pPr>
      <w:r>
        <w:rPr/>
        <w:t xml:space="preserve">Aug-00 </w:t>
        <w:tab/>
        <w:t xml:space="preserve">17.47 </w:t>
        <w:tab/>
        <w:t xml:space="preserve">16.07 </w:t>
        <w:tab/>
        <w:t xml:space="preserve">23.43 </w:t>
        <w:tab/>
        <w:t xml:space="preserve">22.70 </w:t>
        <w:tab/>
        <w:t>74.6%</w:t>
        <w:tab/>
        <w:t>70.8%</w:t>
      </w:r>
    </w:p>
    <w:p>
      <w:pPr>
        <w:pStyle w:val="bott2D"/>
        <w:rPr/>
      </w:pPr>
      <w:r>
        <w:rPr/>
        <w:t xml:space="preserve">Sep-00 </w:t>
        <w:tab/>
        <w:t xml:space="preserve">17.55 </w:t>
        <w:tab/>
        <w:t xml:space="preserve">16.26 </w:t>
        <w:tab/>
        <w:t xml:space="preserve">23.38 </w:t>
        <w:tab/>
        <w:t xml:space="preserve">22.65 </w:t>
        <w:tab/>
        <w:t>75.1%</w:t>
        <w:tab/>
        <w:t>71.8%</w:t>
      </w:r>
    </w:p>
    <w:p>
      <w:pPr>
        <w:pStyle w:val="bott2D"/>
        <w:rPr/>
      </w:pPr>
      <w:r>
        <w:rPr/>
        <w:t xml:space="preserve">Oct-00 </w:t>
        <w:tab/>
        <w:t xml:space="preserve">17.81 </w:t>
        <w:tab/>
        <w:t xml:space="preserve">16.52 </w:t>
        <w:tab/>
        <w:t xml:space="preserve">23.58 </w:t>
        <w:tab/>
        <w:t xml:space="preserve">22.85 </w:t>
        <w:tab/>
        <w:t>75.5%</w:t>
        <w:tab/>
        <w:t>72.3%</w:t>
      </w:r>
    </w:p>
    <w:p>
      <w:pPr>
        <w:pStyle w:val="bott2D"/>
        <w:rPr/>
      </w:pPr>
      <w:r>
        <w:rPr/>
        <w:t xml:space="preserve">Nov-00 </w:t>
        <w:tab/>
        <w:t xml:space="preserve">17.93 </w:t>
        <w:tab/>
        <w:t xml:space="preserve">16.59 </w:t>
        <w:tab/>
        <w:t xml:space="preserve">23.70 </w:t>
        <w:tab/>
        <w:t xml:space="preserve">22.95 </w:t>
        <w:tab/>
        <w:t>75.7%</w:t>
        <w:tab/>
        <w:t>72.3%</w:t>
      </w:r>
    </w:p>
    <w:p>
      <w:pPr>
        <w:pStyle w:val="bott2D"/>
        <w:rPr/>
      </w:pPr>
      <w:r>
        <w:rPr/>
      </w:r>
    </w:p>
    <w:p>
      <w:pPr>
        <w:pStyle w:val="bott2D"/>
        <w:rPr/>
      </w:pPr>
      <w:r>
        <w:rPr/>
      </w:r>
    </w:p>
    <w:p>
      <w:pPr>
        <w:pStyle w:val="Normal"/>
        <w:tabs>
          <w:tab w:val="clear" w:pos="720"/>
          <w:tab w:val="left" w:pos="792" w:leader="none"/>
          <w:tab w:val="center" w:pos="3888" w:leader="none"/>
          <w:tab w:val="center" w:pos="7776" w:leader="none"/>
          <w:tab w:val="center" w:pos="8208" w:leader="none"/>
        </w:tabs>
        <w:spacing w:lineRule="exact" w:line="240"/>
        <w:ind w:hanging="792" w:start="792" w:end="0"/>
        <w:rPr>
          <w:sz w:val="20"/>
          <w:szCs w:val="20"/>
        </w:rPr>
      </w:pPr>
      <w:r>
        <w:rPr>
          <w:sz w:val="20"/>
          <w:szCs w:val="20"/>
        </w:rPr>
        <w:t>Note:</w:t>
        <w:tab/>
        <w:t>Conversions in barrels per metric tons are 6.4367 for 1.0%S and 6.3250 for 3.5%S.</w:t>
      </w:r>
      <w:r>
        <w:br w:type="page"/>
      </w:r>
    </w:p>
    <w:p>
      <w:pPr>
        <w:pStyle w:val="Heading4"/>
        <w:ind w:hanging="0" w:start="0"/>
        <w:rPr/>
      </w:pPr>
      <w:r>
        <w:rPr/>
        <w:t>Figure II-F:  Spot Singapore Resid and Crude Oil Prices</w:t>
      </w:r>
    </w:p>
    <w:p>
      <w:pPr>
        <w:pStyle w:val="Normal"/>
        <w:rPr/>
      </w:pPr>
      <w:r>
        <w:rPr/>
      </w:r>
    </w:p>
    <w:p>
      <w:pPr>
        <w:pStyle w:val="Normal"/>
        <w:jc w:val="center"/>
        <w:rPr/>
      </w:pPr>
      <w:r>
        <w:rPr/>
        <w:drawing>
          <wp:inline distT="0" distB="0" distL="0" distR="0">
            <wp:extent cx="5929630" cy="427926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8"/>
                    <a:stretch>
                      <a:fillRect/>
                    </a:stretch>
                  </pic:blipFill>
                  <pic:spPr bwMode="auto">
                    <a:xfrm>
                      <a:off x="0" y="0"/>
                      <a:ext cx="5929630" cy="4279265"/>
                    </a:xfrm>
                    <a:prstGeom prst="rect">
                      <a:avLst/>
                    </a:prstGeom>
                    <a:noFill/>
                  </pic:spPr>
                </pic:pic>
              </a:graphicData>
            </a:graphic>
          </wp:inline>
        </w:drawing>
      </w:r>
    </w:p>
    <w:p>
      <w:pPr>
        <w:pStyle w:val="Normal"/>
        <w:rPr/>
      </w:pPr>
      <w:r>
        <w:rPr/>
      </w:r>
    </w:p>
    <w:p>
      <w:pPr>
        <w:pStyle w:val="L1tabs2d"/>
        <w:rPr/>
      </w:pPr>
      <w:r>
        <w:rPr/>
        <w:tab/>
        <w:tab/>
        <w:tab/>
        <w:tab/>
        <w:tab/>
        <w:t>Price Ratios</w:t>
        <w:br/>
        <w:tab/>
      </w:r>
      <w:r>
        <w:rPr>
          <w:u w:val="single"/>
        </w:rPr>
        <w:tab/>
        <w:t>Prices in US$/Barrel</w:t>
        <w:tab/>
      </w:r>
      <w:r>
        <w:rPr/>
        <w:tab/>
      </w:r>
      <w:r>
        <w:rPr>
          <w:u w:val="single"/>
        </w:rPr>
        <w:tab/>
        <w:t>in Percentages</w:t>
        <w:tab/>
      </w:r>
    </w:p>
    <w:p>
      <w:pPr>
        <w:pStyle w:val="L2tablesIId"/>
        <w:spacing w:lineRule="exact" w:line="200"/>
        <w:jc w:val="start"/>
        <w:rPr/>
      </w:pPr>
      <w:r>
        <w:rPr/>
        <w:tab/>
        <w:t>Fuel Oil</w:t>
        <w:tab/>
        <w:t>Crude Oil</w:t>
        <w:tab/>
        <w:tab/>
        <w:br/>
        <w:tab/>
        <w:t>Singapore</w:t>
        <w:tab/>
        <w:t>Delivered to</w:t>
        <w:tab/>
        <w:tab/>
        <w:t xml:space="preserve">FOB Fuel Oil to </w:t>
      </w:r>
    </w:p>
    <w:p>
      <w:pPr>
        <w:pStyle w:val="L3tablesIId"/>
        <w:tabs>
          <w:tab w:val="clear" w:pos="1368"/>
          <w:tab w:val="clear" w:pos="3096"/>
          <w:tab w:val="clear" w:pos="5976"/>
          <w:tab w:val="clear" w:pos="7128"/>
          <w:tab w:val="left" w:pos="1260" w:leader="none"/>
          <w:tab w:val="center" w:pos="2232" w:leader="none"/>
          <w:tab w:val="right" w:pos="3330" w:leader="none"/>
          <w:tab w:val="left" w:pos="4320" w:leader="none"/>
          <w:tab w:val="center" w:pos="5184" w:leader="none"/>
          <w:tab w:val="right" w:pos="6120" w:leader="none"/>
          <w:tab w:val="left" w:pos="7020" w:leader="none"/>
          <w:tab w:val="center" w:pos="8064" w:leader="none"/>
          <w:tab w:val="right" w:pos="9072" w:leader="none"/>
        </w:tabs>
        <w:jc w:val="start"/>
        <w:rPr/>
      </w:pPr>
      <w:r>
        <w:rPr/>
        <w:tab/>
      </w:r>
      <w:r>
        <w:rPr>
          <w:u w:val="single"/>
        </w:rPr>
        <w:tab/>
        <w:t>FOB Cargoes</w:t>
        <w:tab/>
      </w:r>
      <w:r>
        <w:rPr/>
        <w:tab/>
      </w:r>
      <w:r>
        <w:rPr>
          <w:u w:val="single"/>
        </w:rPr>
        <w:tab/>
        <w:t>Singapore</w:t>
        <w:tab/>
      </w:r>
      <w:r>
        <w:rPr/>
        <w:tab/>
      </w:r>
      <w:r>
        <w:rPr>
          <w:u w:val="single"/>
        </w:rPr>
        <w:tab/>
        <w:t>Delivered Crude</w:t>
        <w:tab/>
      </w:r>
      <w:r>
        <w:rPr/>
        <w:br/>
      </w:r>
    </w:p>
    <w:p>
      <w:pPr>
        <w:pStyle w:val="L4tablesIId"/>
        <w:spacing w:lineRule="exact" w:line="200"/>
        <w:rPr/>
      </w:pPr>
      <w:r>
        <w:rPr/>
        <w:tab/>
        <w:tab/>
        <w:tab/>
        <w:tab/>
        <w:tab/>
        <w:t>LSWR</w:t>
        <w:tab/>
        <w:t>HSFO/380</w:t>
        <w:br/>
        <w:tab/>
        <w:tab/>
        <w:tab/>
        <w:tab/>
        <w:tab/>
        <w:t>to</w:t>
        <w:tab/>
        <w:t>to</w:t>
        <w:br/>
      </w:r>
      <w:r>
        <w:rPr>
          <w:u w:val="single"/>
        </w:rPr>
        <w:t>Period</w:t>
      </w:r>
      <w:r>
        <w:rPr/>
        <w:tab/>
      </w:r>
      <w:r>
        <w:rPr>
          <w:u w:val="single"/>
        </w:rPr>
        <w:t>LSWR</w:t>
        <w:tab/>
        <w:t>HSFO/380</w:t>
      </w:r>
      <w:r>
        <w:rPr/>
        <w:tab/>
      </w:r>
      <w:r>
        <w:rPr>
          <w:u w:val="single"/>
        </w:rPr>
        <w:t>Minas</w:t>
        <w:tab/>
        <w:t>Dubai</w:t>
      </w:r>
      <w:r>
        <w:rPr/>
        <w:tab/>
      </w:r>
      <w:r>
        <w:rPr>
          <w:u w:val="single"/>
        </w:rPr>
        <w:t>Minas</w:t>
        <w:tab/>
        <w:t>Dubai</w:t>
      </w:r>
    </w:p>
    <w:p>
      <w:pPr>
        <w:pStyle w:val="bott2D"/>
        <w:rPr/>
      </w:pPr>
      <w:r>
        <w:rPr/>
        <w:t xml:space="preserve">Dec-99 </w:t>
        <w:tab/>
        <w:t xml:space="preserve">21.45 </w:t>
        <w:tab/>
        <w:t xml:space="preserve">21.66 </w:t>
        <w:tab/>
        <w:t xml:space="preserve">24.43 </w:t>
        <w:tab/>
        <w:t xml:space="preserve">23.97 </w:t>
        <w:tab/>
        <w:t>87.8%</w:t>
        <w:tab/>
        <w:t>90.4%</w:t>
      </w:r>
    </w:p>
    <w:p>
      <w:pPr>
        <w:pStyle w:val="bott2D"/>
        <w:rPr/>
      </w:pPr>
      <w:r>
        <w:rPr/>
        <w:t xml:space="preserve">Jan-00 </w:t>
        <w:tab/>
        <w:t xml:space="preserve">21.24 </w:t>
        <w:tab/>
        <w:t xml:space="preserve">21.63 </w:t>
        <w:tab/>
        <w:t xml:space="preserve">24.70 </w:t>
        <w:tab/>
        <w:t xml:space="preserve">24.38 </w:t>
        <w:tab/>
        <w:t>86.0%</w:t>
        <w:tab/>
        <w:t>88.7%</w:t>
      </w:r>
    </w:p>
    <w:p>
      <w:pPr>
        <w:pStyle w:val="bott2D"/>
        <w:rPr/>
      </w:pPr>
      <w:r>
        <w:rPr/>
        <w:t xml:space="preserve">Feb-00 </w:t>
        <w:tab/>
        <w:t xml:space="preserve">21.76 </w:t>
        <w:tab/>
        <w:t xml:space="preserve">21.59 </w:t>
        <w:tab/>
        <w:t xml:space="preserve">25.60 </w:t>
        <w:tab/>
        <w:t xml:space="preserve">25.29 </w:t>
        <w:tab/>
        <w:t>85.0%</w:t>
        <w:tab/>
        <w:t>85.4%</w:t>
      </w:r>
    </w:p>
    <w:p>
      <w:pPr>
        <w:pStyle w:val="bott2D"/>
        <w:rPr/>
      </w:pPr>
      <w:r>
        <w:rPr/>
        <w:t xml:space="preserve">Mar-00 </w:t>
        <w:tab/>
        <w:t xml:space="preserve">22.27 </w:t>
        <w:tab/>
        <w:t xml:space="preserve">21.49 </w:t>
        <w:tab/>
        <w:t xml:space="preserve">25.90 </w:t>
        <w:tab/>
        <w:t xml:space="preserve">25.60 </w:t>
        <w:tab/>
        <w:t>86.0%</w:t>
        <w:tab/>
        <w:t>83.9%</w:t>
      </w:r>
    </w:p>
    <w:p>
      <w:pPr>
        <w:pStyle w:val="bott2D"/>
        <w:rPr/>
      </w:pPr>
      <w:r>
        <w:rPr/>
        <w:t xml:space="preserve">Apr-00 </w:t>
        <w:tab/>
        <w:t xml:space="preserve">21.49 </w:t>
        <w:tab/>
        <w:t xml:space="preserve">20.38 </w:t>
        <w:tab/>
        <w:t xml:space="preserve">24.70 </w:t>
        <w:tab/>
        <w:t xml:space="preserve">24.40 </w:t>
        <w:tab/>
        <w:t>87.0%</w:t>
        <w:tab/>
        <w:t>83.5%</w:t>
      </w:r>
    </w:p>
    <w:p>
      <w:pPr>
        <w:pStyle w:val="bott2D"/>
        <w:rPr/>
      </w:pPr>
      <w:r>
        <w:rPr/>
        <w:t xml:space="preserve">May-00 </w:t>
        <w:tab/>
        <w:t xml:space="preserve">20.56 </w:t>
        <w:tab/>
        <w:t xml:space="preserve">19.53 </w:t>
        <w:tab/>
        <w:t xml:space="preserve">23.50 </w:t>
        <w:tab/>
        <w:t xml:space="preserve">23.40 </w:t>
        <w:tab/>
        <w:t>87.5%</w:t>
        <w:tab/>
        <w:t>83.5%</w:t>
      </w:r>
    </w:p>
    <w:p>
      <w:pPr>
        <w:pStyle w:val="bott2D"/>
        <w:rPr/>
      </w:pPr>
      <w:r>
        <w:rPr/>
        <w:t xml:space="preserve">Jun-00 </w:t>
        <w:tab/>
        <w:t xml:space="preserve">19.62 </w:t>
        <w:tab/>
        <w:t xml:space="preserve">18.70 </w:t>
        <w:tab/>
        <w:t xml:space="preserve">22.30 </w:t>
        <w:tab/>
        <w:t xml:space="preserve">22.40 </w:t>
        <w:tab/>
        <w:t>88.0%</w:t>
        <w:tab/>
        <w:t>83.5%</w:t>
      </w:r>
    </w:p>
    <w:p>
      <w:pPr>
        <w:pStyle w:val="bott2D"/>
        <w:rPr/>
      </w:pPr>
      <w:r>
        <w:rPr/>
        <w:t xml:space="preserve">Jul-00 </w:t>
        <w:tab/>
        <w:t xml:space="preserve">19.40 </w:t>
        <w:tab/>
        <w:t xml:space="preserve">18.43 </w:t>
        <w:tab/>
        <w:t xml:space="preserve">22.05 </w:t>
        <w:tab/>
        <w:t xml:space="preserve">22.15 </w:t>
        <w:tab/>
        <w:t>88.0%</w:t>
        <w:tab/>
        <w:t>83.2%</w:t>
      </w:r>
    </w:p>
    <w:p>
      <w:pPr>
        <w:pStyle w:val="bott2D"/>
        <w:rPr/>
      </w:pPr>
      <w:r>
        <w:rPr/>
        <w:t xml:space="preserve">Aug-00 </w:t>
        <w:tab/>
        <w:t xml:space="preserve">19.23 </w:t>
        <w:tab/>
        <w:t xml:space="preserve">18.32 </w:t>
        <w:tab/>
        <w:t xml:space="preserve">22.10 </w:t>
        <w:tab/>
        <w:t xml:space="preserve">22.00 </w:t>
        <w:tab/>
        <w:t>87.0%</w:t>
        <w:tab/>
        <w:t>83.3%</w:t>
      </w:r>
    </w:p>
    <w:p>
      <w:pPr>
        <w:pStyle w:val="bott2D"/>
        <w:rPr/>
      </w:pPr>
      <w:r>
        <w:rPr/>
        <w:t xml:space="preserve">Sep-00 </w:t>
        <w:tab/>
        <w:t xml:space="preserve">19.36 </w:t>
        <w:tab/>
        <w:t xml:space="preserve">18.51 </w:t>
        <w:tab/>
        <w:t xml:space="preserve">22.25 </w:t>
        <w:tab/>
        <w:t xml:space="preserve">21.95 </w:t>
        <w:tab/>
        <w:t>87.0%</w:t>
        <w:tab/>
        <w:t>84.3%</w:t>
      </w:r>
    </w:p>
    <w:p>
      <w:pPr>
        <w:pStyle w:val="bott2D"/>
        <w:rPr/>
      </w:pPr>
      <w:r>
        <w:rPr/>
        <w:t xml:space="preserve">Oct-00 </w:t>
        <w:tab/>
        <w:t xml:space="preserve">19.76 </w:t>
        <w:tab/>
        <w:t xml:space="preserve">18.77 </w:t>
        <w:tab/>
        <w:t xml:space="preserve">22.45 </w:t>
        <w:tab/>
        <w:t xml:space="preserve">22.15 </w:t>
        <w:tab/>
        <w:t>88.0%</w:t>
        <w:tab/>
        <w:t>84.7%</w:t>
      </w:r>
    </w:p>
    <w:p>
      <w:pPr>
        <w:pStyle w:val="bott2D"/>
        <w:rPr/>
      </w:pPr>
      <w:r>
        <w:rPr/>
        <w:t xml:space="preserve">Nov-00 </w:t>
        <w:tab/>
        <w:t xml:space="preserve">19.84 </w:t>
        <w:tab/>
        <w:t xml:space="preserve">18.84 </w:t>
        <w:tab/>
        <w:t xml:space="preserve">22.55 </w:t>
        <w:tab/>
        <w:t xml:space="preserve">22.25 </w:t>
        <w:tab/>
        <w:t>88.0%</w:t>
        <w:tab/>
        <w:t>84.7%</w:t>
      </w:r>
    </w:p>
    <w:p>
      <w:pPr>
        <w:pStyle w:val="bott2D"/>
        <w:rPr/>
      </w:pPr>
      <w:r>
        <w:rPr/>
      </w:r>
    </w:p>
    <w:p>
      <w:pPr>
        <w:pStyle w:val="bott2D"/>
        <w:rPr/>
      </w:pPr>
      <w:r>
        <w:rPr/>
      </w:r>
    </w:p>
    <w:p>
      <w:pPr>
        <w:pStyle w:val="Normal"/>
        <w:tabs>
          <w:tab w:val="clear" w:pos="720"/>
          <w:tab w:val="left" w:pos="792" w:leader="none"/>
          <w:tab w:val="center" w:pos="3888" w:leader="none"/>
          <w:tab w:val="center" w:pos="7776" w:leader="none"/>
          <w:tab w:val="center" w:pos="8208" w:leader="none"/>
        </w:tabs>
        <w:spacing w:lineRule="exact" w:line="240"/>
        <w:ind w:hanging="792" w:start="792" w:end="0"/>
        <w:rPr>
          <w:sz w:val="20"/>
          <w:szCs w:val="20"/>
        </w:rPr>
      </w:pPr>
      <w:r>
        <w:rPr>
          <w:sz w:val="20"/>
          <w:szCs w:val="20"/>
        </w:rPr>
        <w:t>Note:</w:t>
        <w:tab/>
        <w:t>HSFO converted at 6.4146 barrels per metric ton.</w:t>
      </w:r>
      <w:r>
        <w:br w:type="page"/>
      </w:r>
    </w:p>
    <w:p>
      <w:pPr>
        <w:pStyle w:val="Normal"/>
        <w:rPr>
          <w:sz w:val="20"/>
          <w:szCs w:val="20"/>
        </w:rPr>
      </w:pPr>
      <w:r>
        <w:rPr>
          <w:sz w:val="20"/>
          <w:szCs w:val="20"/>
        </w:rPr>
      </w:r>
    </w:p>
    <w:p>
      <w:pPr>
        <w:pStyle w:val="Heading1"/>
        <w:ind w:hanging="0" w:start="0"/>
        <w:rPr/>
      </w:pPr>
      <w:r>
        <w:rPr/>
        <w:t>Part III:  SPECIAL FEATURE</w:t>
      </w:r>
    </w:p>
    <w:p>
      <w:pPr>
        <w:pStyle w:val="Heading4"/>
        <w:ind w:hanging="0" w:start="0"/>
        <w:rPr/>
      </w:pPr>
      <w:r>
        <w:rPr/>
      </w:r>
    </w:p>
    <w:p>
      <w:pPr>
        <w:pStyle w:val="Heading4"/>
        <w:ind w:hanging="0" w:start="0"/>
        <w:rPr/>
      </w:pPr>
      <w:r>
        <w:rPr/>
        <w:t>Analysis of the Resid Market in Chile</w:t>
      </w:r>
    </w:p>
    <w:p>
      <w:pPr>
        <w:pStyle w:val="Normal"/>
        <w:rPr/>
      </w:pPr>
      <w:r>
        <w:rPr/>
      </w:r>
    </w:p>
    <w:p>
      <w:pPr>
        <w:pStyle w:val="Normal"/>
        <w:spacing w:lineRule="auto" w:line="240"/>
        <w:rPr/>
      </w:pPr>
      <w:r>
        <w:rPr/>
        <w:t>In this issue’s Special Feature, we examine the residual fuel oil market in Chile.</w:t>
      </w:r>
    </w:p>
    <w:p>
      <w:pPr>
        <w:pStyle w:val="Normal"/>
        <w:spacing w:lineRule="auto" w:line="240"/>
        <w:rPr/>
      </w:pPr>
      <w:r>
        <w:rPr/>
        <w:t>We consider both supply (production and imports) and demand (consumption and exports).  Following the text, a table shows Chilean fuel oil balances.  A map shows the location of refineries, key resid-burning power plants, and a key bunkering area.</w:t>
      </w:r>
    </w:p>
    <w:p>
      <w:pPr>
        <w:pStyle w:val="Normal"/>
        <w:spacing w:lineRule="auto" w:line="240"/>
        <w:rPr/>
      </w:pPr>
      <w:r>
        <w:rPr/>
      </w:r>
    </w:p>
    <w:p>
      <w:pPr>
        <w:pStyle w:val="Normal"/>
        <w:spacing w:lineRule="auto" w:line="240"/>
        <w:jc w:val="center"/>
        <w:rPr>
          <w:b/>
          <w:bCs/>
        </w:rPr>
      </w:pPr>
      <w:r>
        <w:rPr>
          <w:b/>
          <w:bCs/>
        </w:rPr>
        <w:t>Supply</w:t>
      </w:r>
    </w:p>
    <w:p>
      <w:pPr>
        <w:pStyle w:val="keydev"/>
        <w:rPr/>
      </w:pPr>
      <w:r>
        <w:rPr/>
        <w:t>Production</w:t>
      </w:r>
    </w:p>
    <w:p>
      <w:pPr>
        <w:pStyle w:val="Normal"/>
        <w:spacing w:lineRule="auto" w:line="240"/>
        <w:rPr/>
      </w:pPr>
      <w:r>
        <w:rPr/>
        <w:t>Chile’s residual fuel oil production from the refineries is 1.6-1.7 million tons a year.</w:t>
      </w:r>
    </w:p>
    <w:p>
      <w:pPr>
        <w:pStyle w:val="Normal"/>
        <w:spacing w:lineRule="auto" w:line="240"/>
        <w:rPr/>
      </w:pPr>
      <w:r>
        <w:rPr/>
      </w:r>
    </w:p>
    <w:p>
      <w:pPr>
        <w:pStyle w:val="Normal"/>
        <w:spacing w:lineRule="auto" w:line="240"/>
        <w:rPr/>
      </w:pPr>
      <w:r>
        <w:rPr/>
        <w:t>State-owned Empresa Nacional de Petroleo (ENAP) and its subsidiaries operate three oil refineries in Chile.  The three refineries — Petrox SA, Refinaria de Petroleo Concon, and  the Gregorio Magellanes plant — have a combined capacity of about 200,000 barrels per day.  The Petrox refinery is located at Talcohuano.  The Refinaria de Petroleo Concon refinery is located north of Valparaiso in Concon, and the third one — Gregorio Magellan — is in the far south of the country.</w:t>
      </w:r>
    </w:p>
    <w:p>
      <w:pPr>
        <w:pStyle w:val="keydev"/>
        <w:rPr/>
      </w:pPr>
      <w:r>
        <w:rPr/>
        <w:tab/>
        <w:t>Petrox</w:t>
      </w:r>
    </w:p>
    <w:p>
      <w:pPr>
        <w:pStyle w:val="Normal"/>
        <w:spacing w:lineRule="auto" w:line="240"/>
        <w:rPr/>
      </w:pPr>
      <w:r>
        <w:rPr/>
        <w:t>The Petrox refinery. located at Talcohuano, has crude capacity of 101,000 b/cd and vacuum distillation capacity of 46,300 b/cd.  Additionally, the plant has a cat cracker (20,800 b/cd), a visbreaker (11,000 b/cd), and a hydrocracker (9,000 b/cd).</w:t>
      </w:r>
    </w:p>
    <w:p>
      <w:pPr>
        <w:pStyle w:val="Normal"/>
        <w:spacing w:lineRule="auto" w:line="240"/>
        <w:rPr/>
      </w:pPr>
      <w:r>
        <w:rPr/>
      </w:r>
    </w:p>
    <w:p>
      <w:pPr>
        <w:pStyle w:val="Normal"/>
        <w:spacing w:lineRule="auto" w:line="240"/>
        <w:rPr/>
      </w:pPr>
      <w:r>
        <w:rPr/>
        <w:t>Recently, the Petrox plant has been upgraded.  ENAP and FosterWheeler collaborated on a 12,000 b/d delayed coker, an extended hydrotreater, and a cogeneration facility.  The cogeneration plant consumes green coke for the production of electricity, high-pressure steam, and demineralized water.  Excess electricity capacity of 39 MW is available for sale to third parties.</w:t>
      </w:r>
    </w:p>
    <w:p>
      <w:pPr>
        <w:pStyle w:val="Normal"/>
        <w:spacing w:lineRule="auto" w:line="240"/>
        <w:rPr/>
      </w:pPr>
      <w:r>
        <w:rPr/>
      </w:r>
    </w:p>
    <w:p>
      <w:pPr>
        <w:pStyle w:val="Normal"/>
        <w:spacing w:lineRule="auto" w:line="240"/>
        <w:rPr/>
      </w:pPr>
      <w:r>
        <w:rPr/>
        <w:t xml:space="preserve">Since installing the coker in 1998, fuel oil output has apparently ceased.  Prior to the installation of the coker, the plant produced about 12,000 b/d of fuel oil.  </w:t>
      </w:r>
    </w:p>
    <w:p>
      <w:pPr>
        <w:pStyle w:val="keydev"/>
        <w:rPr/>
      </w:pPr>
      <w:r>
        <w:rPr/>
        <w:tab/>
        <w:t>Refineria de Petroleo Concon</w:t>
      </w:r>
    </w:p>
    <w:p>
      <w:pPr>
        <w:pStyle w:val="Normal"/>
        <w:spacing w:lineRule="auto" w:line="240"/>
        <w:ind w:end="-90"/>
        <w:rPr/>
      </w:pPr>
      <w:r>
        <w:rPr/>
        <w:t>The Concon plant, located near Quintero, has crude capacity of 95,000 b/cd.  Concon’s downstream units include a vacuum distillation tower (47,000 b/cd), a visbreaker (10,000 b/cd), a cat cracker (25,000 b/cd) and a hydrocracker (10,000 b/cd). Concon, which has asphalt production capacity of about 10,000 b/cd, produces 1.3-1.5%S fuel oil.</w:t>
      </w:r>
    </w:p>
    <w:p>
      <w:pPr>
        <w:pStyle w:val="Normal"/>
        <w:spacing w:lineRule="auto" w:line="240"/>
        <w:rPr/>
      </w:pPr>
      <w:r>
        <w:rPr/>
      </w:r>
    </w:p>
    <w:p>
      <w:pPr>
        <w:pStyle w:val="Normal"/>
        <w:spacing w:lineRule="auto" w:line="240"/>
        <w:rPr/>
      </w:pPr>
      <w:r>
        <w:rPr/>
        <w:t>A new refinery configuration at Concon includes  a hydrotreater, expanded crude capacity and expanded hydrocracking.  Altogether, residual fuel oil output is likely to decline as a result of these investments.</w:t>
      </w:r>
    </w:p>
    <w:p>
      <w:pPr>
        <w:pStyle w:val="keydev"/>
        <w:rPr/>
      </w:pPr>
      <w:r>
        <w:rPr/>
        <w:tab/>
        <w:t>Gregorio Magellanes</w:t>
      </w:r>
    </w:p>
    <w:p>
      <w:pPr>
        <w:pStyle w:val="Normal"/>
        <w:spacing w:lineRule="auto" w:line="240"/>
        <w:rPr/>
      </w:pPr>
      <w:r>
        <w:rPr/>
        <w:t>ENAP’s Gregorio Magellanes topping plant, located in the far south of Chile, has crude capacity of 10,000 b/cd.  The plant’s straight-run fuel oil is processed in other Chilean refineries or enters the bunker market.</w:t>
      </w:r>
    </w:p>
    <w:p>
      <w:pPr>
        <w:pStyle w:val="keydev"/>
        <w:rPr/>
      </w:pPr>
      <w:r>
        <w:rPr/>
        <w:t>Imports</w:t>
      </w:r>
    </w:p>
    <w:p>
      <w:pPr>
        <w:pStyle w:val="Normal"/>
        <w:spacing w:lineRule="auto" w:line="240"/>
        <w:rPr/>
      </w:pPr>
      <w:r>
        <w:rPr/>
        <w:t>From 1995 to 1997, Chile’s fuel oil imports ran between 400,000 and 480,000 tons per year.  In 1998, imports fell to only 160,000 tons as local consumption declined.  Inventory drawdown also played a role in the drop in imports.</w:t>
      </w:r>
    </w:p>
    <w:p>
      <w:pPr>
        <w:pStyle w:val="Normal"/>
        <w:spacing w:lineRule="auto" w:line="240"/>
        <w:rPr/>
      </w:pPr>
      <w:r>
        <w:rPr/>
      </w:r>
    </w:p>
    <w:p>
      <w:pPr>
        <w:pStyle w:val="Normal"/>
        <w:spacing w:lineRule="auto" w:line="240"/>
        <w:rPr/>
      </w:pPr>
      <w:r>
        <w:rPr/>
        <w:t xml:space="preserve">The first half of 1999 was marked by a severe drought associated with the La Niña weather pattern.  The drought led to a collapse in hydropower production.  Chile turned to oil-fired power stations to compensate for lost hydropower.  To meet higher oil requirements, Chile turned to the international market for diesel and fuel oil supplies (see </w:t>
      </w:r>
      <w:r>
        <w:rPr>
          <w:i/>
          <w:iCs/>
        </w:rPr>
        <w:t>Fuel Oil in World Markets</w:t>
      </w:r>
      <w:r>
        <w:rPr/>
        <w:t>, April 1999, p.1).  Substantial rainfall in the second half of 1999 led to a resumption in the supply of hydropower.</w:t>
      </w:r>
    </w:p>
    <w:p>
      <w:pPr>
        <w:pStyle w:val="Normal"/>
        <w:spacing w:lineRule="auto" w:line="240"/>
        <w:rPr/>
      </w:pPr>
      <w:r>
        <w:rPr/>
      </w:r>
    </w:p>
    <w:p>
      <w:pPr>
        <w:pStyle w:val="Normal"/>
        <w:spacing w:lineRule="auto" w:line="240"/>
        <w:rPr/>
      </w:pPr>
      <w:r>
        <w:rPr/>
        <w:t>Meanwhile, ENAP entered a contract with an international trading company for six cargoes of 2.5%S fuel oil.  ENAP received one cargo by September 1999.  ENAP is apparently considering taking two cargoes in February 2000.</w:t>
      </w:r>
    </w:p>
    <w:p>
      <w:pPr>
        <w:pStyle w:val="Normal"/>
        <w:spacing w:lineRule="auto" w:line="240"/>
        <w:rPr/>
      </w:pPr>
      <w:r>
        <w:rPr/>
      </w:r>
    </w:p>
    <w:p>
      <w:pPr>
        <w:pStyle w:val="Normal"/>
        <w:spacing w:lineRule="auto" w:line="240"/>
        <w:jc w:val="center"/>
        <w:rPr>
          <w:b/>
          <w:bCs/>
        </w:rPr>
      </w:pPr>
      <w:r>
        <w:rPr>
          <w:b/>
          <w:bCs/>
        </w:rPr>
        <w:t>Demand</w:t>
      </w:r>
    </w:p>
    <w:p>
      <w:pPr>
        <w:pStyle w:val="keydev"/>
        <w:rPr/>
      </w:pPr>
      <w:r>
        <w:rPr/>
        <w:t>Consumption</w:t>
      </w:r>
    </w:p>
    <w:p>
      <w:pPr>
        <w:pStyle w:val="Normal"/>
        <w:spacing w:lineRule="auto" w:line="240"/>
        <w:rPr/>
      </w:pPr>
      <w:r>
        <w:rPr/>
        <w:t>In recent years, Chile has consumed 1.9-2.1 million tons of fuel oil annually.</w:t>
      </w:r>
    </w:p>
    <w:p>
      <w:pPr>
        <w:pStyle w:val="keydev"/>
        <w:rPr/>
      </w:pPr>
      <w:r>
        <w:rPr/>
        <w:tab/>
        <w:t>Power Generation</w:t>
      </w:r>
    </w:p>
    <w:p>
      <w:pPr>
        <w:pStyle w:val="Normal"/>
        <w:spacing w:lineRule="auto" w:line="240"/>
        <w:rPr/>
      </w:pPr>
      <w:r>
        <w:rPr/>
        <w:t xml:space="preserve">Chile consumed about 390,000 tons of fuel oil for power generation in 1998.  </w:t>
      </w:r>
    </w:p>
    <w:p>
      <w:pPr>
        <w:pStyle w:val="Normal"/>
        <w:spacing w:lineRule="auto" w:line="240"/>
        <w:rPr/>
      </w:pPr>
      <w:r>
        <w:rPr/>
      </w:r>
    </w:p>
    <w:p>
      <w:pPr>
        <w:pStyle w:val="Normal"/>
        <w:spacing w:lineRule="auto" w:line="240"/>
        <w:rPr/>
      </w:pPr>
      <w:r>
        <w:rPr/>
        <w:t>Chile’s electricity grid consists of four networks: the Sistema Interconectado Norte Grande (SING), the Sistema Interconectado Central (SIC), the Aysen network, and the Magellanes network.</w:t>
      </w:r>
    </w:p>
    <w:p>
      <w:pPr>
        <w:pStyle w:val="Normal"/>
        <w:spacing w:lineRule="auto" w:line="240"/>
        <w:rPr/>
      </w:pPr>
      <w:r>
        <w:rPr/>
      </w:r>
    </w:p>
    <w:p>
      <w:pPr>
        <w:pStyle w:val="Normal"/>
        <w:spacing w:lineRule="auto" w:line="240"/>
        <w:rPr/>
      </w:pPr>
      <w:r>
        <w:rPr/>
        <w:t>SIC covers central Chile from Puerto Montt in the south to Antofagasta in the north.  SING supplies electricity to the entire region north of Antofagasta.  The Aysen network stretches from Puerto Montt to the area south of Puerto Aisen, while the Magellanes network covers the southern tip of Chile.  The last two networks have little or no resid-fired generating capacity.</w:t>
      </w:r>
    </w:p>
    <w:p>
      <w:pPr>
        <w:pStyle w:val="Normal"/>
        <w:spacing w:lineRule="auto" w:line="240"/>
        <w:rPr/>
      </w:pPr>
      <w:r>
        <w:rPr/>
      </w:r>
    </w:p>
    <w:p>
      <w:pPr>
        <w:pStyle w:val="Normal"/>
        <w:spacing w:lineRule="auto" w:line="240"/>
        <w:rPr/>
      </w:pPr>
      <w:r>
        <w:rPr/>
        <w:t>In the SING, which mainly serves the energy needs of the Chilean copper industry, more than 99 percent of generating capacity is thermoelectric, of which approximately 11% uses residual fuel oil as its fuel.  Four fuel oil-fired units in SING burn No. 6 Oil.</w:t>
      </w:r>
    </w:p>
    <w:p>
      <w:pPr>
        <w:pStyle w:val="Normal"/>
        <w:spacing w:lineRule="auto" w:line="240"/>
        <w:rPr/>
      </w:pPr>
      <w:r>
        <w:rPr/>
      </w:r>
    </w:p>
    <w:p>
      <w:pPr>
        <w:pStyle w:val="Normal"/>
        <w:spacing w:lineRule="auto" w:line="240"/>
        <w:rPr/>
      </w:pPr>
      <w:r>
        <w:rPr/>
        <w:t>In SIC, 57 percent of power generation capacity is hydroelectric (dams and run of the river facilities).  The balance of SIC’s plants are thermoelectric plants.  The SIC grid provides electricity to 93 percent of the Chilean population, which is mainly located in the metropolitan area around Santiago.  The only resid-fired plant in SIC is located at Huasco.  The Huasco plant, which consists of three 21 MW units, burns IFO 180.  Huasco capacity represents less than 1 percent of total power generating capacity in the SIC grid.</w:t>
      </w:r>
    </w:p>
    <w:p>
      <w:pPr>
        <w:pStyle w:val="Normal"/>
        <w:spacing w:lineRule="auto" w:line="240"/>
        <w:rPr/>
      </w:pPr>
      <w:r>
        <w:rPr/>
      </w:r>
    </w:p>
    <w:p>
      <w:pPr>
        <w:pStyle w:val="Normal"/>
        <w:spacing w:lineRule="auto" w:line="240"/>
        <w:rPr/>
      </w:pPr>
      <w:r>
        <w:rPr/>
        <w:t>In northern Chile, a considerable amount of power generating capacity is becoming operational in 1999 and most of this additional capacity is fueled by natural gas.  Supply of natural gas has substantially increased following the recent completion of two trans-Andean natural gas pipelines from Argentina (Atacama and Norandino).  By the second quarter of 2000, the share of fuel oil-fired power generation capacity in the northern grid will fall to approximately 7 percent of the total when new gas-fired combined-cycle units in Mejillones and Tocopilla are expected to become fully operational.  Fuel oil consumption in the SING region is expected to disappear in 2000 once the gas-fired units in Mejillones and Tocopilla start operating.</w:t>
      </w:r>
    </w:p>
    <w:p>
      <w:pPr>
        <w:pStyle w:val="Normal"/>
        <w:spacing w:lineRule="auto" w:line="240"/>
        <w:rPr/>
      </w:pPr>
      <w:r>
        <w:rPr/>
      </w:r>
    </w:p>
    <w:p>
      <w:pPr>
        <w:pStyle w:val="Normal"/>
        <w:spacing w:lineRule="auto" w:line="240"/>
        <w:rPr/>
      </w:pPr>
      <w:r>
        <w:rPr/>
        <w:t>Fuel oil consumption levels for power generation have varied dramatically in line with changing hydrological conditions.  For instance, Huasco’s</w:t>
      </w:r>
      <w:r>
        <w:rPr>
          <w:i/>
          <w:iCs/>
        </w:rPr>
        <w:t xml:space="preserve"> </w:t>
      </w:r>
      <w:r>
        <w:rPr/>
        <w:t>fuel oil consumption has varied considerably over the last decade from almost nil in 1993 to a high of about 78,000 tons in 1990.  Huasco’s 1999 projected fuel oil consumption is 44,500 tons.</w:t>
      </w:r>
    </w:p>
    <w:p>
      <w:pPr>
        <w:pStyle w:val="keydev"/>
        <w:rPr/>
      </w:pPr>
      <w:r>
        <w:rPr/>
        <w:tab/>
        <w:t>Industry</w:t>
      </w:r>
    </w:p>
    <w:p>
      <w:pPr>
        <w:pStyle w:val="Normal"/>
        <w:spacing w:lineRule="auto" w:line="240"/>
        <w:rPr/>
      </w:pPr>
      <w:r>
        <w:rPr/>
        <w:t xml:space="preserve">Industry is the biggest user of fuel oil in Chile.  </w:t>
      </w:r>
    </w:p>
    <w:p>
      <w:pPr>
        <w:pStyle w:val="Normal"/>
        <w:spacing w:lineRule="auto" w:line="240"/>
        <w:rPr/>
      </w:pPr>
      <w:r>
        <w:rPr/>
      </w:r>
    </w:p>
    <w:p>
      <w:pPr>
        <w:pStyle w:val="Normal"/>
        <w:spacing w:lineRule="auto" w:line="240"/>
        <w:rPr/>
      </w:pPr>
      <w:r>
        <w:rPr/>
        <w:t>Industrial users consumed about 950,000 tons of fuel oil in 1998.  Of that amount, the copper industry consumed about 260,000 tons and the paper industry about 140,000 tons of fuel oil.</w:t>
      </w:r>
    </w:p>
    <w:p>
      <w:pPr>
        <w:pStyle w:val="keydev"/>
        <w:rPr/>
      </w:pPr>
      <w:r>
        <w:rPr/>
        <w:tab/>
        <w:t>Bunker Fuel</w:t>
      </w:r>
    </w:p>
    <w:p>
      <w:pPr>
        <w:pStyle w:val="Normal"/>
        <w:spacing w:lineRule="auto" w:line="240"/>
        <w:rPr/>
      </w:pPr>
      <w:r>
        <w:rPr/>
        <w:t xml:space="preserve">In 1998, bunker fuel consumption in Chile amounted to 430,000 tons.  Bunkering ports are located in Quintero, Valparaiso, San Antonio, and Puerto Ventanas.  Bunker suppliers include Shell Chile, Esso Chile, Compania de Petroleos de Chile (Copec), and Coastal. </w:t>
      </w:r>
    </w:p>
    <w:p>
      <w:pPr>
        <w:pStyle w:val="Normal"/>
        <w:spacing w:lineRule="auto" w:line="240"/>
        <w:rPr/>
      </w:pPr>
      <w:r>
        <w:rPr/>
      </w:r>
    </w:p>
    <w:p>
      <w:pPr>
        <w:pStyle w:val="Normal"/>
        <w:spacing w:lineRule="auto" w:line="240"/>
        <w:rPr/>
      </w:pPr>
      <w:r>
        <w:rPr/>
        <w:t xml:space="preserve">A new entrant in the Chilean bunker business is Petroleos, Asfaltos y Combustibles SA (PACSA).  PACSA operates a storage and blending terminal at Puerto Ventanas.  The company’s bunkering vessel is capable of servicing ships calling on San Antonio, Valparaiso, and Los Villos.  PACSA plans to rely primarily on imported fuel oil for its Chilean bunker operations (see </w:t>
      </w:r>
      <w:r>
        <w:rPr>
          <w:i/>
          <w:iCs/>
        </w:rPr>
        <w:t>Fuel Oil in World Markets</w:t>
      </w:r>
      <w:r>
        <w:rPr/>
        <w:t>, September 1999, p. 3).</w:t>
      </w:r>
    </w:p>
    <w:p>
      <w:pPr>
        <w:pStyle w:val="keydev"/>
        <w:rPr/>
      </w:pPr>
      <w:r>
        <w:rPr/>
        <w:t>Exports</w:t>
      </w:r>
    </w:p>
    <w:p>
      <w:pPr>
        <w:pStyle w:val="Normal"/>
        <w:spacing w:lineRule="auto" w:line="240"/>
        <w:rPr/>
      </w:pPr>
      <w:r>
        <w:rPr/>
        <w:t>Chile has not exported any fuel oil for a number of years.</w:t>
      </w:r>
    </w:p>
    <w:p>
      <w:pPr>
        <w:pStyle w:val="keydev"/>
        <w:rPr/>
      </w:pPr>
      <w:r>
        <w:rPr/>
        <w:t>Conclusion</w:t>
      </w:r>
    </w:p>
    <w:p>
      <w:pPr>
        <w:pStyle w:val="Normal"/>
        <w:spacing w:lineRule="auto" w:line="240"/>
        <w:rPr/>
      </w:pPr>
      <w:r>
        <w:rPr/>
        <w:t>Over the near term, fuel oil use in power generation and bunkers look to move in opposite directions.</w:t>
      </w:r>
    </w:p>
    <w:p>
      <w:pPr>
        <w:pStyle w:val="Normal"/>
        <w:spacing w:lineRule="auto" w:line="240"/>
        <w:rPr/>
      </w:pPr>
      <w:r>
        <w:rPr/>
      </w:r>
    </w:p>
    <w:p>
      <w:pPr>
        <w:pStyle w:val="Normal"/>
        <w:spacing w:lineRule="auto" w:line="240"/>
        <w:rPr/>
      </w:pPr>
      <w:r>
        <w:rPr/>
        <w:t>Chile’s fuel oil consumption for power generation is expected to decline over the near term.  Natural gas is expected to reduce the need for fuel oil in power generations.  Part of Chile’s fuel oil-fired power generation capacity will likely be retired as a result of rising gas usage.</w:t>
      </w:r>
    </w:p>
    <w:p>
      <w:pPr>
        <w:pStyle w:val="Normal"/>
        <w:spacing w:lineRule="auto" w:line="240"/>
        <w:rPr/>
      </w:pPr>
      <w:r>
        <w:rPr/>
      </w:r>
    </w:p>
    <w:p>
      <w:pPr>
        <w:pStyle w:val="Normal"/>
        <w:spacing w:lineRule="auto" w:line="240"/>
        <w:rPr/>
      </w:pPr>
      <w:r>
        <w:rPr/>
        <w:t>By contrast, fuel oil consumption for marine bunkers is expected to grow.  The expected growth is linked to PACSA’s efforts to develop the Chilean bunker market.</w:t>
      </w:r>
    </w:p>
    <w:p>
      <w:pPr>
        <w:pStyle w:val="Normal"/>
        <w:spacing w:lineRule="auto" w:line="240"/>
        <w:rPr/>
      </w:pPr>
      <w:r>
        <w:rPr/>
      </w:r>
    </w:p>
    <w:p>
      <w:pPr>
        <w:pStyle w:val="Normal"/>
        <w:spacing w:lineRule="auto" w:line="240"/>
        <w:rPr/>
      </w:pPr>
      <w:r>
        <w:rPr/>
        <w:t>Clearly, industry will remain the main outlet for fuel oil in Chile.  However, the substitution of natural gas may also cause declines in future fuel oil usage by this sector.</w:t>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tbl>
      <w:tblPr>
        <w:tblW w:w="8095" w:type="dxa"/>
        <w:jc w:val="center"/>
        <w:tblInd w:w="0" w:type="dxa"/>
        <w:tblLayout w:type="fixed"/>
        <w:tblCellMar>
          <w:top w:w="0" w:type="dxa"/>
          <w:start w:w="30" w:type="dxa"/>
          <w:bottom w:w="0" w:type="dxa"/>
          <w:end w:w="30" w:type="dxa"/>
        </w:tblCellMar>
      </w:tblPr>
      <w:tblGrid>
        <w:gridCol w:w="2018"/>
        <w:gridCol w:w="1025"/>
        <w:gridCol w:w="1011"/>
        <w:gridCol w:w="1010"/>
        <w:gridCol w:w="1010"/>
        <w:gridCol w:w="1011"/>
        <w:gridCol w:w="1010"/>
      </w:tblGrid>
      <w:tr>
        <w:trPr>
          <w:trHeight w:val="220" w:hRule="atLeast"/>
        </w:trPr>
        <w:tc>
          <w:tcPr>
            <w:tcW w:w="8095" w:type="dxa"/>
            <w:gridSpan w:val="7"/>
            <w:tcBorders/>
          </w:tcPr>
          <w:p>
            <w:pPr>
              <w:pStyle w:val="Normal"/>
              <w:spacing w:lineRule="atLeast" w:line="220"/>
              <w:jc w:val="center"/>
              <w:rPr>
                <w:b/>
                <w:bCs/>
                <w:color w:val="000000"/>
                <w:sz w:val="20"/>
                <w:szCs w:val="20"/>
              </w:rPr>
            </w:pPr>
            <w:r>
              <w:rPr>
                <w:b/>
                <w:bCs/>
                <w:color w:val="000000"/>
                <w:sz w:val="20"/>
                <w:szCs w:val="20"/>
              </w:rPr>
              <w:t>Table III-A:  Chile, Fuel Oil Balances, 1993-1998</w:t>
            </w:r>
          </w:p>
        </w:tc>
        <w:tc>
          <w:tcPr>
            <w:tcW w:w="0" w:type="dxa"/>
            <w:vMerge w:val="continue"/>
            <w:tcBorders/>
          </w:tcPr>
          <w:p>
            <w:pPr>
              <w:pStyle w:val="Normal"/>
              <w:snapToGrid w:val="false"/>
              <w:spacing w:lineRule="atLeast" w:line="220"/>
              <w:jc w:val="center"/>
              <w:rPr>
                <w:b/>
                <w:bCs/>
                <w:color w:val="000000"/>
                <w:sz w:val="20"/>
                <w:szCs w:val="20"/>
              </w:rPr>
            </w:pPr>
            <w:r>
              <w:rPr>
                <w:b/>
                <w:bCs/>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r>
      <w:tr>
        <w:trPr>
          <w:trHeight w:val="220" w:hRule="atLeast"/>
        </w:trPr>
        <w:tc>
          <w:tcPr>
            <w:tcW w:w="8095" w:type="dxa"/>
            <w:gridSpan w:val="7"/>
            <w:tcBorders/>
          </w:tcPr>
          <w:p>
            <w:pPr>
              <w:pStyle w:val="Normal"/>
              <w:spacing w:lineRule="atLeast" w:line="220"/>
              <w:jc w:val="center"/>
              <w:rPr>
                <w:color w:val="000000"/>
                <w:sz w:val="20"/>
                <w:szCs w:val="20"/>
              </w:rPr>
            </w:pPr>
            <w:r>
              <w:rPr>
                <w:color w:val="000000"/>
                <w:sz w:val="20"/>
                <w:szCs w:val="20"/>
              </w:rPr>
              <w:t>(Thousand Metric Tons)</w:t>
            </w:r>
          </w:p>
          <w:p>
            <w:pPr>
              <w:pStyle w:val="Normal"/>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c>
          <w:tcPr>
            <w:tcW w:w="0" w:type="dxa"/>
            <w:vMerge w:val="continue"/>
            <w:tcBorders/>
          </w:tcPr>
          <w:p>
            <w:pPr>
              <w:pStyle w:val="Normal"/>
              <w:snapToGrid w:val="false"/>
              <w:spacing w:lineRule="atLeast" w:line="220"/>
              <w:jc w:val="center"/>
              <w:rPr>
                <w:color w:val="000000"/>
                <w:sz w:val="20"/>
                <w:szCs w:val="20"/>
              </w:rPr>
            </w:pPr>
            <w:r>
              <w:rPr>
                <w:color w:val="000000"/>
                <w:sz w:val="20"/>
                <w:szCs w:val="20"/>
              </w:rPr>
            </w:r>
          </w:p>
        </w:tc>
      </w:tr>
      <w:tr>
        <w:trPr>
          <w:trHeight w:val="220" w:hRule="atLeast"/>
        </w:trPr>
        <w:tc>
          <w:tcPr>
            <w:tcW w:w="2018" w:type="dxa"/>
            <w:tcBorders/>
          </w:tcPr>
          <w:p>
            <w:pPr>
              <w:pStyle w:val="Normal"/>
              <w:snapToGrid w:val="false"/>
              <w:spacing w:lineRule="atLeast" w:line="220"/>
              <w:jc w:val="end"/>
              <w:rPr>
                <w:b/>
                <w:bCs/>
                <w:color w:val="000000"/>
                <w:sz w:val="20"/>
                <w:szCs w:val="20"/>
              </w:rPr>
            </w:pPr>
            <w:r>
              <w:rPr>
                <w:b/>
                <w:bCs/>
                <w:color w:val="000000"/>
                <w:sz w:val="20"/>
                <w:szCs w:val="20"/>
              </w:rPr>
            </w:r>
          </w:p>
        </w:tc>
        <w:tc>
          <w:tcPr>
            <w:tcW w:w="1025" w:type="dxa"/>
            <w:tcBorders/>
          </w:tcPr>
          <w:p>
            <w:pPr>
              <w:pStyle w:val="Normal"/>
              <w:spacing w:lineRule="atLeast" w:line="220"/>
              <w:jc w:val="end"/>
              <w:rPr>
                <w:color w:val="000000"/>
                <w:sz w:val="20"/>
                <w:szCs w:val="20"/>
                <w:u w:val="single"/>
              </w:rPr>
            </w:pPr>
            <w:r>
              <w:rPr>
                <w:color w:val="000000"/>
                <w:sz w:val="20"/>
                <w:szCs w:val="20"/>
                <w:u w:val="single"/>
              </w:rPr>
              <w:t>1993</w:t>
            </w:r>
          </w:p>
        </w:tc>
        <w:tc>
          <w:tcPr>
            <w:tcW w:w="1011" w:type="dxa"/>
            <w:tcBorders/>
          </w:tcPr>
          <w:p>
            <w:pPr>
              <w:pStyle w:val="Normal"/>
              <w:spacing w:lineRule="atLeast" w:line="220"/>
              <w:jc w:val="end"/>
              <w:rPr>
                <w:color w:val="000000"/>
                <w:sz w:val="20"/>
                <w:szCs w:val="20"/>
                <w:u w:val="single"/>
              </w:rPr>
            </w:pPr>
            <w:r>
              <w:rPr>
                <w:color w:val="000000"/>
                <w:sz w:val="20"/>
                <w:szCs w:val="20"/>
                <w:u w:val="single"/>
              </w:rPr>
              <w:t>1994</w:t>
            </w:r>
          </w:p>
        </w:tc>
        <w:tc>
          <w:tcPr>
            <w:tcW w:w="1010" w:type="dxa"/>
            <w:tcBorders/>
          </w:tcPr>
          <w:p>
            <w:pPr>
              <w:pStyle w:val="Normal"/>
              <w:spacing w:lineRule="atLeast" w:line="220"/>
              <w:jc w:val="end"/>
              <w:rPr>
                <w:color w:val="000000"/>
                <w:sz w:val="20"/>
                <w:szCs w:val="20"/>
                <w:u w:val="single"/>
              </w:rPr>
            </w:pPr>
            <w:r>
              <w:rPr>
                <w:color w:val="000000"/>
                <w:sz w:val="20"/>
                <w:szCs w:val="20"/>
                <w:u w:val="single"/>
              </w:rPr>
              <w:t>1995</w:t>
            </w:r>
          </w:p>
        </w:tc>
        <w:tc>
          <w:tcPr>
            <w:tcW w:w="1010" w:type="dxa"/>
            <w:tcBorders/>
          </w:tcPr>
          <w:p>
            <w:pPr>
              <w:pStyle w:val="Normal"/>
              <w:spacing w:lineRule="atLeast" w:line="220"/>
              <w:jc w:val="end"/>
              <w:rPr>
                <w:color w:val="000000"/>
                <w:sz w:val="20"/>
                <w:szCs w:val="20"/>
                <w:u w:val="single"/>
              </w:rPr>
            </w:pPr>
            <w:r>
              <w:rPr>
                <w:color w:val="000000"/>
                <w:sz w:val="20"/>
                <w:szCs w:val="20"/>
                <w:u w:val="single"/>
              </w:rPr>
              <w:t>1996</w:t>
            </w:r>
          </w:p>
        </w:tc>
        <w:tc>
          <w:tcPr>
            <w:tcW w:w="1011" w:type="dxa"/>
            <w:tcBorders/>
          </w:tcPr>
          <w:p>
            <w:pPr>
              <w:pStyle w:val="Normal"/>
              <w:spacing w:lineRule="atLeast" w:line="220"/>
              <w:jc w:val="end"/>
              <w:rPr>
                <w:color w:val="000000"/>
                <w:sz w:val="20"/>
                <w:szCs w:val="20"/>
                <w:u w:val="single"/>
              </w:rPr>
            </w:pPr>
            <w:r>
              <w:rPr>
                <w:color w:val="000000"/>
                <w:sz w:val="20"/>
                <w:szCs w:val="20"/>
                <w:u w:val="single"/>
              </w:rPr>
              <w:t>1997</w:t>
            </w:r>
          </w:p>
        </w:tc>
        <w:tc>
          <w:tcPr>
            <w:tcW w:w="1010" w:type="dxa"/>
            <w:tcBorders/>
          </w:tcPr>
          <w:p>
            <w:pPr>
              <w:pStyle w:val="Normal"/>
              <w:spacing w:lineRule="atLeast" w:line="220"/>
              <w:jc w:val="end"/>
              <w:rPr>
                <w:color w:val="000000"/>
                <w:sz w:val="20"/>
                <w:szCs w:val="20"/>
                <w:u w:val="single"/>
              </w:rPr>
            </w:pPr>
            <w:r>
              <w:rPr>
                <w:color w:val="000000"/>
                <w:sz w:val="20"/>
                <w:szCs w:val="20"/>
                <w:u w:val="single"/>
              </w:rPr>
              <w:t>1998</w:t>
            </w:r>
          </w:p>
        </w:tc>
      </w:tr>
      <w:tr>
        <w:trPr>
          <w:trHeight w:val="220" w:hRule="atLeast"/>
        </w:trPr>
        <w:tc>
          <w:tcPr>
            <w:tcW w:w="2018" w:type="dxa"/>
            <w:tcBorders/>
          </w:tcPr>
          <w:p>
            <w:pPr>
              <w:pStyle w:val="Normal"/>
              <w:spacing w:lineRule="atLeast" w:line="220"/>
              <w:rPr>
                <w:color w:val="000000"/>
                <w:sz w:val="20"/>
                <w:szCs w:val="20"/>
              </w:rPr>
            </w:pPr>
            <w:r>
              <w:rPr>
                <w:b/>
                <w:bCs/>
                <w:color w:val="000000"/>
                <w:sz w:val="20"/>
                <w:szCs w:val="20"/>
              </w:rPr>
              <w:t>Supply</w:t>
            </w:r>
          </w:p>
        </w:tc>
        <w:tc>
          <w:tcPr>
            <w:tcW w:w="1025"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Production</w:t>
            </w:r>
          </w:p>
        </w:tc>
        <w:tc>
          <w:tcPr>
            <w:tcW w:w="1025" w:type="dxa"/>
            <w:tcBorders/>
          </w:tcPr>
          <w:p>
            <w:pPr>
              <w:pStyle w:val="Normal"/>
              <w:spacing w:lineRule="atLeast" w:line="220"/>
              <w:jc w:val="end"/>
              <w:rPr>
                <w:color w:val="000000"/>
                <w:sz w:val="20"/>
                <w:szCs w:val="20"/>
              </w:rPr>
            </w:pPr>
            <w:r>
              <w:rPr>
                <w:color w:val="000000"/>
                <w:sz w:val="20"/>
                <w:szCs w:val="20"/>
              </w:rPr>
              <w:t>1,554</w:t>
            </w:r>
          </w:p>
        </w:tc>
        <w:tc>
          <w:tcPr>
            <w:tcW w:w="1011" w:type="dxa"/>
            <w:tcBorders/>
          </w:tcPr>
          <w:p>
            <w:pPr>
              <w:pStyle w:val="Normal"/>
              <w:spacing w:lineRule="atLeast" w:line="220"/>
              <w:jc w:val="end"/>
              <w:rPr>
                <w:color w:val="000000"/>
                <w:sz w:val="20"/>
                <w:szCs w:val="20"/>
              </w:rPr>
            </w:pPr>
            <w:r>
              <w:rPr>
                <w:color w:val="000000"/>
                <w:sz w:val="20"/>
                <w:szCs w:val="20"/>
              </w:rPr>
              <w:t>1,601</w:t>
            </w:r>
          </w:p>
        </w:tc>
        <w:tc>
          <w:tcPr>
            <w:tcW w:w="1010" w:type="dxa"/>
            <w:tcBorders/>
          </w:tcPr>
          <w:p>
            <w:pPr>
              <w:pStyle w:val="Normal"/>
              <w:spacing w:lineRule="atLeast" w:line="220"/>
              <w:jc w:val="end"/>
              <w:rPr>
                <w:color w:val="000000"/>
                <w:sz w:val="20"/>
                <w:szCs w:val="20"/>
              </w:rPr>
            </w:pPr>
            <w:r>
              <w:rPr>
                <w:color w:val="000000"/>
                <w:sz w:val="20"/>
                <w:szCs w:val="20"/>
              </w:rPr>
              <w:t>1,737</w:t>
            </w:r>
          </w:p>
        </w:tc>
        <w:tc>
          <w:tcPr>
            <w:tcW w:w="1010" w:type="dxa"/>
            <w:tcBorders/>
          </w:tcPr>
          <w:p>
            <w:pPr>
              <w:pStyle w:val="Normal"/>
              <w:spacing w:lineRule="atLeast" w:line="220"/>
              <w:jc w:val="end"/>
              <w:rPr>
                <w:color w:val="000000"/>
                <w:sz w:val="20"/>
                <w:szCs w:val="20"/>
              </w:rPr>
            </w:pPr>
            <w:r>
              <w:rPr>
                <w:color w:val="000000"/>
                <w:sz w:val="20"/>
                <w:szCs w:val="20"/>
              </w:rPr>
              <w:t>1,665</w:t>
            </w:r>
          </w:p>
        </w:tc>
        <w:tc>
          <w:tcPr>
            <w:tcW w:w="1011" w:type="dxa"/>
            <w:tcBorders/>
          </w:tcPr>
          <w:p>
            <w:pPr>
              <w:pStyle w:val="Normal"/>
              <w:spacing w:lineRule="atLeast" w:line="220"/>
              <w:jc w:val="end"/>
              <w:rPr>
                <w:color w:val="000000"/>
                <w:sz w:val="20"/>
                <w:szCs w:val="20"/>
              </w:rPr>
            </w:pPr>
            <w:r>
              <w:rPr>
                <w:color w:val="000000"/>
                <w:sz w:val="20"/>
                <w:szCs w:val="20"/>
              </w:rPr>
              <w:t>1,663</w:t>
            </w:r>
          </w:p>
        </w:tc>
        <w:tc>
          <w:tcPr>
            <w:tcW w:w="1010" w:type="dxa"/>
            <w:tcBorders/>
          </w:tcPr>
          <w:p>
            <w:pPr>
              <w:pStyle w:val="Normal"/>
              <w:spacing w:lineRule="atLeast" w:line="220"/>
              <w:jc w:val="end"/>
              <w:rPr>
                <w:color w:val="000000"/>
                <w:sz w:val="20"/>
                <w:szCs w:val="20"/>
              </w:rPr>
            </w:pPr>
            <w:r>
              <w:rPr>
                <w:color w:val="000000"/>
                <w:sz w:val="20"/>
                <w:szCs w:val="20"/>
              </w:rPr>
              <w:t>1,576</w:t>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Imports</w:t>
            </w:r>
          </w:p>
        </w:tc>
        <w:tc>
          <w:tcPr>
            <w:tcW w:w="1025"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54</w:t>
            </w:r>
          </w:p>
        </w:tc>
        <w:tc>
          <w:tcPr>
            <w:tcW w:w="1011"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356</w:t>
            </w:r>
          </w:p>
        </w:tc>
        <w:tc>
          <w:tcPr>
            <w:tcW w:w="1010"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425</w:t>
            </w:r>
          </w:p>
        </w:tc>
        <w:tc>
          <w:tcPr>
            <w:tcW w:w="1010"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481</w:t>
            </w:r>
          </w:p>
        </w:tc>
        <w:tc>
          <w:tcPr>
            <w:tcW w:w="1011"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404</w:t>
            </w:r>
          </w:p>
        </w:tc>
        <w:tc>
          <w:tcPr>
            <w:tcW w:w="1010" w:type="dxa"/>
            <w:tcBorders/>
          </w:tcPr>
          <w:p>
            <w:pPr>
              <w:pStyle w:val="Normal"/>
              <w:spacing w:lineRule="atLeast" w:line="220"/>
              <w:jc w:val="end"/>
              <w:rPr>
                <w:color w:val="000000"/>
                <w:sz w:val="20"/>
                <w:szCs w:val="20"/>
              </w:rPr>
            </w:pPr>
            <w:r>
              <w:rPr>
                <w:color w:val="000000"/>
                <w:sz w:val="20"/>
                <w:szCs w:val="20"/>
                <w:u w:val="single"/>
              </w:rPr>
              <w:t xml:space="preserve">   </w:t>
            </w:r>
            <w:r>
              <w:rPr>
                <w:color w:val="000000"/>
                <w:sz w:val="20"/>
                <w:szCs w:val="20"/>
                <w:u w:val="single"/>
              </w:rPr>
              <w:t>160</w:t>
            </w:r>
          </w:p>
        </w:tc>
      </w:tr>
      <w:tr>
        <w:trPr>
          <w:trHeight w:val="220" w:hRule="atLeast"/>
        </w:trPr>
        <w:tc>
          <w:tcPr>
            <w:tcW w:w="2018" w:type="dxa"/>
            <w:tcBorders/>
          </w:tcPr>
          <w:p>
            <w:pPr>
              <w:pStyle w:val="Normal"/>
              <w:spacing w:lineRule="atLeast" w:line="220"/>
              <w:rPr>
                <w:b/>
                <w:bCs/>
                <w:color w:val="000000"/>
                <w:sz w:val="20"/>
                <w:szCs w:val="20"/>
              </w:rPr>
            </w:pPr>
            <w:r>
              <w:rPr>
                <w:b/>
                <w:bCs/>
                <w:color w:val="000000"/>
                <w:sz w:val="20"/>
                <w:szCs w:val="20"/>
              </w:rPr>
              <w:t>Total Supply</w:t>
            </w:r>
          </w:p>
        </w:tc>
        <w:tc>
          <w:tcPr>
            <w:tcW w:w="1025" w:type="dxa"/>
            <w:tcBorders/>
          </w:tcPr>
          <w:p>
            <w:pPr>
              <w:pStyle w:val="Normal"/>
              <w:spacing w:lineRule="atLeast" w:line="220"/>
              <w:jc w:val="end"/>
              <w:rPr>
                <w:color w:val="000000"/>
                <w:sz w:val="20"/>
                <w:szCs w:val="20"/>
              </w:rPr>
            </w:pPr>
            <w:r>
              <w:rPr>
                <w:color w:val="000000"/>
                <w:sz w:val="20"/>
                <w:szCs w:val="20"/>
              </w:rPr>
              <w:t>1,608</w:t>
            </w:r>
          </w:p>
        </w:tc>
        <w:tc>
          <w:tcPr>
            <w:tcW w:w="1011" w:type="dxa"/>
            <w:tcBorders/>
          </w:tcPr>
          <w:p>
            <w:pPr>
              <w:pStyle w:val="Normal"/>
              <w:spacing w:lineRule="atLeast" w:line="220"/>
              <w:jc w:val="end"/>
              <w:rPr>
                <w:color w:val="000000"/>
                <w:sz w:val="20"/>
                <w:szCs w:val="20"/>
              </w:rPr>
            </w:pPr>
            <w:r>
              <w:rPr>
                <w:color w:val="000000"/>
                <w:sz w:val="20"/>
                <w:szCs w:val="20"/>
              </w:rPr>
              <w:t>1,957</w:t>
            </w:r>
          </w:p>
        </w:tc>
        <w:tc>
          <w:tcPr>
            <w:tcW w:w="1010" w:type="dxa"/>
            <w:tcBorders/>
          </w:tcPr>
          <w:p>
            <w:pPr>
              <w:pStyle w:val="Normal"/>
              <w:spacing w:lineRule="atLeast" w:line="220"/>
              <w:jc w:val="end"/>
              <w:rPr>
                <w:color w:val="000000"/>
                <w:sz w:val="20"/>
                <w:szCs w:val="20"/>
              </w:rPr>
            </w:pPr>
            <w:r>
              <w:rPr>
                <w:color w:val="000000"/>
                <w:sz w:val="20"/>
                <w:szCs w:val="20"/>
              </w:rPr>
              <w:t>2,162</w:t>
            </w:r>
          </w:p>
        </w:tc>
        <w:tc>
          <w:tcPr>
            <w:tcW w:w="1010" w:type="dxa"/>
            <w:tcBorders/>
          </w:tcPr>
          <w:p>
            <w:pPr>
              <w:pStyle w:val="Normal"/>
              <w:spacing w:lineRule="atLeast" w:line="220"/>
              <w:jc w:val="end"/>
              <w:rPr>
                <w:color w:val="000000"/>
                <w:sz w:val="20"/>
                <w:szCs w:val="20"/>
              </w:rPr>
            </w:pPr>
            <w:r>
              <w:rPr>
                <w:color w:val="000000"/>
                <w:sz w:val="20"/>
                <w:szCs w:val="20"/>
              </w:rPr>
              <w:t>2,146</w:t>
            </w:r>
          </w:p>
        </w:tc>
        <w:tc>
          <w:tcPr>
            <w:tcW w:w="1011" w:type="dxa"/>
            <w:tcBorders/>
          </w:tcPr>
          <w:p>
            <w:pPr>
              <w:pStyle w:val="Normal"/>
              <w:spacing w:lineRule="atLeast" w:line="220"/>
              <w:jc w:val="end"/>
              <w:rPr>
                <w:color w:val="000000"/>
                <w:sz w:val="20"/>
                <w:szCs w:val="20"/>
              </w:rPr>
            </w:pPr>
            <w:r>
              <w:rPr>
                <w:color w:val="000000"/>
                <w:sz w:val="20"/>
                <w:szCs w:val="20"/>
              </w:rPr>
              <w:t>2,067</w:t>
            </w:r>
          </w:p>
        </w:tc>
        <w:tc>
          <w:tcPr>
            <w:tcW w:w="1010" w:type="dxa"/>
            <w:tcBorders/>
          </w:tcPr>
          <w:p>
            <w:pPr>
              <w:pStyle w:val="Normal"/>
              <w:spacing w:lineRule="atLeast" w:line="220"/>
              <w:jc w:val="end"/>
              <w:rPr>
                <w:color w:val="000000"/>
                <w:sz w:val="20"/>
                <w:szCs w:val="20"/>
              </w:rPr>
            </w:pPr>
            <w:r>
              <w:rPr>
                <w:color w:val="000000"/>
                <w:sz w:val="20"/>
                <w:szCs w:val="20"/>
              </w:rPr>
              <w:t>1,736</w:t>
            </w:r>
          </w:p>
        </w:tc>
      </w:tr>
      <w:tr>
        <w:trPr>
          <w:trHeight w:val="220" w:hRule="atLeast"/>
        </w:trPr>
        <w:tc>
          <w:tcPr>
            <w:tcW w:w="2018" w:type="dxa"/>
            <w:tcBorders/>
          </w:tcPr>
          <w:p>
            <w:pPr>
              <w:pStyle w:val="Normal"/>
              <w:snapToGrid w:val="false"/>
              <w:spacing w:lineRule="atLeast" w:line="220"/>
              <w:jc w:val="end"/>
              <w:rPr>
                <w:color w:val="000000"/>
                <w:sz w:val="20"/>
                <w:szCs w:val="20"/>
              </w:rPr>
            </w:pPr>
            <w:r>
              <w:rPr>
                <w:color w:val="000000"/>
                <w:sz w:val="20"/>
                <w:szCs w:val="20"/>
              </w:rPr>
            </w:r>
          </w:p>
        </w:tc>
        <w:tc>
          <w:tcPr>
            <w:tcW w:w="1025"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r>
      <w:tr>
        <w:trPr>
          <w:trHeight w:val="220" w:hRule="atLeast"/>
        </w:trPr>
        <w:tc>
          <w:tcPr>
            <w:tcW w:w="2018" w:type="dxa"/>
            <w:tcBorders/>
          </w:tcPr>
          <w:p>
            <w:pPr>
              <w:pStyle w:val="Normal"/>
              <w:spacing w:lineRule="atLeast" w:line="220"/>
              <w:rPr>
                <w:color w:val="000000"/>
                <w:sz w:val="20"/>
                <w:szCs w:val="20"/>
              </w:rPr>
            </w:pPr>
            <w:r>
              <w:rPr>
                <w:b/>
                <w:bCs/>
                <w:color w:val="000000"/>
                <w:sz w:val="20"/>
                <w:szCs w:val="20"/>
              </w:rPr>
              <w:t>Demand</w:t>
            </w:r>
          </w:p>
        </w:tc>
        <w:tc>
          <w:tcPr>
            <w:tcW w:w="1025"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Exports</w:t>
            </w:r>
          </w:p>
        </w:tc>
        <w:tc>
          <w:tcPr>
            <w:tcW w:w="1025" w:type="dxa"/>
            <w:tcBorders/>
          </w:tcPr>
          <w:p>
            <w:pPr>
              <w:pStyle w:val="Normal"/>
              <w:spacing w:lineRule="atLeast" w:line="220"/>
              <w:jc w:val="end"/>
              <w:rPr>
                <w:color w:val="000000"/>
                <w:sz w:val="20"/>
                <w:szCs w:val="20"/>
              </w:rPr>
            </w:pPr>
            <w:r>
              <w:rPr>
                <w:color w:val="000000"/>
                <w:sz w:val="20"/>
                <w:szCs w:val="20"/>
              </w:rPr>
              <w:t>0</w:t>
            </w:r>
          </w:p>
        </w:tc>
        <w:tc>
          <w:tcPr>
            <w:tcW w:w="1011" w:type="dxa"/>
            <w:tcBorders/>
          </w:tcPr>
          <w:p>
            <w:pPr>
              <w:pStyle w:val="Normal"/>
              <w:spacing w:lineRule="atLeast" w:line="220"/>
              <w:jc w:val="end"/>
              <w:rPr>
                <w:color w:val="000000"/>
                <w:sz w:val="20"/>
                <w:szCs w:val="20"/>
              </w:rPr>
            </w:pPr>
            <w:r>
              <w:rPr>
                <w:color w:val="000000"/>
                <w:sz w:val="20"/>
                <w:szCs w:val="20"/>
              </w:rPr>
              <w:t>0</w:t>
            </w:r>
          </w:p>
        </w:tc>
        <w:tc>
          <w:tcPr>
            <w:tcW w:w="1010" w:type="dxa"/>
            <w:tcBorders/>
          </w:tcPr>
          <w:p>
            <w:pPr>
              <w:pStyle w:val="Normal"/>
              <w:spacing w:lineRule="atLeast" w:line="220"/>
              <w:jc w:val="end"/>
              <w:rPr>
                <w:color w:val="000000"/>
                <w:sz w:val="20"/>
                <w:szCs w:val="20"/>
              </w:rPr>
            </w:pPr>
            <w:r>
              <w:rPr>
                <w:color w:val="000000"/>
                <w:sz w:val="20"/>
                <w:szCs w:val="20"/>
              </w:rPr>
              <w:t>0</w:t>
            </w:r>
          </w:p>
        </w:tc>
        <w:tc>
          <w:tcPr>
            <w:tcW w:w="1010" w:type="dxa"/>
            <w:tcBorders/>
          </w:tcPr>
          <w:p>
            <w:pPr>
              <w:pStyle w:val="Normal"/>
              <w:spacing w:lineRule="atLeast" w:line="220"/>
              <w:jc w:val="end"/>
              <w:rPr>
                <w:color w:val="000000"/>
                <w:sz w:val="20"/>
                <w:szCs w:val="20"/>
              </w:rPr>
            </w:pPr>
            <w:r>
              <w:rPr>
                <w:color w:val="000000"/>
                <w:sz w:val="20"/>
                <w:szCs w:val="20"/>
              </w:rPr>
              <w:t>0</w:t>
            </w:r>
          </w:p>
        </w:tc>
        <w:tc>
          <w:tcPr>
            <w:tcW w:w="1011" w:type="dxa"/>
            <w:tcBorders/>
          </w:tcPr>
          <w:p>
            <w:pPr>
              <w:pStyle w:val="Normal"/>
              <w:spacing w:lineRule="atLeast" w:line="220"/>
              <w:jc w:val="end"/>
              <w:rPr>
                <w:color w:val="000000"/>
                <w:sz w:val="20"/>
                <w:szCs w:val="20"/>
              </w:rPr>
            </w:pPr>
            <w:r>
              <w:rPr>
                <w:color w:val="000000"/>
                <w:sz w:val="20"/>
                <w:szCs w:val="20"/>
              </w:rPr>
              <w:t>0</w:t>
            </w:r>
          </w:p>
        </w:tc>
        <w:tc>
          <w:tcPr>
            <w:tcW w:w="1010" w:type="dxa"/>
            <w:tcBorders/>
          </w:tcPr>
          <w:p>
            <w:pPr>
              <w:pStyle w:val="Normal"/>
              <w:spacing w:lineRule="atLeast" w:line="220"/>
              <w:jc w:val="end"/>
              <w:rPr>
                <w:color w:val="000000"/>
                <w:sz w:val="20"/>
                <w:szCs w:val="20"/>
              </w:rPr>
            </w:pPr>
            <w:r>
              <w:rPr>
                <w:color w:val="000000"/>
                <w:sz w:val="20"/>
                <w:szCs w:val="20"/>
              </w:rPr>
              <w:t>0</w:t>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Consumption</w:t>
            </w:r>
          </w:p>
        </w:tc>
        <w:tc>
          <w:tcPr>
            <w:tcW w:w="1025" w:type="dxa"/>
            <w:tcBorders/>
          </w:tcPr>
          <w:p>
            <w:pPr>
              <w:pStyle w:val="Normal"/>
              <w:spacing w:lineRule="atLeast" w:line="220"/>
              <w:jc w:val="end"/>
              <w:rPr>
                <w:color w:val="000000"/>
                <w:sz w:val="20"/>
                <w:szCs w:val="20"/>
              </w:rPr>
            </w:pPr>
            <w:r>
              <w:rPr>
                <w:color w:val="000000"/>
                <w:sz w:val="20"/>
                <w:szCs w:val="20"/>
              </w:rPr>
              <w:t>1,789</w:t>
            </w:r>
          </w:p>
        </w:tc>
        <w:tc>
          <w:tcPr>
            <w:tcW w:w="1011" w:type="dxa"/>
            <w:tcBorders/>
          </w:tcPr>
          <w:p>
            <w:pPr>
              <w:pStyle w:val="Normal"/>
              <w:spacing w:lineRule="atLeast" w:line="220"/>
              <w:jc w:val="end"/>
              <w:rPr>
                <w:color w:val="000000"/>
                <w:sz w:val="20"/>
                <w:szCs w:val="20"/>
              </w:rPr>
            </w:pPr>
            <w:r>
              <w:rPr>
                <w:color w:val="000000"/>
                <w:sz w:val="20"/>
                <w:szCs w:val="20"/>
              </w:rPr>
              <w:t>1,901</w:t>
            </w:r>
          </w:p>
        </w:tc>
        <w:tc>
          <w:tcPr>
            <w:tcW w:w="1010" w:type="dxa"/>
            <w:tcBorders/>
          </w:tcPr>
          <w:p>
            <w:pPr>
              <w:pStyle w:val="Normal"/>
              <w:spacing w:lineRule="atLeast" w:line="220"/>
              <w:jc w:val="end"/>
              <w:rPr>
                <w:color w:val="000000"/>
                <w:sz w:val="20"/>
                <w:szCs w:val="20"/>
              </w:rPr>
            </w:pPr>
            <w:r>
              <w:rPr>
                <w:color w:val="000000"/>
                <w:sz w:val="20"/>
                <w:szCs w:val="20"/>
              </w:rPr>
              <w:t>2,110</w:t>
            </w:r>
          </w:p>
        </w:tc>
        <w:tc>
          <w:tcPr>
            <w:tcW w:w="1010" w:type="dxa"/>
            <w:tcBorders/>
          </w:tcPr>
          <w:p>
            <w:pPr>
              <w:pStyle w:val="Normal"/>
              <w:spacing w:lineRule="atLeast" w:line="220"/>
              <w:jc w:val="end"/>
              <w:rPr>
                <w:color w:val="000000"/>
                <w:sz w:val="20"/>
                <w:szCs w:val="20"/>
              </w:rPr>
            </w:pPr>
            <w:r>
              <w:rPr>
                <w:color w:val="000000"/>
                <w:sz w:val="20"/>
                <w:szCs w:val="20"/>
              </w:rPr>
              <w:t>2,087</w:t>
            </w:r>
          </w:p>
        </w:tc>
        <w:tc>
          <w:tcPr>
            <w:tcW w:w="1011" w:type="dxa"/>
            <w:tcBorders/>
          </w:tcPr>
          <w:p>
            <w:pPr>
              <w:pStyle w:val="Normal"/>
              <w:spacing w:lineRule="atLeast" w:line="220"/>
              <w:jc w:val="end"/>
              <w:rPr>
                <w:color w:val="000000"/>
                <w:sz w:val="20"/>
                <w:szCs w:val="20"/>
              </w:rPr>
            </w:pPr>
            <w:r>
              <w:rPr>
                <w:color w:val="000000"/>
                <w:sz w:val="20"/>
                <w:szCs w:val="20"/>
              </w:rPr>
              <w:t>2,137</w:t>
            </w:r>
          </w:p>
        </w:tc>
        <w:tc>
          <w:tcPr>
            <w:tcW w:w="1010" w:type="dxa"/>
            <w:tcBorders/>
          </w:tcPr>
          <w:p>
            <w:pPr>
              <w:pStyle w:val="Normal"/>
              <w:spacing w:lineRule="atLeast" w:line="220"/>
              <w:jc w:val="end"/>
              <w:rPr>
                <w:color w:val="000000"/>
                <w:sz w:val="20"/>
                <w:szCs w:val="20"/>
              </w:rPr>
            </w:pPr>
            <w:r>
              <w:rPr>
                <w:color w:val="000000"/>
                <w:sz w:val="20"/>
                <w:szCs w:val="20"/>
              </w:rPr>
              <w:t>1,924</w:t>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Of which:</w:t>
            </w:r>
          </w:p>
        </w:tc>
        <w:tc>
          <w:tcPr>
            <w:tcW w:w="1025"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 xml:space="preserve">    </w:t>
            </w:r>
            <w:r>
              <w:rPr>
                <w:color w:val="000000"/>
                <w:sz w:val="20"/>
                <w:szCs w:val="20"/>
              </w:rPr>
              <w:t>Power Generation</w:t>
            </w:r>
          </w:p>
        </w:tc>
        <w:tc>
          <w:tcPr>
            <w:tcW w:w="1025" w:type="dxa"/>
            <w:tcBorders/>
          </w:tcPr>
          <w:p>
            <w:pPr>
              <w:pStyle w:val="Normal"/>
              <w:spacing w:lineRule="atLeast" w:line="220"/>
              <w:jc w:val="end"/>
              <w:rPr>
                <w:color w:val="000000"/>
                <w:sz w:val="20"/>
                <w:szCs w:val="20"/>
              </w:rPr>
            </w:pPr>
            <w:r>
              <w:rPr>
                <w:color w:val="000000"/>
                <w:sz w:val="20"/>
                <w:szCs w:val="20"/>
              </w:rPr>
              <w:t>311</w:t>
            </w:r>
          </w:p>
        </w:tc>
        <w:tc>
          <w:tcPr>
            <w:tcW w:w="1011" w:type="dxa"/>
            <w:tcBorders/>
          </w:tcPr>
          <w:p>
            <w:pPr>
              <w:pStyle w:val="Normal"/>
              <w:spacing w:lineRule="atLeast" w:line="220"/>
              <w:jc w:val="end"/>
              <w:rPr>
                <w:color w:val="000000"/>
                <w:sz w:val="20"/>
                <w:szCs w:val="20"/>
              </w:rPr>
            </w:pPr>
            <w:r>
              <w:rPr>
                <w:color w:val="000000"/>
                <w:sz w:val="20"/>
                <w:szCs w:val="20"/>
              </w:rPr>
              <w:t>374</w:t>
            </w:r>
          </w:p>
        </w:tc>
        <w:tc>
          <w:tcPr>
            <w:tcW w:w="1010" w:type="dxa"/>
            <w:tcBorders/>
          </w:tcPr>
          <w:p>
            <w:pPr>
              <w:pStyle w:val="Normal"/>
              <w:spacing w:lineRule="atLeast" w:line="220"/>
              <w:jc w:val="end"/>
              <w:rPr>
                <w:color w:val="000000"/>
                <w:sz w:val="20"/>
                <w:szCs w:val="20"/>
              </w:rPr>
            </w:pPr>
            <w:r>
              <w:rPr>
                <w:color w:val="000000"/>
                <w:sz w:val="20"/>
                <w:szCs w:val="20"/>
              </w:rPr>
              <w:t>457</w:t>
            </w:r>
          </w:p>
        </w:tc>
        <w:tc>
          <w:tcPr>
            <w:tcW w:w="1010" w:type="dxa"/>
            <w:tcBorders/>
          </w:tcPr>
          <w:p>
            <w:pPr>
              <w:pStyle w:val="Normal"/>
              <w:spacing w:lineRule="atLeast" w:line="220"/>
              <w:jc w:val="end"/>
              <w:rPr>
                <w:color w:val="000000"/>
                <w:sz w:val="20"/>
                <w:szCs w:val="20"/>
              </w:rPr>
            </w:pPr>
            <w:r>
              <w:rPr>
                <w:color w:val="000000"/>
                <w:sz w:val="20"/>
                <w:szCs w:val="20"/>
              </w:rPr>
              <w:t>547</w:t>
            </w:r>
          </w:p>
        </w:tc>
        <w:tc>
          <w:tcPr>
            <w:tcW w:w="1011" w:type="dxa"/>
            <w:tcBorders/>
          </w:tcPr>
          <w:p>
            <w:pPr>
              <w:pStyle w:val="Normal"/>
              <w:spacing w:lineRule="atLeast" w:line="220"/>
              <w:jc w:val="end"/>
              <w:rPr>
                <w:color w:val="000000"/>
                <w:sz w:val="20"/>
                <w:szCs w:val="20"/>
              </w:rPr>
            </w:pPr>
            <w:r>
              <w:rPr>
                <w:color w:val="000000"/>
                <w:sz w:val="20"/>
                <w:szCs w:val="20"/>
              </w:rPr>
              <w:t>414</w:t>
            </w:r>
          </w:p>
        </w:tc>
        <w:tc>
          <w:tcPr>
            <w:tcW w:w="1010" w:type="dxa"/>
            <w:tcBorders/>
          </w:tcPr>
          <w:p>
            <w:pPr>
              <w:pStyle w:val="Normal"/>
              <w:spacing w:lineRule="atLeast" w:line="220"/>
              <w:jc w:val="end"/>
              <w:rPr>
                <w:color w:val="000000"/>
                <w:sz w:val="20"/>
                <w:szCs w:val="20"/>
              </w:rPr>
            </w:pPr>
            <w:r>
              <w:rPr>
                <w:color w:val="000000"/>
                <w:sz w:val="20"/>
                <w:szCs w:val="20"/>
              </w:rPr>
              <w:t>391</w:t>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 xml:space="preserve">    </w:t>
            </w:r>
            <w:r>
              <w:rPr>
                <w:color w:val="000000"/>
                <w:sz w:val="20"/>
                <w:szCs w:val="20"/>
              </w:rPr>
              <w:t>Industry (1)</w:t>
            </w:r>
          </w:p>
        </w:tc>
        <w:tc>
          <w:tcPr>
            <w:tcW w:w="1025" w:type="dxa"/>
            <w:tcBorders/>
          </w:tcPr>
          <w:p>
            <w:pPr>
              <w:pStyle w:val="Normal"/>
              <w:spacing w:lineRule="atLeast" w:line="220"/>
              <w:jc w:val="end"/>
              <w:rPr>
                <w:color w:val="000000"/>
                <w:sz w:val="20"/>
                <w:szCs w:val="20"/>
              </w:rPr>
            </w:pPr>
            <w:r>
              <w:rPr>
                <w:color w:val="000000"/>
                <w:sz w:val="20"/>
                <w:szCs w:val="20"/>
              </w:rPr>
              <w:t>1,041</w:t>
            </w:r>
          </w:p>
        </w:tc>
        <w:tc>
          <w:tcPr>
            <w:tcW w:w="1011" w:type="dxa"/>
            <w:tcBorders/>
          </w:tcPr>
          <w:p>
            <w:pPr>
              <w:pStyle w:val="Normal"/>
              <w:spacing w:lineRule="atLeast" w:line="220"/>
              <w:jc w:val="end"/>
              <w:rPr>
                <w:color w:val="000000"/>
                <w:sz w:val="20"/>
                <w:szCs w:val="20"/>
              </w:rPr>
            </w:pPr>
            <w:r>
              <w:rPr>
                <w:color w:val="000000"/>
                <w:sz w:val="20"/>
                <w:szCs w:val="20"/>
              </w:rPr>
              <w:t>1,067</w:t>
            </w:r>
          </w:p>
        </w:tc>
        <w:tc>
          <w:tcPr>
            <w:tcW w:w="1010" w:type="dxa"/>
            <w:tcBorders/>
          </w:tcPr>
          <w:p>
            <w:pPr>
              <w:pStyle w:val="Normal"/>
              <w:spacing w:lineRule="atLeast" w:line="220"/>
              <w:jc w:val="end"/>
              <w:rPr>
                <w:color w:val="000000"/>
                <w:sz w:val="20"/>
                <w:szCs w:val="20"/>
              </w:rPr>
            </w:pPr>
            <w:r>
              <w:rPr>
                <w:color w:val="000000"/>
                <w:sz w:val="20"/>
                <w:szCs w:val="20"/>
              </w:rPr>
              <w:t>1,151</w:t>
            </w:r>
          </w:p>
        </w:tc>
        <w:tc>
          <w:tcPr>
            <w:tcW w:w="1010" w:type="dxa"/>
            <w:tcBorders/>
          </w:tcPr>
          <w:p>
            <w:pPr>
              <w:pStyle w:val="Normal"/>
              <w:spacing w:lineRule="atLeast" w:line="220"/>
              <w:jc w:val="end"/>
              <w:rPr>
                <w:color w:val="000000"/>
                <w:sz w:val="20"/>
                <w:szCs w:val="20"/>
              </w:rPr>
            </w:pPr>
            <w:r>
              <w:rPr>
                <w:color w:val="000000"/>
                <w:sz w:val="20"/>
                <w:szCs w:val="20"/>
              </w:rPr>
              <w:t>1,138</w:t>
            </w:r>
          </w:p>
        </w:tc>
        <w:tc>
          <w:tcPr>
            <w:tcW w:w="1011" w:type="dxa"/>
            <w:tcBorders/>
          </w:tcPr>
          <w:p>
            <w:pPr>
              <w:pStyle w:val="Normal"/>
              <w:spacing w:lineRule="atLeast" w:line="220"/>
              <w:jc w:val="end"/>
              <w:rPr>
                <w:color w:val="000000"/>
                <w:sz w:val="20"/>
                <w:szCs w:val="20"/>
              </w:rPr>
            </w:pPr>
            <w:r>
              <w:rPr>
                <w:color w:val="000000"/>
                <w:sz w:val="20"/>
                <w:szCs w:val="20"/>
              </w:rPr>
              <w:t>1,338</w:t>
            </w:r>
          </w:p>
        </w:tc>
        <w:tc>
          <w:tcPr>
            <w:tcW w:w="1010" w:type="dxa"/>
            <w:tcBorders/>
          </w:tcPr>
          <w:p>
            <w:pPr>
              <w:pStyle w:val="Normal"/>
              <w:spacing w:lineRule="atLeast" w:line="220"/>
              <w:jc w:val="end"/>
              <w:rPr>
                <w:color w:val="000000"/>
                <w:sz w:val="20"/>
                <w:szCs w:val="20"/>
              </w:rPr>
            </w:pPr>
            <w:r>
              <w:rPr>
                <w:color w:val="000000"/>
                <w:sz w:val="20"/>
                <w:szCs w:val="20"/>
              </w:rPr>
              <w:t>954</w:t>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 xml:space="preserve">    </w:t>
            </w:r>
            <w:r>
              <w:rPr>
                <w:color w:val="000000"/>
                <w:sz w:val="20"/>
                <w:szCs w:val="20"/>
              </w:rPr>
              <w:t>Marine Bunkers</w:t>
            </w:r>
          </w:p>
        </w:tc>
        <w:tc>
          <w:tcPr>
            <w:tcW w:w="1025" w:type="dxa"/>
            <w:tcBorders/>
          </w:tcPr>
          <w:p>
            <w:pPr>
              <w:pStyle w:val="Normal"/>
              <w:spacing w:lineRule="atLeast" w:line="220"/>
              <w:jc w:val="end"/>
              <w:rPr>
                <w:color w:val="000000"/>
                <w:sz w:val="20"/>
                <w:szCs w:val="20"/>
              </w:rPr>
            </w:pPr>
            <w:r>
              <w:rPr>
                <w:color w:val="000000"/>
                <w:sz w:val="20"/>
                <w:szCs w:val="20"/>
              </w:rPr>
              <w:t>297</w:t>
            </w:r>
          </w:p>
        </w:tc>
        <w:tc>
          <w:tcPr>
            <w:tcW w:w="1011" w:type="dxa"/>
            <w:tcBorders/>
          </w:tcPr>
          <w:p>
            <w:pPr>
              <w:pStyle w:val="Normal"/>
              <w:spacing w:lineRule="atLeast" w:line="220"/>
              <w:jc w:val="end"/>
              <w:rPr>
                <w:color w:val="000000"/>
                <w:sz w:val="20"/>
                <w:szCs w:val="20"/>
              </w:rPr>
            </w:pPr>
            <w:r>
              <w:rPr>
                <w:color w:val="000000"/>
                <w:sz w:val="20"/>
                <w:szCs w:val="20"/>
              </w:rPr>
              <w:t>316</w:t>
            </w:r>
          </w:p>
        </w:tc>
        <w:tc>
          <w:tcPr>
            <w:tcW w:w="1010" w:type="dxa"/>
            <w:tcBorders/>
          </w:tcPr>
          <w:p>
            <w:pPr>
              <w:pStyle w:val="Normal"/>
              <w:spacing w:lineRule="atLeast" w:line="220"/>
              <w:jc w:val="end"/>
              <w:rPr>
                <w:color w:val="000000"/>
                <w:sz w:val="20"/>
                <w:szCs w:val="20"/>
              </w:rPr>
            </w:pPr>
            <w:r>
              <w:rPr>
                <w:color w:val="000000"/>
                <w:sz w:val="20"/>
                <w:szCs w:val="20"/>
              </w:rPr>
              <w:t>383</w:t>
            </w:r>
          </w:p>
        </w:tc>
        <w:tc>
          <w:tcPr>
            <w:tcW w:w="1010" w:type="dxa"/>
            <w:tcBorders/>
          </w:tcPr>
          <w:p>
            <w:pPr>
              <w:pStyle w:val="Normal"/>
              <w:spacing w:lineRule="atLeast" w:line="220"/>
              <w:jc w:val="end"/>
              <w:rPr>
                <w:color w:val="000000"/>
                <w:sz w:val="20"/>
                <w:szCs w:val="20"/>
              </w:rPr>
            </w:pPr>
            <w:r>
              <w:rPr>
                <w:color w:val="000000"/>
                <w:sz w:val="20"/>
                <w:szCs w:val="20"/>
              </w:rPr>
              <w:t>254</w:t>
            </w:r>
          </w:p>
        </w:tc>
        <w:tc>
          <w:tcPr>
            <w:tcW w:w="1011" w:type="dxa"/>
            <w:tcBorders/>
          </w:tcPr>
          <w:p>
            <w:pPr>
              <w:pStyle w:val="Normal"/>
              <w:spacing w:lineRule="atLeast" w:line="220"/>
              <w:jc w:val="end"/>
              <w:rPr>
                <w:color w:val="000000"/>
                <w:sz w:val="20"/>
                <w:szCs w:val="20"/>
              </w:rPr>
            </w:pPr>
            <w:r>
              <w:rPr>
                <w:color w:val="000000"/>
                <w:sz w:val="20"/>
                <w:szCs w:val="20"/>
              </w:rPr>
              <w:t>308</w:t>
            </w:r>
          </w:p>
        </w:tc>
        <w:tc>
          <w:tcPr>
            <w:tcW w:w="1010" w:type="dxa"/>
            <w:tcBorders/>
          </w:tcPr>
          <w:p>
            <w:pPr>
              <w:pStyle w:val="Normal"/>
              <w:spacing w:lineRule="atLeast" w:line="220"/>
              <w:jc w:val="end"/>
              <w:rPr>
                <w:color w:val="000000"/>
                <w:sz w:val="20"/>
                <w:szCs w:val="20"/>
              </w:rPr>
            </w:pPr>
            <w:r>
              <w:rPr>
                <w:color w:val="000000"/>
                <w:sz w:val="20"/>
                <w:szCs w:val="20"/>
              </w:rPr>
              <w:t>439</w:t>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 xml:space="preserve">    </w:t>
            </w:r>
            <w:r>
              <w:rPr>
                <w:color w:val="000000"/>
                <w:sz w:val="20"/>
                <w:szCs w:val="20"/>
              </w:rPr>
              <w:t>Refinery Fuel</w:t>
            </w:r>
          </w:p>
        </w:tc>
        <w:tc>
          <w:tcPr>
            <w:tcW w:w="1025"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140</w:t>
            </w:r>
          </w:p>
        </w:tc>
        <w:tc>
          <w:tcPr>
            <w:tcW w:w="1011"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144</w:t>
            </w:r>
          </w:p>
        </w:tc>
        <w:tc>
          <w:tcPr>
            <w:tcW w:w="1010"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119</w:t>
            </w:r>
          </w:p>
        </w:tc>
        <w:tc>
          <w:tcPr>
            <w:tcW w:w="1010"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148</w:t>
            </w:r>
          </w:p>
        </w:tc>
        <w:tc>
          <w:tcPr>
            <w:tcW w:w="1011"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77</w:t>
            </w:r>
          </w:p>
        </w:tc>
        <w:tc>
          <w:tcPr>
            <w:tcW w:w="1010" w:type="dxa"/>
            <w:tcBorders/>
          </w:tcPr>
          <w:p>
            <w:pPr>
              <w:pStyle w:val="Normal"/>
              <w:spacing w:lineRule="atLeast" w:line="220"/>
              <w:jc w:val="end"/>
              <w:rPr>
                <w:color w:val="000000"/>
                <w:sz w:val="20"/>
                <w:szCs w:val="20"/>
                <w:u w:val="single"/>
              </w:rPr>
            </w:pPr>
            <w:r>
              <w:rPr>
                <w:color w:val="000000"/>
                <w:sz w:val="20"/>
                <w:szCs w:val="20"/>
                <w:u w:val="single"/>
              </w:rPr>
              <w:t xml:space="preserve">   </w:t>
            </w:r>
            <w:r>
              <w:rPr>
                <w:color w:val="000000"/>
                <w:sz w:val="20"/>
                <w:szCs w:val="20"/>
                <w:u w:val="single"/>
              </w:rPr>
              <w:t>140</w:t>
            </w:r>
          </w:p>
        </w:tc>
      </w:tr>
      <w:tr>
        <w:trPr>
          <w:trHeight w:val="220" w:hRule="atLeast"/>
        </w:trPr>
        <w:tc>
          <w:tcPr>
            <w:tcW w:w="2018" w:type="dxa"/>
            <w:tcBorders/>
          </w:tcPr>
          <w:p>
            <w:pPr>
              <w:pStyle w:val="Normal"/>
              <w:spacing w:lineRule="atLeast" w:line="220"/>
              <w:rPr>
                <w:color w:val="000000"/>
                <w:sz w:val="20"/>
                <w:szCs w:val="20"/>
              </w:rPr>
            </w:pPr>
            <w:r>
              <w:rPr>
                <w:b/>
                <w:bCs/>
                <w:color w:val="000000"/>
                <w:sz w:val="20"/>
                <w:szCs w:val="20"/>
              </w:rPr>
              <w:t>Total Demand</w:t>
            </w:r>
          </w:p>
        </w:tc>
        <w:tc>
          <w:tcPr>
            <w:tcW w:w="1025" w:type="dxa"/>
            <w:tcBorders/>
          </w:tcPr>
          <w:p>
            <w:pPr>
              <w:pStyle w:val="Normal"/>
              <w:spacing w:lineRule="atLeast" w:line="220"/>
              <w:jc w:val="end"/>
              <w:rPr>
                <w:color w:val="000000"/>
                <w:sz w:val="20"/>
                <w:szCs w:val="20"/>
              </w:rPr>
            </w:pPr>
            <w:r>
              <w:rPr>
                <w:color w:val="000000"/>
                <w:sz w:val="20"/>
                <w:szCs w:val="20"/>
              </w:rPr>
              <w:t>1,789</w:t>
            </w:r>
          </w:p>
        </w:tc>
        <w:tc>
          <w:tcPr>
            <w:tcW w:w="1011" w:type="dxa"/>
            <w:tcBorders/>
          </w:tcPr>
          <w:p>
            <w:pPr>
              <w:pStyle w:val="Normal"/>
              <w:spacing w:lineRule="atLeast" w:line="220"/>
              <w:jc w:val="end"/>
              <w:rPr>
                <w:color w:val="000000"/>
                <w:sz w:val="20"/>
                <w:szCs w:val="20"/>
              </w:rPr>
            </w:pPr>
            <w:r>
              <w:rPr>
                <w:color w:val="000000"/>
                <w:sz w:val="20"/>
                <w:szCs w:val="20"/>
              </w:rPr>
              <w:t>1,901</w:t>
            </w:r>
          </w:p>
        </w:tc>
        <w:tc>
          <w:tcPr>
            <w:tcW w:w="1010" w:type="dxa"/>
            <w:tcBorders/>
          </w:tcPr>
          <w:p>
            <w:pPr>
              <w:pStyle w:val="Normal"/>
              <w:spacing w:lineRule="atLeast" w:line="220"/>
              <w:jc w:val="end"/>
              <w:rPr>
                <w:color w:val="000000"/>
                <w:sz w:val="20"/>
                <w:szCs w:val="20"/>
              </w:rPr>
            </w:pPr>
            <w:r>
              <w:rPr>
                <w:color w:val="000000"/>
                <w:sz w:val="20"/>
                <w:szCs w:val="20"/>
              </w:rPr>
              <w:t>2,110</w:t>
            </w:r>
          </w:p>
        </w:tc>
        <w:tc>
          <w:tcPr>
            <w:tcW w:w="1010" w:type="dxa"/>
            <w:tcBorders/>
          </w:tcPr>
          <w:p>
            <w:pPr>
              <w:pStyle w:val="Normal"/>
              <w:spacing w:lineRule="atLeast" w:line="220"/>
              <w:jc w:val="end"/>
              <w:rPr>
                <w:color w:val="000000"/>
                <w:sz w:val="20"/>
                <w:szCs w:val="20"/>
              </w:rPr>
            </w:pPr>
            <w:r>
              <w:rPr>
                <w:color w:val="000000"/>
                <w:sz w:val="20"/>
                <w:szCs w:val="20"/>
              </w:rPr>
              <w:t>2,087</w:t>
            </w:r>
          </w:p>
        </w:tc>
        <w:tc>
          <w:tcPr>
            <w:tcW w:w="1011" w:type="dxa"/>
            <w:tcBorders/>
          </w:tcPr>
          <w:p>
            <w:pPr>
              <w:pStyle w:val="Normal"/>
              <w:spacing w:lineRule="atLeast" w:line="220"/>
              <w:jc w:val="end"/>
              <w:rPr>
                <w:color w:val="000000"/>
                <w:sz w:val="20"/>
                <w:szCs w:val="20"/>
              </w:rPr>
            </w:pPr>
            <w:r>
              <w:rPr>
                <w:color w:val="000000"/>
                <w:sz w:val="20"/>
                <w:szCs w:val="20"/>
              </w:rPr>
              <w:t>2,137</w:t>
            </w:r>
          </w:p>
        </w:tc>
        <w:tc>
          <w:tcPr>
            <w:tcW w:w="1010" w:type="dxa"/>
            <w:tcBorders/>
          </w:tcPr>
          <w:p>
            <w:pPr>
              <w:pStyle w:val="Normal"/>
              <w:spacing w:lineRule="atLeast" w:line="220"/>
              <w:jc w:val="end"/>
              <w:rPr>
                <w:color w:val="000000"/>
                <w:sz w:val="20"/>
                <w:szCs w:val="20"/>
              </w:rPr>
            </w:pPr>
            <w:r>
              <w:rPr>
                <w:color w:val="000000"/>
                <w:sz w:val="20"/>
                <w:szCs w:val="20"/>
              </w:rPr>
              <w:t>1,924</w:t>
            </w:r>
          </w:p>
        </w:tc>
      </w:tr>
      <w:tr>
        <w:trPr>
          <w:trHeight w:val="220" w:hRule="atLeast"/>
        </w:trPr>
        <w:tc>
          <w:tcPr>
            <w:tcW w:w="2018" w:type="dxa"/>
            <w:tcBorders/>
          </w:tcPr>
          <w:p>
            <w:pPr>
              <w:pStyle w:val="Normal"/>
              <w:snapToGrid w:val="false"/>
              <w:spacing w:lineRule="atLeast" w:line="220"/>
              <w:jc w:val="end"/>
              <w:rPr>
                <w:color w:val="000000"/>
                <w:sz w:val="20"/>
                <w:szCs w:val="20"/>
              </w:rPr>
            </w:pPr>
            <w:r>
              <w:rPr>
                <w:color w:val="000000"/>
                <w:sz w:val="20"/>
                <w:szCs w:val="20"/>
              </w:rPr>
            </w:r>
          </w:p>
        </w:tc>
        <w:tc>
          <w:tcPr>
            <w:tcW w:w="1025"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c>
          <w:tcPr>
            <w:tcW w:w="1011" w:type="dxa"/>
            <w:tcBorders/>
          </w:tcPr>
          <w:p>
            <w:pPr>
              <w:pStyle w:val="Normal"/>
              <w:snapToGrid w:val="false"/>
              <w:spacing w:lineRule="atLeast" w:line="220"/>
              <w:jc w:val="end"/>
              <w:rPr>
                <w:color w:val="000000"/>
                <w:sz w:val="20"/>
                <w:szCs w:val="20"/>
              </w:rPr>
            </w:pPr>
            <w:r>
              <w:rPr>
                <w:color w:val="000000"/>
                <w:sz w:val="20"/>
                <w:szCs w:val="20"/>
              </w:rPr>
            </w:r>
          </w:p>
        </w:tc>
        <w:tc>
          <w:tcPr>
            <w:tcW w:w="1010" w:type="dxa"/>
            <w:tcBorders/>
          </w:tcPr>
          <w:p>
            <w:pPr>
              <w:pStyle w:val="Normal"/>
              <w:snapToGrid w:val="false"/>
              <w:spacing w:lineRule="atLeast" w:line="220"/>
              <w:jc w:val="end"/>
              <w:rPr>
                <w:color w:val="000000"/>
                <w:sz w:val="20"/>
                <w:szCs w:val="20"/>
              </w:rPr>
            </w:pPr>
            <w:r>
              <w:rPr>
                <w:color w:val="000000"/>
                <w:sz w:val="20"/>
                <w:szCs w:val="20"/>
              </w:rPr>
            </w:r>
          </w:p>
        </w:tc>
      </w:tr>
      <w:tr>
        <w:trPr>
          <w:trHeight w:val="220" w:hRule="atLeast"/>
        </w:trPr>
        <w:tc>
          <w:tcPr>
            <w:tcW w:w="2018" w:type="dxa"/>
            <w:tcBorders/>
          </w:tcPr>
          <w:p>
            <w:pPr>
              <w:pStyle w:val="Normal"/>
              <w:spacing w:lineRule="atLeast" w:line="220"/>
              <w:rPr>
                <w:color w:val="000000"/>
                <w:sz w:val="20"/>
                <w:szCs w:val="20"/>
              </w:rPr>
            </w:pPr>
            <w:r>
              <w:rPr>
                <w:color w:val="000000"/>
                <w:sz w:val="20"/>
                <w:szCs w:val="20"/>
              </w:rPr>
              <w:t xml:space="preserve">Stock Change (2) </w:t>
            </w:r>
          </w:p>
        </w:tc>
        <w:tc>
          <w:tcPr>
            <w:tcW w:w="1025" w:type="dxa"/>
            <w:tcBorders/>
          </w:tcPr>
          <w:p>
            <w:pPr>
              <w:pStyle w:val="Normal"/>
              <w:spacing w:lineRule="atLeast" w:line="220"/>
              <w:jc w:val="end"/>
              <w:rPr>
                <w:color w:val="000000"/>
                <w:sz w:val="20"/>
                <w:szCs w:val="20"/>
              </w:rPr>
            </w:pPr>
            <w:r>
              <w:rPr>
                <w:color w:val="000000"/>
                <w:sz w:val="20"/>
                <w:szCs w:val="20"/>
              </w:rPr>
              <w:t>-181</w:t>
            </w:r>
          </w:p>
        </w:tc>
        <w:tc>
          <w:tcPr>
            <w:tcW w:w="1011" w:type="dxa"/>
            <w:tcBorders/>
          </w:tcPr>
          <w:p>
            <w:pPr>
              <w:pStyle w:val="Normal"/>
              <w:spacing w:lineRule="atLeast" w:line="220"/>
              <w:jc w:val="end"/>
              <w:rPr>
                <w:color w:val="000000"/>
                <w:sz w:val="20"/>
                <w:szCs w:val="20"/>
              </w:rPr>
            </w:pPr>
            <w:r>
              <w:rPr>
                <w:color w:val="000000"/>
                <w:sz w:val="20"/>
                <w:szCs w:val="20"/>
              </w:rPr>
              <w:t>56</w:t>
            </w:r>
          </w:p>
        </w:tc>
        <w:tc>
          <w:tcPr>
            <w:tcW w:w="1010" w:type="dxa"/>
            <w:tcBorders/>
          </w:tcPr>
          <w:p>
            <w:pPr>
              <w:pStyle w:val="Normal"/>
              <w:spacing w:lineRule="atLeast" w:line="220"/>
              <w:jc w:val="end"/>
              <w:rPr>
                <w:color w:val="000000"/>
                <w:sz w:val="20"/>
                <w:szCs w:val="20"/>
              </w:rPr>
            </w:pPr>
            <w:r>
              <w:rPr>
                <w:color w:val="000000"/>
                <w:sz w:val="20"/>
                <w:szCs w:val="20"/>
              </w:rPr>
              <w:t>52</w:t>
            </w:r>
          </w:p>
        </w:tc>
        <w:tc>
          <w:tcPr>
            <w:tcW w:w="1010" w:type="dxa"/>
            <w:tcBorders/>
          </w:tcPr>
          <w:p>
            <w:pPr>
              <w:pStyle w:val="Normal"/>
              <w:spacing w:lineRule="atLeast" w:line="220"/>
              <w:jc w:val="end"/>
              <w:rPr>
                <w:color w:val="000000"/>
                <w:sz w:val="20"/>
                <w:szCs w:val="20"/>
              </w:rPr>
            </w:pPr>
            <w:r>
              <w:rPr>
                <w:color w:val="000000"/>
                <w:sz w:val="20"/>
                <w:szCs w:val="20"/>
              </w:rPr>
              <w:t>59</w:t>
            </w:r>
          </w:p>
        </w:tc>
        <w:tc>
          <w:tcPr>
            <w:tcW w:w="1011" w:type="dxa"/>
            <w:tcBorders/>
          </w:tcPr>
          <w:p>
            <w:pPr>
              <w:pStyle w:val="Normal"/>
              <w:spacing w:lineRule="atLeast" w:line="220"/>
              <w:jc w:val="end"/>
              <w:rPr>
                <w:color w:val="000000"/>
                <w:sz w:val="20"/>
                <w:szCs w:val="20"/>
              </w:rPr>
            </w:pPr>
            <w:r>
              <w:rPr>
                <w:color w:val="000000"/>
                <w:sz w:val="20"/>
                <w:szCs w:val="20"/>
              </w:rPr>
              <w:t>-70</w:t>
            </w:r>
          </w:p>
        </w:tc>
        <w:tc>
          <w:tcPr>
            <w:tcW w:w="1010" w:type="dxa"/>
            <w:tcBorders/>
          </w:tcPr>
          <w:p>
            <w:pPr>
              <w:pStyle w:val="Normal"/>
              <w:spacing w:lineRule="atLeast" w:line="220"/>
              <w:jc w:val="end"/>
              <w:rPr>
                <w:color w:val="000000"/>
                <w:sz w:val="20"/>
                <w:szCs w:val="20"/>
              </w:rPr>
            </w:pPr>
            <w:r>
              <w:rPr>
                <w:color w:val="000000"/>
                <w:sz w:val="20"/>
                <w:szCs w:val="20"/>
              </w:rPr>
              <w:t>-188</w:t>
            </w:r>
          </w:p>
        </w:tc>
      </w:tr>
    </w:tbl>
    <w:p>
      <w:pPr>
        <w:pStyle w:val="Normal"/>
        <w:spacing w:lineRule="auto" w:line="240"/>
        <w:rPr>
          <w:sz w:val="20"/>
          <w:szCs w:val="20"/>
        </w:rPr>
      </w:pPr>
      <w:r>
        <w:rPr>
          <w:sz w:val="20"/>
          <w:szCs w:val="20"/>
        </w:rPr>
      </w:r>
    </w:p>
    <w:p>
      <w:pPr>
        <w:pStyle w:val="FootnoteText"/>
        <w:tabs>
          <w:tab w:val="clear" w:pos="720"/>
          <w:tab w:val="left" w:pos="1080" w:leader="none"/>
        </w:tabs>
        <w:spacing w:before="0" w:after="0"/>
        <w:ind w:start="810" w:end="0"/>
        <w:rPr/>
      </w:pPr>
      <w:r>
        <w:rPr/>
        <w:t xml:space="preserve">Source:  Chile, National Energy Commision, </w:t>
      </w:r>
      <w:r>
        <w:rPr>
          <w:i/>
          <w:iCs/>
        </w:rPr>
        <w:t>National Energy Balance.</w:t>
      </w:r>
    </w:p>
    <w:p>
      <w:pPr>
        <w:pStyle w:val="Normal"/>
        <w:spacing w:lineRule="auto" w:line="240"/>
        <w:rPr>
          <w:sz w:val="20"/>
          <w:szCs w:val="20"/>
        </w:rPr>
      </w:pPr>
      <w:r>
        <w:rPr>
          <w:sz w:val="20"/>
          <w:szCs w:val="20"/>
        </w:rPr>
      </w:r>
    </w:p>
    <w:p>
      <w:pPr>
        <w:pStyle w:val="FootnoteText"/>
        <w:tabs>
          <w:tab w:val="clear" w:pos="720"/>
          <w:tab w:val="left" w:pos="1080" w:leader="none"/>
        </w:tabs>
        <w:spacing w:before="0" w:after="0"/>
        <w:ind w:start="810" w:end="0"/>
        <w:rPr/>
      </w:pPr>
      <w:r>
        <w:rPr/>
        <w:t>(1)</w:t>
        <w:tab/>
        <w:t>Including commercial and residential use.</w:t>
      </w:r>
    </w:p>
    <w:p>
      <w:pPr>
        <w:pStyle w:val="FootnoteText"/>
        <w:tabs>
          <w:tab w:val="clear" w:pos="720"/>
          <w:tab w:val="left" w:pos="1080" w:leader="none"/>
        </w:tabs>
        <w:spacing w:before="0" w:after="0"/>
        <w:ind w:hanging="270" w:start="1080" w:end="0"/>
        <w:rPr/>
      </w:pPr>
      <w:r>
        <w:rPr/>
        <w:t>(2)</w:t>
        <w:tab/>
        <w:t>Stock change is a calculated figure.  A negative number indicates a stock drew and a positive number indicates a stock build.</w:t>
      </w:r>
    </w:p>
    <w:p>
      <w:pPr>
        <w:pStyle w:val="Normal"/>
        <w:rPr/>
      </w:pPr>
      <w:r>
        <w:rPr/>
      </w:r>
      <w:r>
        <w:br w:type="page"/>
      </w:r>
    </w:p>
    <w:p>
      <w:pPr>
        <w:pStyle w:val="Normal"/>
        <w:jc w:val="center"/>
        <w:rPr/>
      </w:pPr>
      <w:r>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t>Figure III-A:</w:t>
      </w:r>
    </w:p>
    <w:p>
      <w:pPr>
        <w:pStyle w:val="Normal"/>
        <w:jc w:val="center"/>
        <w:rPr>
          <w:sz w:val="20"/>
          <w:szCs w:val="20"/>
        </w:rPr>
      </w:pPr>
      <w:r>
        <w:rPr>
          <w:sz w:val="20"/>
          <w:szCs w:val="20"/>
        </w:rPr>
        <w:t>Chile, Location of Refineries,</w:t>
        <w:br/>
        <w:t xml:space="preserve">Key Resid-Burning Power Plants, </w:t>
        <w:br/>
        <w:t>and Key Bunkering Area</w:t>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pPr>
      <w:r>
        <w:rPr/>
      </w:r>
    </w:p>
    <w:p>
      <w:pPr>
        <w:pStyle w:val="Normal"/>
        <w:jc w:val="center"/>
        <w:rPr/>
      </w:pPr>
      <w:r>
        <w:rPr/>
        <w:drawing>
          <wp:inline distT="0" distB="0" distL="0" distR="0">
            <wp:extent cx="4466590" cy="5172075"/>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9"/>
                    <a:stretch>
                      <a:fillRect/>
                    </a:stretch>
                  </pic:blipFill>
                  <pic:spPr bwMode="auto">
                    <a:xfrm>
                      <a:off x="0" y="0"/>
                      <a:ext cx="4466590" cy="5172075"/>
                    </a:xfrm>
                    <a:prstGeom prst="rect">
                      <a:avLst/>
                    </a:prstGeom>
                    <a:noFill/>
                  </pic:spPr>
                </pic:pic>
              </a:graphicData>
            </a:graphic>
          </wp:inline>
        </w:drawing>
      </w:r>
    </w:p>
    <w:sectPr>
      <w:headerReference w:type="default" r:id="rId20"/>
      <w:footerReference w:type="default" r:id="rId21"/>
      <w:type w:val="nextPage"/>
      <w:pgSz w:w="12240" w:h="15840"/>
      <w:pgMar w:left="1440" w:right="1440" w:gutter="0" w:header="576" w:top="1152" w:footer="576"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 w:name="Helvetica">
    <w:altName w:val="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pBdr>
        <w:top w:val="single" w:sz="6" w:space="1" w:color="000000"/>
        <w:left w:val="single" w:sz="6" w:space="1" w:color="000000"/>
        <w:bottom w:val="single" w:sz="6" w:space="1" w:color="000000"/>
        <w:right w:val="single" w:sz="6" w:space="1" w:color="000000"/>
      </w:pBdr>
      <w:spacing w:lineRule="atLeast" w:line="160"/>
      <w:rPr>
        <w:sz w:val="16"/>
        <w:szCs w:val="16"/>
      </w:rPr>
    </w:pPr>
    <w:r>
      <w:rPr>
        <w:sz w:val="16"/>
        <w:szCs w:val="16"/>
      </w:rPr>
      <w:t>Pursuant to the subscription order, this report and the contents thereof shall be held in strictest confidence by, and solely for the internal use of, the subscriber, its officers and employees, and for no other purpose.  No part of this report issued by Poten may be reproduced in whole or in part, or stored in a retrieval system, or transmitted in any form or by any means, electronic, mechanical, photocopying, recording or otherwise, without permission of Poten.  Copyright 1999 by Poten &amp; Partners, Inc.</w:t>
    </w:r>
  </w:p>
  <w:p>
    <w:pPr>
      <w:pStyle w:val="Footer"/>
      <w:rPr>
        <w:sz w:val="16"/>
        <w:szCs w:val="16"/>
      </w:rPr>
    </w:pPr>
    <w:r>
      <w:rPr>
        <w:sz w:val="16"/>
        <w:szCs w:val="16"/>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3" w:color="000000"/>
      </w:pBdr>
      <w:tabs>
        <w:tab w:val="clear" w:pos="720"/>
        <w:tab w:val="decimal" w:pos="4680" w:leader="none"/>
        <w:tab w:val="right" w:pos="9360" w:leader="none"/>
      </w:tabs>
      <w:spacing w:lineRule="exact" w:line="200" w:before="240" w:after="0"/>
      <w:rPr/>
    </w:pPr>
    <w:r>
      <w:rPr>
        <w:sz w:val="20"/>
        <w:szCs w:val="20"/>
      </w:rPr>
      <w:t>Poten &amp; Partners, Inc.</w:t>
      <w:tab/>
    </w:r>
    <w:r>
      <w:rPr>
        <w:sz w:val="20"/>
        <w:szCs w:val="20"/>
      </w:rPr>
      <w:fldChar w:fldCharType="begin"/>
    </w:r>
    <w:r>
      <w:rPr>
        <w:sz w:val="20"/>
        <w:szCs w:val="20"/>
      </w:rPr>
      <w:instrText xml:space="preserve"> PAGE \* ARABIC </w:instrText>
    </w:r>
    <w:r>
      <w:rPr>
        <w:sz w:val="20"/>
        <w:szCs w:val="20"/>
      </w:rPr>
      <w:fldChar w:fldCharType="separate"/>
    </w:r>
    <w:r>
      <w:rPr>
        <w:sz w:val="20"/>
        <w:szCs w:val="20"/>
      </w:rPr>
      <w:t>6</w:t>
    </w:r>
    <w:r>
      <w:rPr>
        <w:sz w:val="20"/>
        <w:szCs w:val="20"/>
      </w:rPr>
      <w:fldChar w:fldCharType="end"/>
    </w:r>
    <w:r>
      <w:rPr>
        <w:sz w:val="20"/>
        <w:szCs w:val="20"/>
      </w:rPr>
      <w:tab/>
      <w:t>December 1999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6" w:space="3" w:color="000000"/>
      </w:pBdr>
      <w:spacing w:lineRule="exact" w:line="240" w:before="0" w:after="240"/>
      <w:jc w:val="center"/>
      <w:rPr>
        <w:sz w:val="20"/>
        <w:szCs w:val="20"/>
      </w:rPr>
    </w:pPr>
    <w:r>
      <w:rPr>
        <w:sz w:val="20"/>
        <w:szCs w:val="20"/>
      </w:rPr>
      <w:t>Fuel Oil in World Markets©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spacing w:lineRule="exact" w:line="240" w:before="120" w:after="0"/>
      <w:jc w:val="center"/>
      <w:outlineLvl w:val="0"/>
    </w:pPr>
    <w:rPr/>
  </w:style>
  <w:style w:type="paragraph" w:styleId="Heading2">
    <w:name w:val="heading 2"/>
    <w:basedOn w:val="Normal"/>
    <w:next w:val="Normal"/>
    <w:qFormat/>
    <w:pPr>
      <w:keepNext w:val="true"/>
      <w:numPr>
        <w:ilvl w:val="1"/>
        <w:numId w:val="1"/>
      </w:numPr>
      <w:spacing w:before="240" w:after="0"/>
      <w:outlineLvl w:val="1"/>
    </w:pPr>
    <w:rPr>
      <w:b/>
      <w:bCs/>
    </w:rPr>
  </w:style>
  <w:style w:type="paragraph" w:styleId="Heading3">
    <w:name w:val="heading 3"/>
    <w:basedOn w:val="Normal"/>
    <w:next w:val="Normal"/>
    <w:qFormat/>
    <w:pPr>
      <w:keepNext w:val="true"/>
      <w:numPr>
        <w:ilvl w:val="2"/>
        <w:numId w:val="1"/>
      </w:numPr>
      <w:spacing w:before="400" w:after="240"/>
      <w:outlineLvl w:val="2"/>
    </w:pPr>
    <w:rPr>
      <w:b/>
      <w:bCs/>
    </w:rPr>
  </w:style>
  <w:style w:type="paragraph" w:styleId="Heading4">
    <w:name w:val="heading 4"/>
    <w:basedOn w:val="Normal"/>
    <w:next w:val="Normal"/>
    <w:qFormat/>
    <w:pPr>
      <w:numPr>
        <w:ilvl w:val="3"/>
        <w:numId w:val="1"/>
      </w:numPr>
      <w:tabs>
        <w:tab w:val="clear" w:pos="720"/>
        <w:tab w:val="left" w:pos="1440" w:leader="none"/>
      </w:tabs>
      <w:jc w:val="center"/>
      <w:outlineLvl w:val="3"/>
    </w:pPr>
    <w:rPr>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0" w:after="240"/>
      <w:jc w:val="center"/>
      <w:outlineLvl w:val="5"/>
    </w:pPr>
    <w:rPr/>
  </w:style>
  <w:style w:type="paragraph" w:styleId="Heading7">
    <w:name w:val="heading 7"/>
    <w:basedOn w:val="Normal"/>
    <w:next w:val="Normal"/>
    <w:qFormat/>
    <w:pPr>
      <w:keepNext w:val="true"/>
      <w:numPr>
        <w:ilvl w:val="6"/>
        <w:numId w:val="1"/>
      </w:numPr>
      <w:spacing w:lineRule="auto" w:line="480"/>
      <w:jc w:val="center"/>
      <w:outlineLvl w:val="6"/>
    </w:pPr>
    <w:rPr>
      <w:b/>
      <w:bCs/>
      <w:sz w:val="20"/>
      <w:szCs w:val="20"/>
    </w:rPr>
  </w:style>
  <w:style w:type="paragraph" w:styleId="Heading8">
    <w:name w:val="heading 8"/>
    <w:basedOn w:val="Normal"/>
    <w:next w:val="Normal"/>
    <w:qFormat/>
    <w:pPr>
      <w:keepNext w:val="true"/>
      <w:numPr>
        <w:ilvl w:val="7"/>
        <w:numId w:val="1"/>
      </w:numPr>
      <w:spacing w:lineRule="auto" w:line="480"/>
      <w:ind w:firstLine="720" w:start="0" w:end="0"/>
      <w:outlineLvl w:val="7"/>
    </w:pPr>
    <w:rPr>
      <w:b/>
      <w:bCs/>
    </w:rPr>
  </w:style>
  <w:style w:type="character" w:styleId="DefaultParagraphFont">
    <w:name w:val="Default Paragraph Font"/>
    <w:qForma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TOC2"/>
    <w:pPr>
      <w:spacing w:before="240" w:after="240"/>
      <w:jc w:val="center"/>
    </w:pPr>
    <w:rPr/>
  </w:style>
  <w:style w:type="paragraph" w:styleId="TOC2">
    <w:name w:val="toc 2"/>
    <w:basedOn w:val="Normal"/>
    <w:next w:val="Normal"/>
    <w:pPr>
      <w:tabs>
        <w:tab w:val="clear" w:pos="720"/>
        <w:tab w:val="right" w:pos="9360" w:leader="dot"/>
      </w:tabs>
      <w:ind w:hanging="0" w:start="240" w:end="0"/>
    </w:pPr>
    <w:rPr/>
  </w:style>
  <w:style w:type="paragraph" w:styleId="TOC3">
    <w:name w:val="toc 3"/>
    <w:basedOn w:val="Normal"/>
    <w:next w:val="Normal"/>
    <w:pPr>
      <w:tabs>
        <w:tab w:val="clear" w:pos="720"/>
        <w:tab w:val="right" w:pos="9360" w:leader="dot"/>
      </w:tabs>
    </w:pPr>
    <w:rPr/>
  </w:style>
  <w:style w:type="paragraph" w:styleId="TOC4">
    <w:name w:val="toc 4"/>
    <w:basedOn w:val="Normal"/>
    <w:next w:val="Normal"/>
    <w:pPr>
      <w:tabs>
        <w:tab w:val="clear" w:pos="720"/>
        <w:tab w:val="right" w:pos="9360" w:leader="dot"/>
      </w:tabs>
    </w:pPr>
    <w:rPr/>
  </w:style>
  <w:style w:type="paragraph" w:styleId="editorialinfo">
    <w:name w:val="editorial info"/>
    <w:basedOn w:val="Normal"/>
    <w:qFormat/>
    <w:pPr>
      <w:jc w:val="center"/>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rial10">
    <w:name w:val="arial 10"/>
    <w:basedOn w:val="Normal"/>
    <w:qFormat/>
    <w:pPr/>
    <w:rPr>
      <w:sz w:val="20"/>
      <w:szCs w:val="20"/>
    </w:rPr>
  </w:style>
  <w:style w:type="paragraph" w:styleId="tabsfor1b">
    <w:name w:val="tabs for1b"/>
    <w:basedOn w:val="Normal"/>
    <w:qFormat/>
    <w:pPr>
      <w:tabs>
        <w:tab w:val="clear" w:pos="720"/>
        <w:tab w:val="right" w:pos="3600" w:leader="none"/>
        <w:tab w:val="right" w:pos="5040" w:leader="none"/>
        <w:tab w:val="right" w:pos="6480" w:leader="none"/>
        <w:tab w:val="right" w:pos="7920" w:leader="none"/>
        <w:tab w:val="right" w:pos="9180" w:leader="none"/>
      </w:tabs>
      <w:spacing w:lineRule="exact" w:line="220"/>
    </w:pPr>
    <w:rPr>
      <w:color w:val="000000"/>
      <w:sz w:val="20"/>
      <w:szCs w:val="20"/>
    </w:rPr>
  </w:style>
  <w:style w:type="paragraph" w:styleId="text">
    <w:name w:val="text"/>
    <w:basedOn w:val="Normal"/>
    <w:qFormat/>
    <w:pPr>
      <w:spacing w:lineRule="exact" w:line="240"/>
    </w:pPr>
    <w:rPr>
      <w:rFonts w:ascii="Arial" w:hAnsi="Arial" w:eastAsia="Arial" w:cs="Arial"/>
    </w:rPr>
  </w:style>
  <w:style w:type="paragraph" w:styleId="footnotesfortables">
    <w:name w:val="footnotes for tables"/>
    <w:basedOn w:val="Normal"/>
    <w:qFormat/>
    <w:pPr>
      <w:tabs>
        <w:tab w:val="clear" w:pos="720"/>
        <w:tab w:val="left" w:pos="360" w:leader="none"/>
        <w:tab w:val="left" w:pos="1440" w:leader="none"/>
        <w:tab w:val="left" w:pos="1800" w:leader="none"/>
        <w:tab w:val="left" w:pos="2880" w:leader="none"/>
        <w:tab w:val="left" w:pos="3240" w:leader="none"/>
        <w:tab w:val="left" w:pos="4320" w:leader="none"/>
        <w:tab w:val="left" w:pos="4680" w:leader="none"/>
        <w:tab w:val="left" w:pos="5760" w:leader="none"/>
        <w:tab w:val="left" w:pos="6120" w:leader="none"/>
      </w:tabs>
      <w:spacing w:lineRule="atLeast" w:line="200"/>
    </w:pPr>
    <w:rPr>
      <w:sz w:val="20"/>
      <w:szCs w:val="20"/>
    </w:rPr>
  </w:style>
  <w:style w:type="paragraph" w:styleId="generalinfo">
    <w:name w:val="general_info"/>
    <w:basedOn w:val="Normal"/>
    <w:qFormat/>
    <w:pPr>
      <w:spacing w:lineRule="exact" w:line="264"/>
      <w:jc w:val="center"/>
    </w:pPr>
    <w:rPr>
      <w:sz w:val="20"/>
      <w:szCs w:val="20"/>
    </w:rPr>
  </w:style>
  <w:style w:type="paragraph" w:styleId="left-1ab">
    <w:name w:val="left-1ab"/>
    <w:basedOn w:val="Normal"/>
    <w:qFormat/>
    <w:pPr>
      <w:spacing w:lineRule="atLeast" w:line="220"/>
    </w:pPr>
    <w:rPr>
      <w:sz w:val="20"/>
      <w:szCs w:val="20"/>
    </w:rPr>
  </w:style>
  <w:style w:type="paragraph" w:styleId="right-1ab">
    <w:name w:val="right-1ab"/>
    <w:basedOn w:val="left-1ab"/>
    <w:qFormat/>
    <w:pPr>
      <w:tabs>
        <w:tab w:val="clear" w:pos="720"/>
        <w:tab w:val="right" w:pos="1170" w:leader="none"/>
        <w:tab w:val="right" w:pos="2520" w:leader="none"/>
        <w:tab w:val="right" w:pos="3780" w:leader="none"/>
        <w:tab w:val="right" w:pos="5040" w:leader="none"/>
        <w:tab w:val="right" w:pos="6390" w:leader="none"/>
      </w:tabs>
    </w:pPr>
    <w:rPr/>
  </w:style>
  <w:style w:type="paragraph" w:styleId="LEFT1D">
    <w:name w:val="LEFT1D"/>
    <w:basedOn w:val="left-1ab"/>
    <w:qFormat/>
    <w:pPr>
      <w:tabs>
        <w:tab w:val="clear" w:pos="720"/>
        <w:tab w:val="left" w:pos="1440" w:leader="none"/>
        <w:tab w:val="center" w:pos="2970" w:leader="none"/>
      </w:tabs>
    </w:pPr>
    <w:rPr/>
  </w:style>
  <w:style w:type="paragraph" w:styleId="RIGHT1D">
    <w:name w:val="RIGHT1D"/>
    <w:basedOn w:val="right-1ab"/>
    <w:qFormat/>
    <w:pPr>
      <w:tabs>
        <w:tab w:val="clear" w:pos="1170"/>
        <w:tab w:val="clear" w:pos="2520"/>
        <w:tab w:val="clear" w:pos="3780"/>
        <w:tab w:val="clear" w:pos="5040"/>
        <w:tab w:val="clear" w:pos="6390"/>
        <w:tab w:val="right" w:pos="1260" w:leader="none"/>
        <w:tab w:val="right" w:pos="2700" w:leader="none"/>
        <w:tab w:val="right" w:pos="4050" w:leader="none"/>
        <w:tab w:val="right" w:pos="5310" w:leader="none"/>
      </w:tabs>
    </w:pPr>
    <w:rPr/>
  </w:style>
  <w:style w:type="paragraph" w:styleId="right1dheading">
    <w:name w:val="right1dheading"/>
    <w:basedOn w:val="RIGHT1D"/>
    <w:qFormat/>
    <w:pPr>
      <w:tabs>
        <w:tab w:val="right" w:pos="1260" w:leader="none"/>
        <w:tab w:val="center" w:pos="1800" w:leader="none"/>
        <w:tab w:val="right" w:pos="2700" w:leader="none"/>
        <w:tab w:val="right" w:pos="4050" w:leader="none"/>
        <w:tab w:val="center" w:pos="4140" w:leader="none"/>
        <w:tab w:val="right" w:pos="5310" w:leader="none"/>
        <w:tab w:val="right" w:pos="5490" w:leader="none"/>
      </w:tabs>
    </w:pPr>
    <w:rPr>
      <w:u w:val="single"/>
    </w:rPr>
  </w:style>
  <w:style w:type="paragraph" w:styleId="1d-subheading">
    <w:name w:val="1d-subheading"/>
    <w:basedOn w:val="Normal"/>
    <w:qFormat/>
    <w:pPr>
      <w:tabs>
        <w:tab w:val="clear" w:pos="720"/>
        <w:tab w:val="center" w:pos="1620" w:leader="none"/>
        <w:tab w:val="center" w:pos="4230" w:leader="none"/>
      </w:tabs>
      <w:spacing w:lineRule="atLeast" w:line="220"/>
    </w:pPr>
    <w:rPr>
      <w:sz w:val="20"/>
      <w:szCs w:val="20"/>
      <w:u w:val="single"/>
    </w:rPr>
  </w:style>
  <w:style w:type="paragraph" w:styleId="toptableII-A">
    <w:name w:val="top table II-A"/>
    <w:qFormat/>
    <w:pPr>
      <w:widowControl/>
      <w:tabs>
        <w:tab w:val="clear" w:pos="720"/>
        <w:tab w:val="left" w:pos="1440" w:leader="none"/>
        <w:tab w:val="center" w:pos="3360" w:leader="none"/>
        <w:tab w:val="center" w:pos="4704" w:leader="none"/>
        <w:tab w:val="center" w:pos="6144" w:leader="none"/>
        <w:tab w:val="center" w:pos="7488" w:leader="none"/>
      </w:tabs>
      <w:bidi w:val="0"/>
      <w:ind w:hanging="0" w:start="1440" w:end="0"/>
    </w:pPr>
    <w:rPr>
      <w:rFonts w:ascii="Arial" w:hAnsi="Arial" w:eastAsia="Arial" w:cs="Arial"/>
      <w:color w:val="auto"/>
      <w:sz w:val="20"/>
      <w:szCs w:val="20"/>
      <w:lang w:val="en-US" w:eastAsia="zh-CN" w:bidi="hi-IN"/>
    </w:rPr>
  </w:style>
  <w:style w:type="paragraph" w:styleId="toptableII-B">
    <w:name w:val="top table II-B"/>
    <w:qFormat/>
    <w:pPr>
      <w:widowControl/>
      <w:tabs>
        <w:tab w:val="clear" w:pos="720"/>
        <w:tab w:val="center" w:pos="3330" w:leader="none"/>
        <w:tab w:val="center" w:pos="5400" w:leader="none"/>
        <w:tab w:val="center" w:pos="7740" w:leader="none"/>
      </w:tabs>
      <w:bidi w:val="0"/>
      <w:spacing w:lineRule="exact" w:line="240"/>
      <w:ind w:hanging="0" w:start="900" w:end="810"/>
    </w:pPr>
    <w:rPr>
      <w:rFonts w:ascii="Arial" w:hAnsi="Arial" w:eastAsia="Arial" w:cs="Arial"/>
      <w:color w:val="auto"/>
      <w:sz w:val="20"/>
      <w:szCs w:val="20"/>
      <w:lang w:val="en-US" w:eastAsia="zh-CN" w:bidi="hi-IN"/>
    </w:rPr>
  </w:style>
  <w:style w:type="paragraph" w:styleId="toplinetableII-C">
    <w:name w:val="top line table II-C"/>
    <w:qFormat/>
    <w:pPr>
      <w:widowControl/>
      <w:tabs>
        <w:tab w:val="clear" w:pos="720"/>
        <w:tab w:val="left" w:pos="1248" w:leader="none"/>
        <w:tab w:val="center" w:pos="3456" w:leader="none"/>
        <w:tab w:val="right" w:pos="5904" w:leader="none"/>
        <w:tab w:val="left" w:pos="6624" w:leader="none"/>
        <w:tab w:val="center" w:pos="7920" w:leader="none"/>
        <w:tab w:val="right" w:pos="9072" w:leader="none"/>
      </w:tabs>
      <w:bidi w:val="0"/>
    </w:pPr>
    <w:rPr>
      <w:rFonts w:ascii="Arial" w:hAnsi="Arial" w:eastAsia="Arial" w:cs="Arial"/>
      <w:color w:val="auto"/>
      <w:sz w:val="20"/>
      <w:szCs w:val="20"/>
      <w:lang w:val="en-US" w:eastAsia="zh-CN" w:bidi="hi-IN"/>
    </w:rPr>
  </w:style>
  <w:style w:type="paragraph" w:styleId="middlelinetoptabII-C">
    <w:name w:val="middle line top tab II-C"/>
    <w:qFormat/>
    <w:pPr>
      <w:widowControl/>
      <w:tabs>
        <w:tab w:val="clear" w:pos="720"/>
        <w:tab w:val="center" w:pos="2592" w:leader="none"/>
        <w:tab w:val="center" w:pos="5184" w:leader="none"/>
        <w:tab w:val="center" w:pos="7872" w:leader="none"/>
      </w:tabs>
      <w:bidi w:val="0"/>
    </w:pPr>
    <w:rPr>
      <w:rFonts w:ascii="Arial" w:hAnsi="Arial" w:eastAsia="Arial" w:cs="Arial"/>
      <w:color w:val="auto"/>
      <w:sz w:val="20"/>
      <w:szCs w:val="20"/>
      <w:lang w:val="en-US" w:eastAsia="zh-CN" w:bidi="hi-IN"/>
    </w:rPr>
  </w:style>
  <w:style w:type="paragraph" w:styleId="bottomlinetoptableII-C">
    <w:name w:val="bottom line top table II-C"/>
    <w:qFormat/>
    <w:pPr>
      <w:widowControl/>
      <w:tabs>
        <w:tab w:val="clear" w:pos="720"/>
        <w:tab w:val="left" w:pos="1080" w:leader="none"/>
        <w:tab w:val="center" w:pos="2520" w:leader="none"/>
        <w:tab w:val="right" w:pos="3744" w:leader="none"/>
        <w:tab w:val="left" w:pos="4464" w:leader="none"/>
        <w:tab w:val="center" w:pos="5184" w:leader="none"/>
        <w:tab w:val="right" w:pos="5904" w:leader="none"/>
        <w:tab w:val="left" w:pos="6552" w:leader="none"/>
        <w:tab w:val="center" w:pos="7872" w:leader="none"/>
        <w:tab w:val="right" w:pos="9216" w:leader="none"/>
      </w:tabs>
      <w:bidi w:val="0"/>
    </w:pPr>
    <w:rPr>
      <w:rFonts w:ascii="Arial" w:hAnsi="Arial" w:eastAsia="Arial" w:cs="Arial"/>
      <w:color w:val="auto"/>
      <w:sz w:val="20"/>
      <w:szCs w:val="20"/>
      <w:lang w:val="en-US" w:eastAsia="zh-CN" w:bidi="hi-IN"/>
    </w:rPr>
  </w:style>
  <w:style w:type="paragraph" w:styleId="colheadingtableII-C">
    <w:name w:val="col. heading table II-C"/>
    <w:qFormat/>
    <w:pPr>
      <w:widowControl/>
      <w:tabs>
        <w:tab w:val="clear" w:pos="720"/>
        <w:tab w:val="center" w:pos="1440" w:leader="none"/>
        <w:tab w:val="center" w:pos="2592" w:leader="none"/>
        <w:tab w:val="center" w:pos="3648" w:leader="none"/>
        <w:tab w:val="center" w:pos="4704" w:leader="none"/>
        <w:tab w:val="center" w:pos="5760" w:leader="none"/>
        <w:tab w:val="center" w:pos="6816" w:leader="none"/>
        <w:tab w:val="center" w:pos="7968" w:leader="none"/>
        <w:tab w:val="center" w:pos="9024" w:leader="none"/>
      </w:tabs>
      <w:bidi w:val="0"/>
    </w:pPr>
    <w:rPr>
      <w:rFonts w:ascii="Arial" w:hAnsi="Arial" w:eastAsia="Arial" w:cs="Arial"/>
      <w:color w:val="auto"/>
      <w:sz w:val="20"/>
      <w:szCs w:val="20"/>
      <w:lang w:val="en-US" w:eastAsia="zh-CN" w:bidi="hi-IN"/>
    </w:rPr>
  </w:style>
  <w:style w:type="paragraph" w:styleId="bodytableII-C">
    <w:name w:val="body table II-C"/>
    <w:qFormat/>
    <w:pPr>
      <w:widowControl/>
      <w:tabs>
        <w:tab w:val="clear" w:pos="720"/>
        <w:tab w:val="decimal" w:pos="1440" w:leader="none"/>
        <w:tab w:val="decimal" w:pos="2592" w:leader="none"/>
        <w:tab w:val="decimal" w:pos="3648" w:leader="none"/>
        <w:tab w:val="decimal" w:pos="4704" w:leader="none"/>
        <w:tab w:val="decimal" w:pos="5760" w:leader="none"/>
        <w:tab w:val="decimal" w:pos="6816" w:leader="none"/>
        <w:tab w:val="decimal" w:pos="7968" w:leader="none"/>
        <w:tab w:val="decimal" w:pos="9024" w:leader="none"/>
      </w:tabs>
      <w:bidi w:val="0"/>
      <w:spacing w:lineRule="exact" w:line="240"/>
    </w:pPr>
    <w:rPr>
      <w:rFonts w:ascii="Arial" w:hAnsi="Arial" w:eastAsia="Arial" w:cs="Arial"/>
      <w:color w:val="auto"/>
      <w:sz w:val="20"/>
      <w:szCs w:val="20"/>
      <w:lang w:val="en-US" w:eastAsia="zh-CN" w:bidi="hi-IN"/>
    </w:rPr>
  </w:style>
  <w:style w:type="paragraph" w:styleId="L1tabs2d">
    <w:name w:val="L1 tabs 2d"/>
    <w:qFormat/>
    <w:pPr>
      <w:widowControl/>
      <w:tabs>
        <w:tab w:val="clear" w:pos="720"/>
        <w:tab w:val="left" w:pos="1368" w:leader="none"/>
        <w:tab w:val="center" w:pos="3528" w:leader="none"/>
        <w:tab w:val="right" w:pos="5976" w:leader="none"/>
        <w:tab w:val="left" w:pos="7128" w:leader="none"/>
        <w:tab w:val="center" w:pos="8064" w:leader="none"/>
        <w:tab w:val="right" w:pos="9072" w:leader="none"/>
      </w:tabs>
      <w:bidi w:val="0"/>
    </w:pPr>
    <w:rPr>
      <w:rFonts w:ascii="Arial" w:hAnsi="Arial" w:eastAsia="Arial" w:cs="Arial"/>
      <w:color w:val="auto"/>
      <w:sz w:val="20"/>
      <w:szCs w:val="20"/>
      <w:lang w:val="en-US" w:eastAsia="zh-CN" w:bidi="hi-IN"/>
    </w:rPr>
  </w:style>
  <w:style w:type="paragraph" w:styleId="L2tablesIId">
    <w:name w:val="L2 tables II d"/>
    <w:qFormat/>
    <w:pPr>
      <w:widowControl/>
      <w:tabs>
        <w:tab w:val="clear" w:pos="720"/>
        <w:tab w:val="center" w:pos="2232" w:leader="none"/>
        <w:tab w:val="center" w:pos="5184" w:leader="none"/>
        <w:tab w:val="left" w:pos="7128" w:leader="none"/>
        <w:tab w:val="center" w:pos="8064" w:leader="none"/>
        <w:tab w:val="right" w:pos="8928" w:leader="none"/>
      </w:tabs>
      <w:bidi w:val="0"/>
      <w:jc w:val="center"/>
    </w:pPr>
    <w:rPr>
      <w:rFonts w:ascii="Arial" w:hAnsi="Arial" w:eastAsia="Arial" w:cs="Arial"/>
      <w:color w:val="auto"/>
      <w:sz w:val="20"/>
      <w:szCs w:val="20"/>
      <w:lang w:val="en-US" w:eastAsia="zh-CN" w:bidi="hi-IN"/>
    </w:rPr>
  </w:style>
  <w:style w:type="paragraph" w:styleId="L3tablesIId">
    <w:name w:val="L3 tables II d"/>
    <w:qFormat/>
    <w:pPr>
      <w:widowControl/>
      <w:tabs>
        <w:tab w:val="clear" w:pos="720"/>
        <w:tab w:val="left" w:pos="1368" w:leader="none"/>
        <w:tab w:val="center" w:pos="2232" w:leader="none"/>
        <w:tab w:val="right" w:pos="3096" w:leader="none"/>
        <w:tab w:val="left" w:pos="4320" w:leader="none"/>
        <w:tab w:val="center" w:pos="5184" w:leader="none"/>
        <w:tab w:val="right" w:pos="5976" w:leader="none"/>
        <w:tab w:val="left" w:pos="7128" w:leader="none"/>
        <w:tab w:val="center" w:pos="8064" w:leader="none"/>
        <w:tab w:val="right" w:pos="9072" w:leader="none"/>
      </w:tabs>
      <w:bidi w:val="0"/>
      <w:jc w:val="center"/>
    </w:pPr>
    <w:rPr>
      <w:rFonts w:ascii="Arial" w:hAnsi="Arial" w:eastAsia="Arial" w:cs="Arial"/>
      <w:color w:val="auto"/>
      <w:sz w:val="20"/>
      <w:szCs w:val="20"/>
      <w:lang w:val="en-US" w:eastAsia="zh-CN" w:bidi="hi-IN"/>
    </w:rPr>
  </w:style>
  <w:style w:type="paragraph" w:styleId="L4tablesIId">
    <w:name w:val="L4 tables II d"/>
    <w:qFormat/>
    <w:pPr>
      <w:widowControl/>
      <w:tabs>
        <w:tab w:val="clear" w:pos="720"/>
        <w:tab w:val="center" w:pos="1512" w:leader="none"/>
        <w:tab w:val="center" w:pos="2880" w:leader="none"/>
        <w:tab w:val="center" w:pos="4536" w:leader="none"/>
        <w:tab w:val="center" w:pos="5832" w:leader="none"/>
        <w:tab w:val="center" w:pos="7344" w:leader="none"/>
        <w:tab w:val="center" w:pos="8712" w:leader="none"/>
      </w:tabs>
      <w:bidi w:val="0"/>
    </w:pPr>
    <w:rPr>
      <w:rFonts w:ascii="Arial" w:hAnsi="Arial" w:eastAsia="Arial" w:cs="Arial"/>
      <w:color w:val="auto"/>
      <w:sz w:val="20"/>
      <w:szCs w:val="20"/>
      <w:lang w:val="en-US" w:eastAsia="zh-CN" w:bidi="hi-IN"/>
    </w:rPr>
  </w:style>
  <w:style w:type="paragraph" w:styleId="bottomtable2B">
    <w:name w:val="bottom table 2B"/>
    <w:basedOn w:val="Normal"/>
    <w:qFormat/>
    <w:pPr>
      <w:tabs>
        <w:tab w:val="clear" w:pos="720"/>
        <w:tab w:val="decimal" w:pos="3240" w:leader="none"/>
        <w:tab w:val="center" w:pos="3330" w:leader="none"/>
        <w:tab w:val="decimal" w:pos="5400" w:leader="none"/>
        <w:tab w:val="decimal" w:pos="7740" w:leader="none"/>
      </w:tabs>
      <w:spacing w:lineRule="exact" w:line="240"/>
      <w:ind w:hanging="0" w:start="900" w:end="720"/>
    </w:pPr>
    <w:rPr>
      <w:sz w:val="20"/>
      <w:szCs w:val="20"/>
    </w:rPr>
  </w:style>
  <w:style w:type="paragraph" w:styleId="Subtitle">
    <w:name w:val="Subtitle"/>
    <w:basedOn w:val="Normal"/>
    <w:next w:val="BodyText"/>
    <w:qFormat/>
    <w:pPr>
      <w:keepNext w:val="true"/>
      <w:spacing w:before="240" w:after="240"/>
    </w:pPr>
    <w:rPr>
      <w:b/>
      <w:bCs/>
    </w:rPr>
  </w:style>
  <w:style w:type="paragraph" w:styleId="Text1">
    <w:name w:val="Text1"/>
    <w:basedOn w:val="Normal"/>
    <w:qFormat/>
    <w:pPr>
      <w:ind w:hanging="0" w:start="360" w:end="0"/>
    </w:pPr>
    <w:rPr/>
  </w:style>
  <w:style w:type="paragraph" w:styleId="Style11">
    <w:name w:val="Style1"/>
    <w:basedOn w:val="Heading1"/>
    <w:next w:val="Normal"/>
    <w:qFormat/>
    <w:pPr>
      <w:numPr>
        <w:ilvl w:val="0"/>
        <w:numId w:val="0"/>
      </w:numPr>
      <w:spacing w:before="120" w:after="0"/>
      <w:outlineLvl w:val="9"/>
    </w:pPr>
    <w:rPr/>
  </w:style>
  <w:style w:type="paragraph" w:styleId="SectionCovers">
    <w:name w:val="Section Covers"/>
    <w:basedOn w:val="Normal"/>
    <w:qFormat/>
    <w:pPr>
      <w:pBdr>
        <w:top w:val="single" w:sz="6" w:space="1" w:color="000000"/>
        <w:left w:val="single" w:sz="6" w:space="1" w:color="000000"/>
        <w:bottom w:val="single" w:sz="6" w:space="1" w:color="000000"/>
        <w:right w:val="single" w:sz="6" w:space="1" w:color="000000"/>
      </w:pBdr>
      <w:jc w:val="center"/>
    </w:pPr>
    <w:rPr>
      <w:i/>
      <w:iCs/>
      <w:sz w:val="48"/>
      <w:szCs w:val="48"/>
    </w:rPr>
  </w:style>
  <w:style w:type="paragraph" w:styleId="TOC5">
    <w:name w:val="toc 5"/>
    <w:basedOn w:val="Normal"/>
    <w:next w:val="Normal"/>
    <w:pPr>
      <w:tabs>
        <w:tab w:val="clear" w:pos="720"/>
        <w:tab w:val="right" w:pos="9360" w:leader="none"/>
      </w:tabs>
      <w:ind w:hanging="0" w:start="960" w:end="0"/>
    </w:pPr>
    <w:rPr>
      <w:rFonts w:ascii="Times New Roman" w:hAnsi="Times New Roman" w:eastAsia="Times New Roman" w:cs="Times New Roman"/>
      <w:sz w:val="20"/>
      <w:szCs w:val="20"/>
    </w:rPr>
  </w:style>
  <w:style w:type="paragraph" w:styleId="TOC6">
    <w:name w:val="toc 6"/>
    <w:basedOn w:val="Normal"/>
    <w:next w:val="Normal"/>
    <w:pPr>
      <w:tabs>
        <w:tab w:val="clear" w:pos="720"/>
        <w:tab w:val="right" w:pos="9360" w:leader="none"/>
      </w:tabs>
      <w:ind w:hanging="0" w:start="1200" w:end="0"/>
    </w:pPr>
    <w:rPr>
      <w:rFonts w:ascii="Times New Roman" w:hAnsi="Times New Roman" w:eastAsia="Times New Roman" w:cs="Times New Roman"/>
      <w:sz w:val="20"/>
      <w:szCs w:val="20"/>
    </w:rPr>
  </w:style>
  <w:style w:type="paragraph" w:styleId="24boldcent">
    <w:name w:val="24bold_cent"/>
    <w:basedOn w:val="Normal"/>
    <w:qFormat/>
    <w:pPr>
      <w:spacing w:lineRule="exact" w:line="480"/>
      <w:jc w:val="center"/>
    </w:pPr>
    <w:rPr>
      <w:b/>
      <w:bCs/>
      <w:sz w:val="48"/>
      <w:szCs w:val="48"/>
    </w:rPr>
  </w:style>
  <w:style w:type="paragraph" w:styleId="14boldcent">
    <w:name w:val="14bold_cent"/>
    <w:basedOn w:val="Normal"/>
    <w:qFormat/>
    <w:pPr>
      <w:spacing w:lineRule="exact" w:line="280"/>
      <w:jc w:val="center"/>
    </w:pPr>
    <w:rPr>
      <w:b/>
      <w:bCs/>
      <w:sz w:val="28"/>
      <w:szCs w:val="28"/>
    </w:rPr>
  </w:style>
  <w:style w:type="paragraph" w:styleId="BOLDCENTERED">
    <w:name w:val="BOLD CENTERED"/>
    <w:qFormat/>
    <w:pPr>
      <w:keepNext w:val="true"/>
      <w:widowControl/>
      <w:bidi w:val="0"/>
      <w:spacing w:before="240" w:after="0"/>
      <w:jc w:val="center"/>
    </w:pPr>
    <w:rPr>
      <w:rFonts w:ascii="Arial" w:hAnsi="Arial" w:eastAsia="Arial" w:cs="Arial"/>
      <w:b/>
      <w:bCs/>
      <w:color w:val="auto"/>
      <w:sz w:val="24"/>
      <w:szCs w:val="24"/>
      <w:lang w:val="en-US" w:eastAsia="zh-CN" w:bidi="hi-IN"/>
    </w:rPr>
  </w:style>
  <w:style w:type="paragraph" w:styleId="cen">
    <w:name w:val="cen"/>
    <w:basedOn w:val="Normal"/>
    <w:qFormat/>
    <w:pPr>
      <w:tabs>
        <w:tab w:val="clear" w:pos="720"/>
        <w:tab w:val="left" w:pos="1368" w:leader="none"/>
        <w:tab w:val="center" w:pos="3528" w:leader="none"/>
        <w:tab w:val="right" w:pos="5976" w:leader="none"/>
        <w:tab w:val="left" w:pos="7128" w:leader="none"/>
        <w:tab w:val="center" w:pos="8064" w:leader="none"/>
        <w:tab w:val="right" w:pos="9072" w:leader="none"/>
      </w:tabs>
      <w:jc w:val="center"/>
    </w:pPr>
    <w:rPr/>
  </w:style>
  <w:style w:type="paragraph" w:styleId="10">
    <w:name w:val="10"/>
    <w:basedOn w:val="Normal"/>
    <w:qFormat/>
    <w:pPr/>
    <w:rPr>
      <w:sz w:val="20"/>
      <w:szCs w:val="20"/>
    </w:rPr>
  </w:style>
  <w:style w:type="paragraph" w:styleId="TOC9">
    <w:name w:val="toc 9"/>
    <w:basedOn w:val="Normal"/>
    <w:next w:val="Normal"/>
    <w:pPr>
      <w:tabs>
        <w:tab w:val="clear" w:pos="720"/>
        <w:tab w:val="right" w:pos="9360" w:leader="dot"/>
      </w:tabs>
      <w:spacing w:before="60" w:after="60"/>
    </w:pPr>
    <w:rPr>
      <w:sz w:val="20"/>
      <w:szCs w:val="20"/>
    </w:rPr>
  </w:style>
  <w:style w:type="paragraph" w:styleId="AnnotationText">
    <w:name w:val="Annotation Text"/>
    <w:basedOn w:val="Normal"/>
    <w:qFormat/>
    <w:pPr>
      <w:spacing w:lineRule="auto" w:line="240"/>
    </w:pPr>
    <w:rPr>
      <w:sz w:val="20"/>
      <w:szCs w:val="20"/>
    </w:rPr>
  </w:style>
  <w:style w:type="paragraph" w:styleId="centunl">
    <w:name w:val="cent_unl"/>
    <w:basedOn w:val="Normal"/>
    <w:qFormat/>
    <w:pPr>
      <w:keepNext w:val="true"/>
      <w:tabs>
        <w:tab w:val="left" w:pos="216" w:leader="none"/>
        <w:tab w:val="left" w:pos="360" w:leader="none"/>
        <w:tab w:val="left" w:pos="576"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 w:val="left" w:pos="19080" w:leader="none"/>
        <w:tab w:val="left" w:pos="19800" w:leader="none"/>
        <w:tab w:val="left" w:pos="20520" w:leader="none"/>
        <w:tab w:val="left" w:pos="21240" w:leader="none"/>
        <w:tab w:val="left" w:pos="21960" w:leader="none"/>
        <w:tab w:val="left" w:pos="22680" w:leader="none"/>
        <w:tab w:val="left" w:pos="23400" w:leader="none"/>
        <w:tab w:val="left" w:pos="24120" w:leader="none"/>
        <w:tab w:val="left" w:pos="24840" w:leader="none"/>
        <w:tab w:val="left" w:pos="25560" w:leader="none"/>
        <w:tab w:val="left" w:pos="26280" w:leader="none"/>
      </w:tabs>
      <w:spacing w:before="360" w:after="240"/>
      <w:jc w:val="center"/>
    </w:pPr>
    <w:rPr>
      <w:u w:val="single"/>
    </w:rPr>
  </w:style>
  <w:style w:type="paragraph" w:styleId="TOC7">
    <w:name w:val="toc 7"/>
    <w:basedOn w:val="Normal"/>
    <w:next w:val="Normal"/>
    <w:pPr>
      <w:tabs>
        <w:tab w:val="clear" w:pos="720"/>
        <w:tab w:val="right" w:pos="9360" w:leader="dot"/>
      </w:tabs>
      <w:ind w:hanging="0" w:start="1440" w:end="0"/>
    </w:pPr>
    <w:rPr>
      <w:sz w:val="20"/>
      <w:szCs w:val="20"/>
    </w:rPr>
  </w:style>
  <w:style w:type="paragraph" w:styleId="TOC8">
    <w:name w:val="toc 8"/>
    <w:basedOn w:val="Normal"/>
    <w:next w:val="Normal"/>
    <w:pPr>
      <w:tabs>
        <w:tab w:val="clear" w:pos="720"/>
        <w:tab w:val="right" w:pos="9360" w:leader="dot"/>
      </w:tabs>
      <w:ind w:hanging="0" w:start="1680" w:end="0"/>
    </w:pPr>
    <w:rPr>
      <w:sz w:val="20"/>
      <w:szCs w:val="20"/>
    </w:rPr>
  </w:style>
  <w:style w:type="paragraph" w:styleId="TOC31">
    <w:name w:val="TOC3"/>
    <w:basedOn w:val="Normal"/>
    <w:qFormat/>
    <w:pPr>
      <w:spacing w:before="0" w:after="240"/>
      <w:jc w:val="center"/>
    </w:pPr>
    <w:rPr>
      <w:b/>
      <w:bCs/>
      <w:sz w:val="28"/>
      <w:szCs w:val="28"/>
      <w:u w:val="single"/>
    </w:rPr>
  </w:style>
  <w:style w:type="paragraph" w:styleId="PART3SUBS">
    <w:name w:val="PART3SUBS"/>
    <w:basedOn w:val="Normal"/>
    <w:qFormat/>
    <w:pPr>
      <w:keepNext w:val="true"/>
      <w:spacing w:before="0" w:after="240"/>
    </w:pPr>
    <w:rPr>
      <w:b/>
      <w:bCs/>
    </w:rPr>
  </w:style>
  <w:style w:type="paragraph" w:styleId="bottableIIa">
    <w:name w:val="bot table IIa"/>
    <w:basedOn w:val="toptableII-A"/>
    <w:qFormat/>
    <w:pPr>
      <w:tabs>
        <w:tab w:val="clear" w:pos="3360"/>
        <w:tab w:val="clear" w:pos="4704"/>
        <w:tab w:val="clear" w:pos="6144"/>
        <w:tab w:val="clear" w:pos="7488"/>
        <w:tab w:val="left" w:pos="1440" w:leader="none"/>
        <w:tab w:val="decimal" w:pos="3330" w:leader="none"/>
        <w:tab w:val="decimal" w:pos="4680" w:leader="none"/>
        <w:tab w:val="decimal" w:pos="6120" w:leader="none"/>
        <w:tab w:val="decimal" w:pos="7470" w:leader="none"/>
      </w:tabs>
    </w:pPr>
    <w:rPr/>
  </w:style>
  <w:style w:type="paragraph" w:styleId="bott2D">
    <w:name w:val="bott 2 D"/>
    <w:basedOn w:val="L4tablesIId"/>
    <w:qFormat/>
    <w:pPr>
      <w:tabs>
        <w:tab w:val="clear" w:pos="1512"/>
        <w:tab w:val="clear" w:pos="4536"/>
        <w:tab w:val="clear" w:pos="5832"/>
        <w:tab w:val="clear" w:pos="7344"/>
        <w:tab w:val="clear" w:pos="8712"/>
        <w:tab w:val="decimal" w:pos="1530" w:leader="none"/>
        <w:tab w:val="decimal" w:pos="2880" w:leader="none"/>
        <w:tab w:val="decimal" w:pos="4500" w:leader="none"/>
        <w:tab w:val="decimal" w:pos="5850" w:leader="none"/>
        <w:tab w:val="decimal" w:pos="7290" w:leader="none"/>
        <w:tab w:val="decimal" w:pos="8640" w:leader="none"/>
      </w:tabs>
    </w:pPr>
    <w:rPr/>
  </w:style>
  <w:style w:type="paragraph" w:styleId="subheaders">
    <w:name w:val="sub headers"/>
    <w:qFormat/>
    <w:pPr>
      <w:keepNext w:val="true"/>
      <w:widowControl/>
      <w:bidi w:val="0"/>
      <w:spacing w:before="480" w:after="240"/>
    </w:pPr>
    <w:rPr>
      <w:rFonts w:ascii="Helvetica" w:hAnsi="Helvetica" w:eastAsia="Helvetica" w:cs="Helvetica"/>
      <w:b/>
      <w:bCs/>
      <w:color w:val="auto"/>
      <w:sz w:val="24"/>
      <w:szCs w:val="24"/>
      <w:lang w:val="en-US" w:eastAsia="zh-CN" w:bidi="hi-IN"/>
    </w:rPr>
  </w:style>
  <w:style w:type="paragraph" w:styleId="11">
    <w:name w:val="11"/>
    <w:basedOn w:val="Normal"/>
    <w:qFormat/>
    <w:pPr>
      <w:spacing w:lineRule="auto" w:line="240"/>
    </w:pPr>
    <w:rPr>
      <w:sz w:val="20"/>
      <w:szCs w:val="20"/>
    </w:rPr>
  </w:style>
  <w:style w:type="paragraph" w:styleId="12">
    <w:name w:val="12"/>
    <w:basedOn w:val="Normal"/>
    <w:qFormat/>
    <w:pPr>
      <w:spacing w:lineRule="auto" w:line="240"/>
    </w:pPr>
    <w:rPr>
      <w:sz w:val="20"/>
      <w:szCs w:val="20"/>
    </w:rPr>
  </w:style>
  <w:style w:type="paragraph" w:styleId="la">
    <w:name w:val="la"/>
    <w:basedOn w:val="Normal"/>
    <w:qFormat/>
    <w:pPr>
      <w:keepNext w:val="true"/>
      <w:spacing w:before="0" w:after="240"/>
    </w:pPr>
    <w:rPr>
      <w:b/>
      <w:bCs/>
    </w:rPr>
  </w:style>
  <w:style w:type="paragraph" w:styleId="nonbreak">
    <w:name w:val="non_break"/>
    <w:basedOn w:val="Normal"/>
    <w:qFormat/>
    <w:pPr>
      <w:keepNext w:val="true"/>
      <w:spacing w:before="0" w:after="240"/>
    </w:pPr>
    <w:rPr>
      <w:b/>
      <w:bCs/>
    </w:rPr>
  </w:style>
  <w:style w:type="paragraph" w:styleId="sf3t">
    <w:name w:val="sf_3t"/>
    <w:basedOn w:val="Normal"/>
    <w:qFormat/>
    <w:pPr>
      <w:keepNext w:val="true"/>
      <w:tabs>
        <w:tab w:val="clear" w:pos="720"/>
        <w:tab w:val="left" w:pos="2160" w:leader="none"/>
      </w:tabs>
    </w:pPr>
    <w:rPr>
      <w:b/>
      <w:bCs/>
    </w:rPr>
  </w:style>
  <w:style w:type="paragraph" w:styleId="sfsub-1">
    <w:name w:val="sf_sub-1"/>
    <w:basedOn w:val="Normal"/>
    <w:qFormat/>
    <w:pPr>
      <w:keepNext w:val="true"/>
      <w:tabs>
        <w:tab w:val="left" w:pos="720" w:leader="none"/>
      </w:tabs>
      <w:spacing w:before="240" w:after="0"/>
    </w:pPr>
    <w:rPr>
      <w:b/>
      <w:bCs/>
    </w:rPr>
  </w:style>
  <w:style w:type="paragraph" w:styleId="keydev">
    <w:name w:val="keydev"/>
    <w:basedOn w:val="Normal"/>
    <w:next w:val="Normal"/>
    <w:qFormat/>
    <w:pPr>
      <w:keepNext w:val="true"/>
      <w:spacing w:before="240" w:after="240"/>
    </w:pPr>
    <w:rPr>
      <w:b/>
      <w:bCs/>
    </w:rPr>
  </w:style>
  <w:style w:type="paragraph" w:styleId="bullet">
    <w:name w:val="bullet"/>
    <w:basedOn w:val="Normal"/>
    <w:qFormat/>
    <w:pPr>
      <w:numPr>
        <w:ilvl w:val="0"/>
        <w:numId w:val="2"/>
      </w:numPr>
      <w:spacing w:before="0" w:after="200"/>
      <w:ind w:hanging="360" w:start="360" w:end="0"/>
    </w:pPr>
    <w:rPr/>
  </w:style>
  <w:style w:type="paragraph" w:styleId="dw">
    <w:name w:val="dw"/>
    <w:basedOn w:val="Normal"/>
    <w:qFormat/>
    <w:pPr>
      <w:spacing w:lineRule="auto" w:line="480"/>
      <w:ind w:hanging="0" w:start="0" w:end="-86"/>
    </w:pPr>
    <w:rPr/>
  </w:style>
  <w:style w:type="paragraph" w:styleId="left-1c">
    <w:name w:val="left-1c"/>
    <w:basedOn w:val="left-1ab"/>
    <w:qFormat/>
    <w:pPr>
      <w:spacing w:lineRule="exact" w:line="240"/>
    </w:pPr>
    <w:rPr>
      <w:b/>
      <w:bCs/>
    </w:rPr>
  </w:style>
  <w:style w:type="paragraph" w:styleId="right-1c">
    <w:name w:val="right-1c"/>
    <w:basedOn w:val="right-1ab"/>
    <w:qFormat/>
    <w:pPr>
      <w:spacing w:lineRule="exact" w:line="240"/>
    </w:pPr>
    <w:rPr/>
  </w:style>
  <w:style w:type="paragraph" w:styleId="FootnoteText">
    <w:name w:val="footnote text"/>
    <w:basedOn w:val="Normal"/>
    <w:pPr>
      <w:spacing w:lineRule="auto" w:line="240" w:before="0" w:after="12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2.xml"/><Relationship Id="rId10" Type="http://schemas.openxmlformats.org/officeDocument/2006/relationships/footer" Target="footer5.xml"/><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image" Target="media/image5.emf"/><Relationship Id="rId15" Type="http://schemas.openxmlformats.org/officeDocument/2006/relationships/image" Target="media/image6.emf"/><Relationship Id="rId16" Type="http://schemas.openxmlformats.org/officeDocument/2006/relationships/image" Target="media/image7.emf"/><Relationship Id="rId17" Type="http://schemas.openxmlformats.org/officeDocument/2006/relationships/image" Target="media/image8.emf"/><Relationship Id="rId18" Type="http://schemas.openxmlformats.org/officeDocument/2006/relationships/image" Target="media/image9.emf"/><Relationship Id="rId19" Type="http://schemas.openxmlformats.org/officeDocument/2006/relationships/image" Target="media/image10.emf"/><Relationship Id="rId20" Type="http://schemas.openxmlformats.org/officeDocument/2006/relationships/header" Target="header3.xml"/><Relationship Id="rId21" Type="http://schemas.openxmlformats.org/officeDocument/2006/relationships/footer" Target="footer6.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R:\FOWM.DOT</Template>
  <TotalTime>276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1999-12-22T08:16:00Z</dcterms:created>
  <dc:creator>Poten &amp; Partners</dc:creator>
  <dc:description/>
  <dc:language>en-CA</dc:language>
  <cp:lastModifiedBy>Poten &amp; Partners</cp:lastModifiedBy>
  <cp:lastPrinted>2000-01-19T10:42:00Z</cp:lastPrinted>
  <dcterms:modified xsi:type="dcterms:W3CDTF">2000-01-19T08:15:00Z</dcterms:modified>
  <cp:revision>32</cp:revision>
  <dc:subject/>
  <dc:title>FEBRUARY 1997 FOWM </dc:title>
</cp:coreProperties>
</file>