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jc w:val="both"/>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jc w:val="both"/>
        <w:rPr/>
      </w:pPr>
      <w:r>
        <w:rPr/>
      </w:r>
    </w:p>
    <w:tbl>
      <w:tblPr>
        <w:tblW w:w="10708" w:type="dxa"/>
        <w:jc w:val="start"/>
        <w:tblInd w:w="200" w:type="dxa"/>
        <w:tblLayout w:type="fixed"/>
        <w:tblCellMar>
          <w:top w:w="0" w:type="dxa"/>
          <w:start w:w="108" w:type="dxa"/>
          <w:bottom w:w="0" w:type="dxa"/>
          <w:end w:w="108" w:type="dxa"/>
        </w:tblCellMar>
      </w:tblPr>
      <w:tblGrid>
        <w:gridCol w:w="898"/>
        <w:gridCol w:w="5490"/>
        <w:gridCol w:w="1355"/>
        <w:gridCol w:w="2965"/>
      </w:tblGrid>
      <w:tr>
        <w:trPr>
          <w:trHeight w:val="300" w:hRule="exact"/>
        </w:trPr>
        <w:tc>
          <w:tcPr>
            <w:tcW w:w="898" w:type="dxa"/>
            <w:tcBorders/>
          </w:tcPr>
          <w:p>
            <w:pPr>
              <w:pStyle w:val="Normal"/>
              <w:ind w:start="-180" w:end="0"/>
              <w:jc w:val="both"/>
              <w:rPr>
                <w:rFonts w:cs="Arial"/>
                <w:sz w:val="20"/>
              </w:rPr>
            </w:pPr>
            <w:r>
              <w:rPr>
                <w:rFonts w:eastAsia="Arial" w:cs="Arial"/>
                <w:sz w:val="20"/>
              </w:rPr>
              <w:t xml:space="preserve">  </w:t>
            </w:r>
            <w:r>
              <w:rPr>
                <w:rFonts w:cs="Arial"/>
                <w:sz w:val="20"/>
              </w:rPr>
              <w:t>To:</w:t>
            </w:r>
          </w:p>
        </w:tc>
        <w:tc>
          <w:tcPr>
            <w:tcW w:w="5490" w:type="dxa"/>
            <w:tcBorders/>
          </w:tcPr>
          <w:p>
            <w:pPr>
              <w:pStyle w:val="To"/>
              <w:jc w:val="both"/>
              <w:rPr>
                <w:rFonts w:cs="Arial"/>
              </w:rPr>
            </w:pPr>
            <w:r>
              <w:rPr>
                <w:rFonts w:cs="Arial"/>
              </w:rPr>
              <w:t>Mark Haedicke</w:t>
            </w:r>
          </w:p>
        </w:tc>
        <w:tc>
          <w:tcPr>
            <w:tcW w:w="1355" w:type="dxa"/>
            <w:tcBorders/>
          </w:tcPr>
          <w:p>
            <w:pPr>
              <w:pStyle w:val="Normal"/>
              <w:snapToGrid w:val="false"/>
              <w:ind w:start="-180" w:end="0"/>
              <w:jc w:val="both"/>
              <w:rPr>
                <w:rFonts w:cs="Arial"/>
                <w:sz w:val="20"/>
              </w:rPr>
            </w:pPr>
            <w:r>
              <w:rPr>
                <w:rFonts w:cs="Arial"/>
                <w:sz w:val="20"/>
              </w:rPr>
            </w:r>
          </w:p>
        </w:tc>
        <w:tc>
          <w:tcPr>
            <w:tcW w:w="2965" w:type="dxa"/>
            <w:tcBorders/>
          </w:tcPr>
          <w:p>
            <w:pPr>
              <w:pStyle w:val="Normal"/>
              <w:snapToGrid w:val="false"/>
              <w:jc w:val="both"/>
              <w:rPr>
                <w:rFonts w:cs="Arial"/>
                <w:sz w:val="20"/>
              </w:rPr>
            </w:pPr>
            <w:r>
              <w:rPr>
                <w:rFonts w:cs="Arial"/>
                <w:sz w:val="20"/>
              </w:rPr>
            </w:r>
          </w:p>
        </w:tc>
      </w:tr>
      <w:tr>
        <w:trPr>
          <w:trHeight w:val="216" w:hRule="exact"/>
        </w:trPr>
        <w:tc>
          <w:tcPr>
            <w:tcW w:w="898" w:type="dxa"/>
            <w:tcBorders/>
          </w:tcPr>
          <w:p>
            <w:pPr>
              <w:pStyle w:val="Normal"/>
              <w:snapToGrid w:val="false"/>
              <w:ind w:start="-180" w:end="0"/>
              <w:jc w:val="both"/>
              <w:rPr>
                <w:rFonts w:cs="Arial"/>
                <w:sz w:val="20"/>
              </w:rPr>
            </w:pPr>
            <w:r>
              <w:rPr>
                <w:rFonts w:cs="Arial"/>
                <w:sz w:val="20"/>
              </w:rPr>
            </w:r>
          </w:p>
        </w:tc>
        <w:tc>
          <w:tcPr>
            <w:tcW w:w="5490" w:type="dxa"/>
            <w:tcBorders/>
          </w:tcPr>
          <w:p>
            <w:pPr>
              <w:pStyle w:val="Normal"/>
              <w:snapToGrid w:val="false"/>
              <w:jc w:val="both"/>
              <w:rPr>
                <w:rFonts w:cs="Arial"/>
                <w:sz w:val="20"/>
              </w:rPr>
            </w:pPr>
            <w:r>
              <w:rPr>
                <w:rFonts w:cs="Arial"/>
                <w:sz w:val="20"/>
              </w:rPr>
            </w:r>
          </w:p>
        </w:tc>
        <w:tc>
          <w:tcPr>
            <w:tcW w:w="1355" w:type="dxa"/>
            <w:tcBorders/>
          </w:tcPr>
          <w:p>
            <w:pPr>
              <w:pStyle w:val="Normal"/>
              <w:snapToGrid w:val="false"/>
              <w:ind w:start="-180" w:end="0"/>
              <w:jc w:val="both"/>
              <w:rPr>
                <w:rFonts w:cs="Arial"/>
                <w:sz w:val="20"/>
              </w:rPr>
            </w:pPr>
            <w:r>
              <w:rPr>
                <w:rFonts w:cs="Arial"/>
                <w:sz w:val="20"/>
              </w:rPr>
            </w:r>
          </w:p>
        </w:tc>
        <w:tc>
          <w:tcPr>
            <w:tcW w:w="2965" w:type="dxa"/>
            <w:tcBorders/>
          </w:tcPr>
          <w:p>
            <w:pPr>
              <w:pStyle w:val="Normal"/>
              <w:snapToGrid w:val="false"/>
              <w:jc w:val="both"/>
              <w:rPr>
                <w:rFonts w:cs="Arial"/>
                <w:sz w:val="20"/>
              </w:rPr>
            </w:pPr>
            <w:r>
              <w:rPr>
                <w:rFonts w:cs="Arial"/>
                <w:sz w:val="20"/>
              </w:rPr>
            </w:r>
          </w:p>
        </w:tc>
      </w:tr>
      <w:tr>
        <w:trPr>
          <w:trHeight w:val="300" w:hRule="exact"/>
        </w:trPr>
        <w:tc>
          <w:tcPr>
            <w:tcW w:w="898" w:type="dxa"/>
            <w:tcBorders/>
          </w:tcPr>
          <w:p>
            <w:pPr>
              <w:pStyle w:val="Normal"/>
              <w:ind w:start="-180" w:end="0"/>
              <w:jc w:val="both"/>
              <w:rPr>
                <w:rFonts w:cs="Arial"/>
                <w:sz w:val="20"/>
              </w:rPr>
            </w:pPr>
            <w:r>
              <w:rPr>
                <w:rFonts w:eastAsia="Arial" w:cs="Arial"/>
                <w:sz w:val="20"/>
              </w:rPr>
              <w:t xml:space="preserve">  </w:t>
            </w:r>
            <w:r>
              <w:rPr>
                <w:rFonts w:cs="Arial"/>
                <w:sz w:val="20"/>
              </w:rPr>
              <w:t>From:</w:t>
            </w:r>
          </w:p>
        </w:tc>
        <w:tc>
          <w:tcPr>
            <w:tcW w:w="5490" w:type="dxa"/>
            <w:tcBorders/>
          </w:tcPr>
          <w:p>
            <w:pPr>
              <w:pStyle w:val="From"/>
              <w:jc w:val="both"/>
              <w:rPr>
                <w:rFonts w:cs="Arial"/>
              </w:rPr>
            </w:pPr>
            <w:r>
              <w:rPr>
                <w:rFonts w:cs="Arial"/>
              </w:rPr>
              <w:t>Jeff Hodge</w:t>
            </w:r>
          </w:p>
        </w:tc>
        <w:tc>
          <w:tcPr>
            <w:tcW w:w="1355" w:type="dxa"/>
            <w:tcBorders/>
          </w:tcPr>
          <w:p>
            <w:pPr>
              <w:pStyle w:val="Normal"/>
              <w:ind w:start="-180" w:end="0"/>
              <w:jc w:val="both"/>
              <w:rPr>
                <w:rFonts w:cs="Arial"/>
                <w:sz w:val="20"/>
              </w:rPr>
            </w:pPr>
            <w:r>
              <w:rPr>
                <w:rFonts w:eastAsia="Arial" w:cs="Arial"/>
                <w:sz w:val="20"/>
              </w:rPr>
              <w:t xml:space="preserve">  </w:t>
            </w:r>
            <w:r>
              <w:rPr>
                <w:rFonts w:cs="Arial"/>
                <w:sz w:val="20"/>
              </w:rPr>
              <w:t>Department:</w:t>
            </w:r>
          </w:p>
        </w:tc>
        <w:tc>
          <w:tcPr>
            <w:tcW w:w="2965" w:type="dxa"/>
            <w:tcBorders/>
          </w:tcPr>
          <w:p>
            <w:pPr>
              <w:pStyle w:val="Department"/>
              <w:jc w:val="both"/>
              <w:rPr>
                <w:rFonts w:cs="Arial"/>
              </w:rPr>
            </w:pPr>
            <w:bookmarkStart w:id="0" w:name="From"/>
            <w:bookmarkEnd w:id="0"/>
            <w:r>
              <w:rPr>
                <w:rFonts w:cs="Arial"/>
              </w:rPr>
              <w:t>Enron North America-Legal</w:t>
            </w:r>
          </w:p>
        </w:tc>
      </w:tr>
      <w:tr>
        <w:trPr>
          <w:trHeight w:val="216" w:hRule="exact"/>
        </w:trPr>
        <w:tc>
          <w:tcPr>
            <w:tcW w:w="898" w:type="dxa"/>
            <w:tcBorders/>
          </w:tcPr>
          <w:p>
            <w:pPr>
              <w:pStyle w:val="Normal"/>
              <w:snapToGrid w:val="false"/>
              <w:ind w:start="-180" w:end="0"/>
              <w:jc w:val="both"/>
              <w:rPr>
                <w:rFonts w:cs="Arial"/>
                <w:sz w:val="20"/>
              </w:rPr>
            </w:pPr>
            <w:r>
              <w:rPr>
                <w:rFonts w:cs="Arial"/>
                <w:sz w:val="20"/>
              </w:rPr>
            </w:r>
          </w:p>
        </w:tc>
        <w:tc>
          <w:tcPr>
            <w:tcW w:w="5490" w:type="dxa"/>
            <w:tcBorders/>
          </w:tcPr>
          <w:p>
            <w:pPr>
              <w:pStyle w:val="Subject"/>
              <w:tabs>
                <w:tab w:val="left" w:pos="540" w:leader="none"/>
              </w:tabs>
              <w:snapToGrid w:val="false"/>
              <w:jc w:val="both"/>
              <w:rPr>
                <w:rFonts w:cs="Arial"/>
                <w:sz w:val="20"/>
              </w:rPr>
            </w:pPr>
            <w:r>
              <w:rPr>
                <w:rFonts w:cs="Arial"/>
                <w:sz w:val="20"/>
              </w:rPr>
            </w:r>
          </w:p>
        </w:tc>
        <w:tc>
          <w:tcPr>
            <w:tcW w:w="1355" w:type="dxa"/>
            <w:tcBorders/>
          </w:tcPr>
          <w:p>
            <w:pPr>
              <w:pStyle w:val="Normal"/>
              <w:snapToGrid w:val="false"/>
              <w:ind w:start="-180" w:end="0"/>
              <w:jc w:val="both"/>
              <w:rPr>
                <w:rFonts w:cs="Arial"/>
                <w:sz w:val="20"/>
              </w:rPr>
            </w:pPr>
            <w:r>
              <w:rPr>
                <w:rFonts w:cs="Arial"/>
                <w:sz w:val="20"/>
              </w:rPr>
            </w:r>
          </w:p>
        </w:tc>
        <w:tc>
          <w:tcPr>
            <w:tcW w:w="2965" w:type="dxa"/>
            <w:tcBorders/>
          </w:tcPr>
          <w:p>
            <w:pPr>
              <w:pStyle w:val="Normal"/>
              <w:snapToGrid w:val="false"/>
              <w:jc w:val="both"/>
              <w:rPr>
                <w:rFonts w:cs="Arial"/>
                <w:sz w:val="20"/>
              </w:rPr>
            </w:pPr>
            <w:r>
              <w:rPr>
                <w:rFonts w:cs="Arial"/>
                <w:sz w:val="20"/>
              </w:rPr>
            </w:r>
          </w:p>
        </w:tc>
      </w:tr>
      <w:tr>
        <w:trPr>
          <w:trHeight w:val="600" w:hRule="exact"/>
        </w:trPr>
        <w:tc>
          <w:tcPr>
            <w:tcW w:w="898" w:type="dxa"/>
            <w:tcBorders>
              <w:bottom w:val="single" w:sz="12" w:space="0" w:color="000000"/>
            </w:tcBorders>
          </w:tcPr>
          <w:p>
            <w:pPr>
              <w:pStyle w:val="Normal"/>
              <w:ind w:start="-180" w:end="0"/>
              <w:jc w:val="both"/>
              <w:rPr>
                <w:rFonts w:cs="Arial"/>
                <w:sz w:val="20"/>
              </w:rPr>
            </w:pPr>
            <w:r>
              <w:rPr>
                <w:rFonts w:eastAsia="Arial" w:cs="Arial"/>
                <w:sz w:val="20"/>
              </w:rPr>
              <w:t xml:space="preserve">  </w:t>
            </w:r>
            <w:r>
              <w:rPr>
                <w:rFonts w:cs="Arial"/>
                <w:sz w:val="20"/>
              </w:rPr>
              <w:t>Subject:</w:t>
            </w:r>
          </w:p>
        </w:tc>
        <w:tc>
          <w:tcPr>
            <w:tcW w:w="5490" w:type="dxa"/>
            <w:tcBorders>
              <w:bottom w:val="single" w:sz="12" w:space="0" w:color="000000"/>
            </w:tcBorders>
          </w:tcPr>
          <w:p>
            <w:pPr>
              <w:pStyle w:val="Subject"/>
              <w:jc w:val="both"/>
              <w:rPr>
                <w:rFonts w:cs="Arial"/>
              </w:rPr>
            </w:pPr>
            <w:r>
              <w:rPr>
                <w:rFonts w:cs="Arial"/>
              </w:rPr>
              <w:t>California Price Issues</w:t>
            </w:r>
          </w:p>
        </w:tc>
        <w:tc>
          <w:tcPr>
            <w:tcW w:w="1355" w:type="dxa"/>
            <w:tcBorders>
              <w:bottom w:val="single" w:sz="12" w:space="0" w:color="000000"/>
            </w:tcBorders>
          </w:tcPr>
          <w:p>
            <w:pPr>
              <w:pStyle w:val="Normal"/>
              <w:ind w:start="-180" w:end="0"/>
              <w:jc w:val="both"/>
              <w:rPr>
                <w:rFonts w:cs="Arial"/>
                <w:sz w:val="20"/>
              </w:rPr>
            </w:pPr>
            <w:r>
              <w:rPr>
                <w:rFonts w:eastAsia="Arial" w:cs="Arial"/>
                <w:sz w:val="20"/>
              </w:rPr>
              <w:t xml:space="preserve">  </w:t>
            </w:r>
            <w:r>
              <w:rPr>
                <w:rFonts w:cs="Arial"/>
                <w:sz w:val="20"/>
              </w:rPr>
              <w:t>Date:</w:t>
            </w:r>
          </w:p>
        </w:tc>
        <w:tc>
          <w:tcPr>
            <w:tcW w:w="2965" w:type="dxa"/>
            <w:tcBorders>
              <w:bottom w:val="single" w:sz="12" w:space="0" w:color="000000"/>
            </w:tcBorders>
          </w:tcPr>
          <w:p>
            <w:pPr>
              <w:pStyle w:val="Date"/>
              <w:jc w:val="both"/>
              <w:rPr>
                <w:rFonts w:cs="Arial"/>
              </w:rPr>
            </w:pPr>
            <w:r>
              <w:rPr>
                <w:rFonts w:cs="Arial"/>
              </w:rPr>
              <w:fldChar w:fldCharType="begin"/>
            </w:r>
            <w:r>
              <w:rPr>
                <w:rFonts w:cs="Arial"/>
              </w:rPr>
              <w:instrText xml:space="preserve"> DATE \@"MMMM\ d', 'yyyy" </w:instrText>
            </w:r>
            <w:r>
              <w:rPr>
                <w:rFonts w:cs="Arial"/>
              </w:rPr>
              <w:fldChar w:fldCharType="separate"/>
            </w:r>
            <w:r>
              <w:rPr>
                <w:rFonts w:cs="Arial"/>
              </w:rPr>
              <w:t>September 28, 2025</w:t>
            </w:r>
            <w:r>
              <w:rPr>
                <w:rFonts w:cs="Arial"/>
              </w:rPr>
              <w:fldChar w:fldCharType="end"/>
            </w:r>
          </w:p>
        </w:tc>
      </w:tr>
    </w:tbl>
    <w:p>
      <w:pPr>
        <w:pStyle w:val="Body"/>
        <w:jc w:val="both"/>
        <w:rPr/>
      </w:pPr>
      <w:r>
        <w:rPr/>
      </w:r>
      <w:bookmarkStart w:id="1" w:name="StartOfMemo"/>
      <w:bookmarkStart w:id="2" w:name="StartOfMemo"/>
      <w:bookmarkEnd w:id="2"/>
    </w:p>
    <w:p>
      <w:pPr>
        <w:pStyle w:val="Body"/>
        <w:jc w:val="both"/>
        <w:rPr/>
      </w:pPr>
      <w:r>
        <w:rPr/>
        <w:tab/>
        <w:t>In follow-up to our meeting of last week and at your specific request, I have given some thought to the issues raised by the extreme price volatility in California.  Using your outline as a guide, the following will address some initial thoughts and recommendations concerning the issues.</w:t>
      </w:r>
    </w:p>
    <w:p>
      <w:pPr>
        <w:pStyle w:val="Body"/>
        <w:jc w:val="both"/>
        <w:rPr/>
      </w:pPr>
      <w:r>
        <w:rPr/>
      </w:r>
    </w:p>
    <w:p>
      <w:pPr>
        <w:pStyle w:val="Body"/>
        <w:ind w:hanging="360" w:start="1080" w:end="0"/>
        <w:jc w:val="both"/>
        <w:rPr>
          <w:u w:val="single"/>
        </w:rPr>
      </w:pPr>
      <w:r>
        <w:rPr/>
        <w:t>1.</w:t>
        <w:tab/>
      </w:r>
      <w:r>
        <w:rPr>
          <w:u w:val="single"/>
        </w:rPr>
        <w:t>Netting Exposures between Enron North America Corp. ("ENA") and Enron Power Marketing, Inc. ("EPMI")</w:t>
      </w:r>
      <w:r>
        <w:rPr/>
        <w:tab/>
      </w:r>
    </w:p>
    <w:p>
      <w:pPr>
        <w:pStyle w:val="Body"/>
        <w:ind w:start="1080" w:end="0"/>
        <w:jc w:val="both"/>
        <w:rPr>
          <w:u w:val="single"/>
        </w:rPr>
      </w:pPr>
      <w:r>
        <w:rPr>
          <w:u w:val="single"/>
        </w:rPr>
      </w:r>
    </w:p>
    <w:p>
      <w:pPr>
        <w:pStyle w:val="Body"/>
        <w:ind w:start="1080" w:end="0"/>
        <w:jc w:val="both"/>
        <w:rPr/>
      </w:pPr>
      <w:r>
        <w:rPr/>
        <w:t>At present, Credit generally views the exposure with counterparties on a net basis, without regard to individual Enron entity.  Of course, from a legal standpoint, that is flawed.  As you know Elizabeth Sager has consulted with LeBouef concerning the potential merger of ENA and EPMI.  I think that is a better way to go as opposed to assigning exposures, but it will take some planning and commercial approval.  I do not think there is a quick solution here.</w:t>
      </w:r>
    </w:p>
    <w:p>
      <w:pPr>
        <w:pStyle w:val="Body"/>
        <w:ind w:start="1080" w:end="0"/>
        <w:jc w:val="both"/>
        <w:rPr/>
      </w:pPr>
      <w:r>
        <w:rPr/>
      </w:r>
    </w:p>
    <w:p>
      <w:pPr>
        <w:pStyle w:val="Body"/>
        <w:ind w:hanging="360" w:start="1080" w:end="0"/>
        <w:jc w:val="both"/>
        <w:rPr/>
      </w:pPr>
      <w:r>
        <w:rPr/>
        <w:t>2.</w:t>
        <w:tab/>
      </w:r>
      <w:r>
        <w:rPr>
          <w:u w:val="single"/>
        </w:rPr>
        <w:t>Curtailment Issues</w:t>
      </w:r>
    </w:p>
    <w:p>
      <w:pPr>
        <w:pStyle w:val="Body"/>
        <w:ind w:start="1080" w:end="0"/>
        <w:jc w:val="both"/>
        <w:rPr>
          <w:u w:val="single"/>
        </w:rPr>
      </w:pPr>
      <w:r>
        <w:rPr>
          <w:u w:val="single"/>
        </w:rPr>
      </w:r>
    </w:p>
    <w:p>
      <w:pPr>
        <w:pStyle w:val="Body"/>
        <w:ind w:start="1080" w:end="0"/>
        <w:jc w:val="both"/>
        <w:rPr/>
      </w:pPr>
      <w:r>
        <w:rPr/>
        <w:t>Steve Kean's group has started a review of this on a jurisdiction by jurisdiction basis.  It may be appropriate for ENA to do the same.  In response to your specific inquiries:</w:t>
      </w:r>
    </w:p>
    <w:p>
      <w:pPr>
        <w:pStyle w:val="Body"/>
        <w:ind w:start="1080" w:end="0"/>
        <w:jc w:val="both"/>
        <w:rPr/>
      </w:pPr>
      <w:r>
        <w:rPr/>
      </w:r>
    </w:p>
    <w:p>
      <w:pPr>
        <w:pStyle w:val="Body"/>
        <w:ind w:hanging="360" w:start="1800" w:end="0"/>
        <w:jc w:val="both"/>
        <w:rPr/>
      </w:pPr>
      <w:r>
        <w:rPr/>
        <w:t>a)</w:t>
        <w:tab/>
        <w:t>The curtailment rules by jurisdiction will take some time to research.  I suggest starting with California and then picking states where ENA has large exposure.</w:t>
      </w:r>
    </w:p>
    <w:p>
      <w:pPr>
        <w:pStyle w:val="Body"/>
        <w:ind w:hanging="360" w:start="1800" w:end="0"/>
        <w:jc w:val="both"/>
        <w:rPr/>
      </w:pPr>
      <w:r>
        <w:rPr/>
      </w:r>
    </w:p>
    <w:p>
      <w:pPr>
        <w:pStyle w:val="Body"/>
        <w:ind w:hanging="360" w:start="1800" w:end="0"/>
        <w:jc w:val="both"/>
        <w:rPr/>
      </w:pPr>
      <w:r>
        <w:rPr/>
        <w:t>b)</w:t>
        <w:tab/>
        <w:t>As far as consistent applications of curtailment rules, I do not think a conclusion can be reached on the gas side as there have not been curtailments recently.  However, the last period of cuts (1995) was done in a haphazard manner.  Power clearly has problems with this.</w:t>
      </w:r>
    </w:p>
    <w:p>
      <w:pPr>
        <w:pStyle w:val="Body"/>
        <w:ind w:hanging="360" w:start="1800" w:end="0"/>
        <w:jc w:val="both"/>
        <w:rPr/>
      </w:pPr>
      <w:r>
        <w:rPr/>
      </w:r>
    </w:p>
    <w:p>
      <w:pPr>
        <w:pStyle w:val="Body"/>
        <w:ind w:hanging="360" w:start="1800" w:end="0"/>
        <w:jc w:val="both"/>
        <w:rPr/>
      </w:pPr>
      <w:r>
        <w:rPr/>
        <w:t>c)</w:t>
        <w:tab/>
        <w:t>I agree that ENA should prepare for major curtailments as we would an oil spill.  In fact, it may be more important from an economic standpoint.</w:t>
      </w:r>
    </w:p>
    <w:p>
      <w:pPr>
        <w:pStyle w:val="Body"/>
        <w:ind w:hanging="360" w:start="1800" w:end="0"/>
        <w:jc w:val="both"/>
        <w:rPr/>
      </w:pPr>
      <w:r>
        <w:rPr/>
      </w:r>
    </w:p>
    <w:p>
      <w:pPr>
        <w:pStyle w:val="Body"/>
        <w:ind w:hanging="360" w:start="1800" w:end="0"/>
        <w:jc w:val="both"/>
        <w:rPr/>
      </w:pPr>
      <w:r>
        <w:rPr/>
        <w:t xml:space="preserve">d) </w:t>
        <w:tab/>
        <w:t>Most of the curtailment that may take place will be on the intrastate side.  Already, California has implemented price caps on the power side and a California utility has filed an application for emergency relief on the gas side with FERC.</w:t>
      </w:r>
    </w:p>
    <w:p>
      <w:pPr>
        <w:pStyle w:val="Body"/>
        <w:ind w:hanging="360" w:start="1800" w:end="0"/>
        <w:jc w:val="both"/>
        <w:rPr/>
      </w:pPr>
      <w:r>
        <w:rPr/>
      </w:r>
    </w:p>
    <w:p>
      <w:pPr>
        <w:pStyle w:val="Body"/>
        <w:ind w:hanging="360" w:start="1800" w:end="0"/>
        <w:jc w:val="both"/>
        <w:rPr/>
      </w:pPr>
      <w:r>
        <w:rPr/>
        <w:t>e)</w:t>
        <w:tab/>
        <w:t>The legal and regulatory challenges to curtailment will revolve around the authority to curtail and the consistency in the application of the curtailment.</w:t>
      </w:r>
    </w:p>
    <w:p>
      <w:pPr>
        <w:pStyle w:val="Body"/>
        <w:ind w:hanging="360" w:start="1800" w:end="0"/>
        <w:jc w:val="both"/>
        <w:rPr/>
      </w:pPr>
      <w:r>
        <w:rPr/>
      </w:r>
    </w:p>
    <w:p>
      <w:pPr>
        <w:pStyle w:val="Body"/>
        <w:ind w:hanging="360" w:start="1080" w:end="0"/>
        <w:jc w:val="both"/>
        <w:rPr/>
      </w:pPr>
      <w:r>
        <w:rPr/>
        <w:t>3.</w:t>
        <w:tab/>
      </w:r>
      <w:r>
        <w:rPr>
          <w:u w:val="single"/>
        </w:rPr>
        <w:t>Force Majeure Issues</w:t>
      </w:r>
    </w:p>
    <w:p>
      <w:pPr>
        <w:pStyle w:val="Body"/>
        <w:ind w:hanging="360" w:start="1080" w:end="0"/>
        <w:jc w:val="both"/>
        <w:rPr>
          <w:u w:val="single"/>
        </w:rPr>
      </w:pPr>
      <w:r>
        <w:rPr>
          <w:u w:val="single"/>
        </w:rPr>
      </w:r>
    </w:p>
    <w:p>
      <w:pPr>
        <w:pStyle w:val="Body"/>
        <w:ind w:hanging="360" w:start="1800" w:end="0"/>
        <w:jc w:val="both"/>
        <w:rPr/>
      </w:pPr>
      <w:r>
        <w:rPr/>
        <w:t>a)</w:t>
        <w:tab/>
        <w:t>Generally under ENA's gas contracts, curtailment of firm transportation by a transporter would constitute a force majeure event unless a commercially reasonable substitute performance were available.  Of course, not all gas contracts have the same language.  From the power side, many contracts have transmission force majeure events.  Also, on the power side, there is far less uniformity of approach in the contracts.</w:t>
      </w:r>
    </w:p>
    <w:p>
      <w:pPr>
        <w:pStyle w:val="Body"/>
        <w:ind w:hanging="360" w:start="1800" w:end="0"/>
        <w:jc w:val="both"/>
        <w:rPr/>
      </w:pPr>
      <w:r>
        <w:rPr/>
      </w:r>
    </w:p>
    <w:p>
      <w:pPr>
        <w:pStyle w:val="Body"/>
        <w:ind w:hanging="360" w:start="1800" w:end="0"/>
        <w:jc w:val="both"/>
        <w:rPr/>
      </w:pPr>
      <w:r>
        <w:rPr/>
        <w:t>b)</w:t>
        <w:tab/>
        <w:t>Force majeure provisions are not generally very different on the buy side and the sell side for the gas business.  To the extent they are, ENA's exposure comes because it is buying on a somewhat less firm basis than it is selling.  On the EPMI side, there are substantial disconnects on the buy and sell sides.</w:t>
      </w:r>
    </w:p>
    <w:p>
      <w:pPr>
        <w:pStyle w:val="Body"/>
        <w:ind w:hanging="360" w:start="1800" w:end="0"/>
        <w:jc w:val="both"/>
        <w:rPr/>
      </w:pPr>
      <w:r>
        <w:rPr/>
      </w:r>
    </w:p>
    <w:p>
      <w:pPr>
        <w:pStyle w:val="Body"/>
        <w:ind w:hanging="360" w:start="1080" w:end="0"/>
        <w:jc w:val="both"/>
        <w:rPr/>
      </w:pPr>
      <w:r>
        <w:rPr/>
        <w:t>4.</w:t>
        <w:tab/>
      </w:r>
      <w:r>
        <w:rPr>
          <w:u w:val="single"/>
        </w:rPr>
        <w:t>Termination Issues</w:t>
      </w:r>
    </w:p>
    <w:p>
      <w:pPr>
        <w:pStyle w:val="Body"/>
        <w:ind w:hanging="360" w:start="1080" w:end="0"/>
        <w:jc w:val="both"/>
        <w:rPr/>
      </w:pPr>
      <w:r>
        <w:rPr/>
      </w:r>
    </w:p>
    <w:p>
      <w:pPr>
        <w:pStyle w:val="Body"/>
        <w:ind w:hanging="360" w:start="1800" w:end="0"/>
        <w:jc w:val="both"/>
        <w:rPr/>
      </w:pPr>
      <w:r>
        <w:rPr/>
        <w:t>a)</w:t>
        <w:tab/>
        <w:t>Many of the gas master agreements have provisions limiting force majeure events to 60 days in a 12 month period.  After that period, failure to perform is no longer excused and will lead to a termination event.  This clause is less frequently seen on the power side.</w:t>
      </w:r>
    </w:p>
    <w:p>
      <w:pPr>
        <w:pStyle w:val="Body"/>
        <w:ind w:hanging="360" w:start="1800" w:end="0"/>
        <w:jc w:val="both"/>
        <w:rPr/>
      </w:pPr>
      <w:r>
        <w:rPr/>
      </w:r>
    </w:p>
    <w:p>
      <w:pPr>
        <w:pStyle w:val="Body"/>
        <w:ind w:hanging="360" w:start="1800" w:end="0"/>
        <w:jc w:val="both"/>
        <w:rPr/>
      </w:pPr>
      <w:r>
        <w:rPr/>
        <w:t>b)</w:t>
        <w:tab/>
        <w:t>The damages that would be recoverable are normal termination event damages, i.e., compensating for the position.</w:t>
      </w:r>
    </w:p>
    <w:p>
      <w:pPr>
        <w:pStyle w:val="Body"/>
        <w:ind w:hanging="360" w:start="1800" w:end="0"/>
        <w:jc w:val="both"/>
        <w:rPr/>
      </w:pPr>
      <w:r>
        <w:rPr/>
      </w:r>
    </w:p>
    <w:p>
      <w:pPr>
        <w:pStyle w:val="Body"/>
        <w:ind w:hanging="360" w:start="1080" w:end="0"/>
        <w:jc w:val="both"/>
        <w:rPr/>
      </w:pPr>
      <w:r>
        <w:rPr/>
        <w:t>5.</w:t>
        <w:tab/>
      </w:r>
      <w:r>
        <w:rPr>
          <w:u w:val="single"/>
        </w:rPr>
        <w:t>Transportation Issues</w:t>
      </w:r>
    </w:p>
    <w:p>
      <w:pPr>
        <w:pStyle w:val="Body"/>
        <w:ind w:hanging="360" w:start="1080" w:end="0"/>
        <w:jc w:val="both"/>
        <w:rPr>
          <w:u w:val="single"/>
        </w:rPr>
      </w:pPr>
      <w:r>
        <w:rPr>
          <w:u w:val="single"/>
        </w:rPr>
      </w:r>
    </w:p>
    <w:p>
      <w:pPr>
        <w:pStyle w:val="Body"/>
        <w:ind w:hanging="450" w:start="1890" w:end="0"/>
        <w:jc w:val="both"/>
        <w:rPr/>
      </w:pPr>
      <w:r>
        <w:rPr/>
        <w:t>a)</w:t>
        <w:tab/>
        <w:t>On the gas side, there is not substantial interplay between the transportation agreements and the buy/sell agreements.  On the power side, there is far more interplay.</w:t>
      </w:r>
    </w:p>
    <w:p>
      <w:pPr>
        <w:pStyle w:val="Body"/>
        <w:ind w:hanging="450" w:start="1890" w:end="0"/>
        <w:jc w:val="both"/>
        <w:rPr/>
      </w:pPr>
      <w:r>
        <w:rPr/>
      </w:r>
    </w:p>
    <w:p>
      <w:pPr>
        <w:pStyle w:val="Body"/>
        <w:ind w:hanging="450" w:start="1890" w:end="0"/>
        <w:jc w:val="both"/>
        <w:rPr/>
      </w:pPr>
      <w:r>
        <w:rPr/>
        <w:t>b)</w:t>
        <w:tab/>
        <w:t>On the gas side, the capacity constraints will most likely be on the transportation side.  In California in particular, the intrastate system is inadequate for the demand.  On the power side, the capacity constraints come more from the supply arrangements.</w:t>
      </w:r>
    </w:p>
    <w:p>
      <w:pPr>
        <w:pStyle w:val="Body"/>
        <w:ind w:hanging="450" w:start="1890" w:end="0"/>
        <w:jc w:val="both"/>
        <w:rPr/>
      </w:pPr>
      <w:r>
        <w:rPr/>
      </w:r>
    </w:p>
    <w:p>
      <w:pPr>
        <w:pStyle w:val="Body"/>
        <w:ind w:hanging="360" w:start="1080" w:end="0"/>
        <w:jc w:val="both"/>
        <w:rPr/>
      </w:pPr>
      <w:r>
        <w:rPr/>
        <w:t>6.</w:t>
        <w:tab/>
      </w:r>
      <w:r>
        <w:rPr>
          <w:u w:val="single"/>
        </w:rPr>
        <w:t>Buyer/Seller Differences</w:t>
      </w:r>
    </w:p>
    <w:p>
      <w:pPr>
        <w:pStyle w:val="Body"/>
        <w:ind w:hanging="360" w:start="1080" w:end="0"/>
        <w:jc w:val="both"/>
        <w:rPr>
          <w:u w:val="single"/>
        </w:rPr>
      </w:pPr>
      <w:r>
        <w:rPr>
          <w:u w:val="single"/>
        </w:rPr>
      </w:r>
    </w:p>
    <w:p>
      <w:pPr>
        <w:pStyle w:val="Body"/>
        <w:ind w:start="1080" w:end="0"/>
        <w:jc w:val="both"/>
        <w:rPr/>
      </w:pPr>
      <w:r>
        <w:rPr/>
        <w:t>There are not substantial Buyer/Seller differences in the normal gas contracts.  There are large differences between contracts EPMI buys under and sells under.</w:t>
      </w:r>
    </w:p>
    <w:p>
      <w:pPr>
        <w:pStyle w:val="Body"/>
        <w:ind w:hanging="450" w:start="1890" w:end="0"/>
        <w:jc w:val="both"/>
        <w:rPr/>
      </w:pPr>
      <w:r>
        <w:rPr/>
      </w:r>
    </w:p>
    <w:p>
      <w:pPr>
        <w:pStyle w:val="Body"/>
        <w:ind w:hanging="360" w:start="1080" w:end="0"/>
        <w:jc w:val="both"/>
        <w:rPr/>
      </w:pPr>
      <w:r>
        <w:rPr/>
        <w:t>7.</w:t>
        <w:tab/>
      </w:r>
      <w:r>
        <w:rPr>
          <w:u w:val="single"/>
        </w:rPr>
        <w:t>Gas/Power Difference</w:t>
      </w:r>
    </w:p>
    <w:p>
      <w:pPr>
        <w:pStyle w:val="Body"/>
        <w:ind w:hanging="360" w:start="1080" w:end="0"/>
        <w:jc w:val="both"/>
        <w:rPr>
          <w:u w:val="single"/>
        </w:rPr>
      </w:pPr>
      <w:r>
        <w:rPr>
          <w:u w:val="single"/>
        </w:rPr>
      </w:r>
    </w:p>
    <w:p>
      <w:pPr>
        <w:pStyle w:val="Body"/>
        <w:ind w:start="1080" w:end="0"/>
        <w:jc w:val="both"/>
        <w:rPr/>
      </w:pPr>
      <w:r>
        <w:rPr/>
        <w:t>These have been outlined above.  I think the big difference relates to the relative maturity of the gas market as compared to the power market.</w:t>
      </w:r>
    </w:p>
    <w:p>
      <w:pPr>
        <w:pStyle w:val="Body"/>
        <w:ind w:hanging="450" w:start="1890" w:end="0"/>
        <w:jc w:val="both"/>
        <w:rPr/>
      </w:pPr>
      <w:r>
        <w:rPr/>
      </w:r>
    </w:p>
    <w:p>
      <w:pPr>
        <w:pStyle w:val="Body"/>
        <w:ind w:hanging="360" w:start="1080" w:end="0"/>
        <w:jc w:val="both"/>
        <w:rPr/>
      </w:pPr>
      <w:r>
        <w:rPr/>
        <w:t>8.</w:t>
        <w:tab/>
      </w:r>
      <w:r>
        <w:rPr>
          <w:u w:val="single"/>
        </w:rPr>
        <w:t>California</w:t>
      </w:r>
    </w:p>
    <w:p>
      <w:pPr>
        <w:pStyle w:val="Body"/>
        <w:ind w:hanging="360" w:start="1080" w:end="0"/>
        <w:jc w:val="both"/>
        <w:rPr>
          <w:u w:val="single"/>
        </w:rPr>
      </w:pPr>
      <w:r>
        <w:rPr>
          <w:u w:val="single"/>
        </w:rPr>
      </w:r>
    </w:p>
    <w:p>
      <w:pPr>
        <w:pStyle w:val="Body"/>
        <w:ind w:start="1080" w:end="0"/>
        <w:jc w:val="both"/>
        <w:rPr/>
      </w:pPr>
      <w:r>
        <w:rPr/>
        <w:t>ENA's gas business relating to California is substantially one of delivering to its customers on the California border.  ENA has very limited intrastate California business in gas.  As such, ENA's likely concerns relate to any FERC action on transportations and/or price caps.</w:t>
      </w:r>
    </w:p>
    <w:p>
      <w:pPr>
        <w:pStyle w:val="Body"/>
        <w:ind w:start="1080" w:end="0"/>
        <w:jc w:val="both"/>
        <w:rPr/>
      </w:pPr>
      <w:r>
        <w:rPr/>
      </w:r>
    </w:p>
    <w:p>
      <w:pPr>
        <w:pStyle w:val="Body"/>
        <w:ind w:start="1080" w:end="0"/>
        <w:jc w:val="both"/>
        <w:rPr/>
      </w:pPr>
      <w:r>
        <w:rPr/>
        <w:t>In contrast, EPMI has substantial dealings in California.  As such, it is more exposed to action by California regulators.</w:t>
      </w:r>
    </w:p>
    <w:p>
      <w:pPr>
        <w:pStyle w:val="Body"/>
        <w:ind w:start="1080" w:end="0"/>
        <w:jc w:val="both"/>
        <w:rPr/>
      </w:pPr>
      <w:r>
        <w:rPr/>
      </w:r>
    </w:p>
    <w:p>
      <w:pPr>
        <w:pStyle w:val="Body"/>
        <w:ind w:hanging="360" w:start="1080" w:end="0"/>
        <w:jc w:val="both"/>
        <w:rPr/>
      </w:pPr>
      <w:r>
        <w:rPr/>
        <w:t>9.</w:t>
        <w:tab/>
      </w:r>
      <w:r>
        <w:rPr>
          <w:u w:val="single"/>
        </w:rPr>
        <w:t>Major Risk Areas</w:t>
      </w:r>
    </w:p>
    <w:p>
      <w:pPr>
        <w:pStyle w:val="Body"/>
        <w:ind w:hanging="360" w:start="1080" w:end="0"/>
        <w:jc w:val="both"/>
        <w:rPr/>
      </w:pPr>
      <w:r>
        <w:rPr/>
      </w:r>
    </w:p>
    <w:p>
      <w:pPr>
        <w:pStyle w:val="Body"/>
        <w:ind w:hanging="360" w:start="1800" w:end="0"/>
        <w:jc w:val="both"/>
        <w:rPr/>
      </w:pPr>
      <w:r>
        <w:rPr/>
        <w:t>a)</w:t>
        <w:tab/>
        <w:t xml:space="preserve">Counterparty Performance </w:t>
      </w:r>
    </w:p>
    <w:p>
      <w:pPr>
        <w:pStyle w:val="Body"/>
        <w:ind w:hanging="360" w:start="1800" w:end="0"/>
        <w:jc w:val="both"/>
        <w:rPr/>
      </w:pPr>
      <w:r>
        <w:rPr/>
      </w:r>
    </w:p>
    <w:p>
      <w:pPr>
        <w:pStyle w:val="Body"/>
        <w:ind w:hanging="360" w:start="1800" w:end="0"/>
        <w:jc w:val="both"/>
        <w:rPr/>
      </w:pPr>
      <w:r>
        <w:rPr/>
        <w:t>b)</w:t>
        <w:tab/>
        <w:t>Credit Exposure</w:t>
      </w:r>
    </w:p>
    <w:p>
      <w:pPr>
        <w:pStyle w:val="Body"/>
        <w:ind w:hanging="360" w:start="1800" w:end="0"/>
        <w:jc w:val="both"/>
        <w:rPr/>
      </w:pPr>
      <w:r>
        <w:rPr/>
      </w:r>
    </w:p>
    <w:p>
      <w:pPr>
        <w:pStyle w:val="Body"/>
        <w:ind w:hanging="360" w:start="1800" w:end="0"/>
        <w:jc w:val="both"/>
        <w:rPr/>
      </w:pPr>
      <w:r>
        <w:rPr/>
        <w:t>c)</w:t>
        <w:tab/>
        <w:t>Regulatory Action</w:t>
      </w:r>
    </w:p>
    <w:p>
      <w:pPr>
        <w:pStyle w:val="Body"/>
        <w:ind w:hanging="360" w:start="1800" w:end="0"/>
        <w:jc w:val="both"/>
        <w:rPr/>
      </w:pPr>
      <w:r>
        <w:rPr/>
      </w:r>
    </w:p>
    <w:p>
      <w:pPr>
        <w:pStyle w:val="Body"/>
        <w:ind w:hanging="360" w:start="1080" w:end="0"/>
        <w:jc w:val="both"/>
        <w:rPr/>
      </w:pPr>
      <w:r>
        <w:rPr/>
        <w:t>10.</w:t>
        <w:tab/>
      </w:r>
      <w:r>
        <w:rPr>
          <w:u w:val="single"/>
        </w:rPr>
        <w:t>Major Exposure</w:t>
      </w:r>
    </w:p>
    <w:p>
      <w:pPr>
        <w:pStyle w:val="Body"/>
        <w:ind w:hanging="360" w:start="1080" w:end="0"/>
        <w:jc w:val="both"/>
        <w:rPr>
          <w:u w:val="single"/>
        </w:rPr>
      </w:pPr>
      <w:r>
        <w:rPr>
          <w:u w:val="single"/>
        </w:rPr>
      </w:r>
    </w:p>
    <w:p>
      <w:pPr>
        <w:pStyle w:val="Body"/>
        <w:ind w:start="1080" w:end="0"/>
        <w:jc w:val="both"/>
        <w:rPr/>
      </w:pPr>
      <w:r>
        <w:rPr/>
        <w:t>I have called Bill Bradford to get a handle on exposure.  He promises information shortly.</w:t>
      </w:r>
    </w:p>
    <w:p>
      <w:pPr>
        <w:pStyle w:val="Body"/>
        <w:ind w:start="1080" w:end="0"/>
        <w:jc w:val="both"/>
        <w:rPr/>
      </w:pPr>
      <w:r>
        <w:rPr/>
      </w:r>
    </w:p>
    <w:p>
      <w:pPr>
        <w:pStyle w:val="Body"/>
        <w:ind w:firstLine="720" w:start="0" w:end="0"/>
        <w:jc w:val="both"/>
        <w:rPr/>
      </w:pPr>
      <w:r>
        <w:rPr/>
        <w:t>I trust the foregoing meets your current needs.  Should you have any questions or comments, please contact me at your convenience.</w:t>
      </w:r>
    </w:p>
    <w:p>
      <w:pPr>
        <w:pStyle w:val="Body"/>
        <w:ind w:firstLine="720" w:start="0" w:end="0"/>
        <w:jc w:val="both"/>
        <w:rPr/>
      </w:pPr>
      <w:r>
        <w:rPr/>
      </w:r>
    </w:p>
    <w:p>
      <w:pPr>
        <w:pStyle w:val="Body"/>
        <w:ind w:start="0" w:end="0"/>
        <w:jc w:val="both"/>
        <w:rPr/>
      </w:pPr>
      <w:r>
        <w:rPr/>
      </w:r>
    </w:p>
    <w:p>
      <w:pPr>
        <w:pStyle w:val="Body"/>
        <w:ind w:start="0" w:end="0"/>
        <w:jc w:val="both"/>
        <w:rPr/>
      </w:pPr>
      <w:r>
        <w:rPr/>
        <w:t xml:space="preserve">cc:  </w:t>
        <w:tab/>
        <w:t>Dave Delainey</w:t>
      </w:r>
    </w:p>
    <w:p>
      <w:pPr>
        <w:pStyle w:val="Body"/>
        <w:ind w:start="0" w:end="0"/>
        <w:jc w:val="both"/>
        <w:rPr/>
      </w:pPr>
      <w:r>
        <w:rPr/>
        <w:tab/>
        <w:t>John Lavorato</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/mnt/main-storage/datasets/enron-docs/doc/99381_00.doc</w:t>
    </w:r>
    <w:r>
      <w:rPr>
        <w:sz w:val="12"/>
      </w:rPr>
      <w:fldChar w:fldCharType="end"/>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117157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1171575"/>
                      </a:xfrm>
                      <a:prstGeom prst="rect"/>
                      <a:solidFill>
                        <a:srgbClr val="FFFFFF">
                          <a:alpha val="0"/>
                        </a:srgbClr>
                      </a:solidFill>
                    </wps:spPr>
                    <wps:txbx>
                      <w:txbxContent>
                        <w:p>
                          <w:pPr>
                            <w:pStyle w:val="Heading1"/>
                            <w:rPr/>
                          </w:pPr>
                          <w:r>
                            <w:rPr/>
                            <w:t>Interoffice</w:t>
                          </w:r>
                        </w:p>
                        <w:p>
                          <w:pPr>
                            <w:pStyle w:val="Normal"/>
                            <w:ind w:start="3600" w:end="0"/>
                            <w:rPr>
                              <w:b/>
                              <w:sz w:val="32"/>
                            </w:rPr>
                          </w:pPr>
                          <w:r>
                            <w:rPr>
                              <w:b/>
                              <w:sz w:val="32"/>
                            </w:rPr>
                            <w:t>Memorandum</w:t>
                          </w:r>
                        </w:p>
                        <w:p>
                          <w:pPr>
                            <w:pStyle w:val="Normal"/>
                            <w:ind w:start="3600" w:end="0"/>
                            <w:rPr>
                              <w:b/>
                              <w:sz w:val="32"/>
                            </w:rPr>
                          </w:pPr>
                          <w:r>
                            <w:rPr>
                              <w:b/>
                              <w:sz w:val="32"/>
                            </w:rPr>
                            <w:t>Attorney Work Product - Confidential</w:t>
                          </w:r>
                        </w:p>
                      </w:txbxContent>
                    </wps:txbx>
                    <wps:bodyPr anchor="t" lIns="0" tIns="0" rIns="0" bIns="0">
                      <a:noAutofit/>
                    </wps:bodyPr>
                  </wps:wsp>
                </a:graphicData>
              </a:graphic>
            </wp:anchor>
          </w:drawing>
        </mc:Choice>
        <mc:Fallback>
          <w:pict>
            <v:rect fillcolor="#FFFFFF" style="position:absolute;rotation:-0;width:305.3pt;height:92.25pt;mso-wrap-distance-left:9.35pt;mso-wrap-distance-right:9.35pt;mso-wrap-distance-top:0pt;mso-wrap-distance-bottom:0pt;margin-top:0.05pt;mso-position-vertical-relative:text;margin-left:198.7pt;mso-position-horizontal-relative:page">
              <v:fill opacity="0f"/>
              <v:textbox inset="0in,0in,0in,0in">
                <w:txbxContent>
                  <w:p>
                    <w:pPr>
                      <w:pStyle w:val="Heading1"/>
                      <w:rPr/>
                    </w:pPr>
                    <w:r>
                      <w:rPr/>
                      <w:t>Interoffice</w:t>
                    </w:r>
                  </w:p>
                  <w:p>
                    <w:pPr>
                      <w:pStyle w:val="Normal"/>
                      <w:ind w:start="3600" w:end="0"/>
                      <w:rPr>
                        <w:b/>
                        <w:sz w:val="32"/>
                      </w:rPr>
                    </w:pPr>
                    <w:r>
                      <w:rPr>
                        <w:b/>
                        <w:sz w:val="32"/>
                      </w:rPr>
                      <w:t>Memorandum</w:t>
                    </w:r>
                  </w:p>
                  <w:p>
                    <w:pPr>
                      <w:pStyle w:val="Normal"/>
                      <w:ind w:start="3600" w:end="0"/>
                      <w:rPr>
                        <w:b/>
                        <w:sz w:val="32"/>
                      </w:rPr>
                    </w:pPr>
                    <w:r>
                      <w:rPr>
                        <w:b/>
                        <w:sz w:val="32"/>
                      </w:rPr>
                      <w:t>Attorney Work Product -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ind w:hanging="3330" w:start="3600" w:end="0"/>
    </w:pPr>
    <w:rPr>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 w:val="left" w:pos="720" w:leader="none"/>
      </w:tabs>
      <w:overflowPunct w:val="true"/>
      <w:autoSpaceDE w:val="true"/>
      <w:ind w:hanging="0" w:start="720" w:end="0"/>
      <w:jc w:val="both"/>
      <w:textAlignment w:val="auto"/>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2000-12-11T17:39:00Z</dcterms:created>
  <dc:creator>protmp3</dc:creator>
  <dc:description/>
  <dc:language>en-CA</dc:language>
  <cp:lastModifiedBy>jhelton</cp:lastModifiedBy>
  <cp:lastPrinted>2000-12-12T15:50:00Z</cp:lastPrinted>
  <dcterms:modified xsi:type="dcterms:W3CDTF">2000-12-12T19:20:00Z</dcterms:modified>
  <cp:revision>6</cp:revision>
  <dc:subject/>
  <dc:title>Better, Faster, Simpler Memo </dc:title>
</cp:coreProperties>
</file>