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jc w:val="both"/>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jc w:val="both"/>
        <w:rPr/>
      </w:pPr>
      <w:r>
        <w:rPr/>
      </w:r>
    </w:p>
    <w:tbl>
      <w:tblPr>
        <w:tblW w:w="10708" w:type="dxa"/>
        <w:jc w:val="start"/>
        <w:tblInd w:w="200" w:type="dxa"/>
        <w:tblLayout w:type="fixed"/>
        <w:tblCellMar>
          <w:top w:w="0" w:type="dxa"/>
          <w:start w:w="108" w:type="dxa"/>
          <w:bottom w:w="0" w:type="dxa"/>
          <w:end w:w="108" w:type="dxa"/>
        </w:tblCellMar>
      </w:tblPr>
      <w:tblGrid>
        <w:gridCol w:w="708"/>
        <w:gridCol w:w="5860"/>
        <w:gridCol w:w="1175"/>
        <w:gridCol w:w="2965"/>
      </w:tblGrid>
      <w:tr>
        <w:trPr>
          <w:trHeight w:val="300" w:hRule="exact"/>
        </w:trPr>
        <w:tc>
          <w:tcPr>
            <w:tcW w:w="708" w:type="dxa"/>
            <w:tcBorders/>
          </w:tcPr>
          <w:p>
            <w:pPr>
              <w:pStyle w:val="Normal"/>
              <w:ind w:start="-180" w:end="0"/>
              <w:jc w:val="both"/>
              <w:rPr>
                <w:sz w:val="16"/>
              </w:rPr>
            </w:pPr>
            <w:r>
              <w:rPr>
                <w:rFonts w:eastAsia="Arial"/>
                <w:sz w:val="16"/>
              </w:rPr>
              <w:t xml:space="preserve">  </w:t>
            </w:r>
            <w:r>
              <w:rPr>
                <w:sz w:val="16"/>
              </w:rPr>
              <w:t>To:</w:t>
            </w:r>
          </w:p>
        </w:tc>
        <w:tc>
          <w:tcPr>
            <w:tcW w:w="5860" w:type="dxa"/>
            <w:tcBorders/>
          </w:tcPr>
          <w:p>
            <w:pPr>
              <w:pStyle w:val="To"/>
              <w:jc w:val="both"/>
              <w:rPr/>
            </w:pPr>
            <w:r>
              <w:rPr/>
              <w:t>Mark Haedicke</w:t>
            </w:r>
          </w:p>
        </w:tc>
        <w:tc>
          <w:tcPr>
            <w:tcW w:w="1175" w:type="dxa"/>
            <w:tcBorders/>
          </w:tcPr>
          <w:p>
            <w:pPr>
              <w:pStyle w:val="Normal"/>
              <w:snapToGrid w:val="false"/>
              <w:ind w:start="-180" w:end="0"/>
              <w:jc w:val="both"/>
              <w:rPr/>
            </w:pPr>
            <w:r>
              <w:rPr/>
            </w:r>
          </w:p>
        </w:tc>
        <w:tc>
          <w:tcPr>
            <w:tcW w:w="2965" w:type="dxa"/>
            <w:tcBorders/>
          </w:tcPr>
          <w:p>
            <w:pPr>
              <w:pStyle w:val="Normal"/>
              <w:jc w:val="both"/>
              <w:rPr/>
            </w:pPr>
            <w:r>
              <w:rPr/>
              <w:t>Confidential</w:t>
            </w:r>
          </w:p>
        </w:tc>
      </w:tr>
      <w:tr>
        <w:trPr>
          <w:trHeight w:val="216" w:hRule="exact"/>
        </w:trPr>
        <w:tc>
          <w:tcPr>
            <w:tcW w:w="708" w:type="dxa"/>
            <w:tcBorders/>
          </w:tcPr>
          <w:p>
            <w:pPr>
              <w:pStyle w:val="Normal"/>
              <w:snapToGrid w:val="false"/>
              <w:ind w:start="-180" w:end="0"/>
              <w:jc w:val="both"/>
              <w:rPr>
                <w:sz w:val="18"/>
              </w:rPr>
            </w:pPr>
            <w:r>
              <w:rPr>
                <w:sz w:val="18"/>
              </w:rPr>
            </w:r>
          </w:p>
        </w:tc>
        <w:tc>
          <w:tcPr>
            <w:tcW w:w="5860" w:type="dxa"/>
            <w:tcBorders/>
          </w:tcPr>
          <w:p>
            <w:pPr>
              <w:pStyle w:val="Normal"/>
              <w:snapToGrid w:val="false"/>
              <w:jc w:val="both"/>
              <w:rPr>
                <w:sz w:val="18"/>
              </w:rPr>
            </w:pPr>
            <w:r>
              <w:rPr>
                <w:sz w:val="18"/>
              </w:rPr>
            </w:r>
          </w:p>
        </w:tc>
        <w:tc>
          <w:tcPr>
            <w:tcW w:w="1175" w:type="dxa"/>
            <w:tcBorders/>
          </w:tcPr>
          <w:p>
            <w:pPr>
              <w:pStyle w:val="Normal"/>
              <w:snapToGrid w:val="false"/>
              <w:ind w:start="-180" w:end="0"/>
              <w:jc w:val="both"/>
              <w:rPr>
                <w:sz w:val="18"/>
              </w:rPr>
            </w:pPr>
            <w:r>
              <w:rPr>
                <w:sz w:val="18"/>
              </w:rPr>
            </w:r>
          </w:p>
        </w:tc>
        <w:tc>
          <w:tcPr>
            <w:tcW w:w="2965" w:type="dxa"/>
            <w:tcBorders/>
          </w:tcPr>
          <w:p>
            <w:pPr>
              <w:pStyle w:val="Normal"/>
              <w:snapToGrid w:val="false"/>
              <w:jc w:val="both"/>
              <w:rPr>
                <w:sz w:val="18"/>
              </w:rPr>
            </w:pPr>
            <w:r>
              <w:rPr>
                <w:sz w:val="18"/>
              </w:rPr>
            </w:r>
          </w:p>
        </w:tc>
      </w:tr>
      <w:tr>
        <w:trPr>
          <w:trHeight w:val="300" w:hRule="exact"/>
        </w:trPr>
        <w:tc>
          <w:tcPr>
            <w:tcW w:w="708" w:type="dxa"/>
            <w:tcBorders/>
          </w:tcPr>
          <w:p>
            <w:pPr>
              <w:pStyle w:val="Normal"/>
              <w:ind w:start="-180" w:end="0"/>
              <w:jc w:val="both"/>
              <w:rPr>
                <w:sz w:val="16"/>
              </w:rPr>
            </w:pPr>
            <w:r>
              <w:rPr>
                <w:rFonts w:eastAsia="Arial"/>
                <w:sz w:val="16"/>
              </w:rPr>
              <w:t xml:space="preserve">  </w:t>
            </w:r>
            <w:r>
              <w:rPr>
                <w:sz w:val="16"/>
              </w:rPr>
              <w:t>From:</w:t>
            </w:r>
          </w:p>
        </w:tc>
        <w:tc>
          <w:tcPr>
            <w:tcW w:w="5860" w:type="dxa"/>
            <w:tcBorders/>
          </w:tcPr>
          <w:p>
            <w:pPr>
              <w:pStyle w:val="From"/>
              <w:rPr/>
            </w:pPr>
            <w:r>
              <w:rPr/>
              <w:t>Jeff Hodge</w:t>
            </w:r>
          </w:p>
        </w:tc>
        <w:tc>
          <w:tcPr>
            <w:tcW w:w="1175" w:type="dxa"/>
            <w:tcBorders/>
          </w:tcPr>
          <w:p>
            <w:pPr>
              <w:pStyle w:val="Normal"/>
              <w:ind w:start="-180" w:end="0"/>
              <w:jc w:val="both"/>
              <w:rPr>
                <w:sz w:val="16"/>
              </w:rPr>
            </w:pPr>
            <w:r>
              <w:rPr>
                <w:rFonts w:eastAsia="Arial"/>
                <w:sz w:val="16"/>
              </w:rPr>
              <w:t xml:space="preserve">  </w:t>
            </w:r>
            <w:r>
              <w:rPr>
                <w:sz w:val="16"/>
              </w:rPr>
              <w:t>Department:</w:t>
            </w:r>
          </w:p>
        </w:tc>
        <w:tc>
          <w:tcPr>
            <w:tcW w:w="2965" w:type="dxa"/>
            <w:tcBorders/>
          </w:tcPr>
          <w:p>
            <w:pPr>
              <w:pStyle w:val="Department"/>
              <w:jc w:val="both"/>
              <w:rPr/>
            </w:pPr>
            <w:bookmarkStart w:id="0" w:name="From"/>
            <w:bookmarkEnd w:id="0"/>
            <w:r>
              <w:rPr/>
              <w:t>Legal</w:t>
            </w:r>
          </w:p>
        </w:tc>
      </w:tr>
      <w:tr>
        <w:trPr>
          <w:trHeight w:val="216" w:hRule="exact"/>
        </w:trPr>
        <w:tc>
          <w:tcPr>
            <w:tcW w:w="708" w:type="dxa"/>
            <w:tcBorders/>
          </w:tcPr>
          <w:p>
            <w:pPr>
              <w:pStyle w:val="Normal"/>
              <w:snapToGrid w:val="false"/>
              <w:ind w:start="-180" w:end="0"/>
              <w:jc w:val="both"/>
              <w:rPr>
                <w:sz w:val="18"/>
              </w:rPr>
            </w:pPr>
            <w:r>
              <w:rPr>
                <w:sz w:val="18"/>
              </w:rPr>
            </w:r>
          </w:p>
        </w:tc>
        <w:tc>
          <w:tcPr>
            <w:tcW w:w="5860" w:type="dxa"/>
            <w:tcBorders/>
          </w:tcPr>
          <w:p>
            <w:pPr>
              <w:pStyle w:val="Normal"/>
              <w:snapToGrid w:val="false"/>
              <w:rPr>
                <w:sz w:val="18"/>
              </w:rPr>
            </w:pPr>
            <w:r>
              <w:rPr>
                <w:sz w:val="18"/>
              </w:rPr>
            </w:r>
          </w:p>
        </w:tc>
        <w:tc>
          <w:tcPr>
            <w:tcW w:w="1175" w:type="dxa"/>
            <w:tcBorders/>
          </w:tcPr>
          <w:p>
            <w:pPr>
              <w:pStyle w:val="Normal"/>
              <w:snapToGrid w:val="false"/>
              <w:ind w:start="-180" w:end="0"/>
              <w:jc w:val="both"/>
              <w:rPr>
                <w:sz w:val="18"/>
              </w:rPr>
            </w:pPr>
            <w:r>
              <w:rPr>
                <w:sz w:val="18"/>
              </w:rPr>
            </w:r>
          </w:p>
        </w:tc>
        <w:tc>
          <w:tcPr>
            <w:tcW w:w="2965" w:type="dxa"/>
            <w:tcBorders/>
          </w:tcPr>
          <w:p>
            <w:pPr>
              <w:pStyle w:val="Normal"/>
              <w:snapToGrid w:val="false"/>
              <w:jc w:val="both"/>
              <w:rPr>
                <w:sz w:val="18"/>
              </w:rPr>
            </w:pPr>
            <w:r>
              <w:rPr>
                <w:sz w:val="18"/>
              </w:rPr>
            </w:r>
          </w:p>
        </w:tc>
      </w:tr>
      <w:tr>
        <w:trPr>
          <w:trHeight w:val="600" w:hRule="exact"/>
        </w:trPr>
        <w:tc>
          <w:tcPr>
            <w:tcW w:w="708" w:type="dxa"/>
            <w:tcBorders>
              <w:bottom w:val="single" w:sz="12" w:space="0" w:color="000000"/>
            </w:tcBorders>
          </w:tcPr>
          <w:p>
            <w:pPr>
              <w:pStyle w:val="Normal"/>
              <w:ind w:start="-180" w:end="0"/>
              <w:jc w:val="both"/>
              <w:rPr>
                <w:sz w:val="16"/>
              </w:rPr>
            </w:pPr>
            <w:r>
              <w:rPr>
                <w:rFonts w:eastAsia="Arial"/>
                <w:sz w:val="16"/>
              </w:rPr>
              <w:t xml:space="preserve">  </w:t>
            </w:r>
            <w:r>
              <w:rPr>
                <w:sz w:val="16"/>
              </w:rPr>
              <w:t>Subject:</w:t>
            </w:r>
          </w:p>
        </w:tc>
        <w:tc>
          <w:tcPr>
            <w:tcW w:w="5860" w:type="dxa"/>
            <w:tcBorders>
              <w:bottom w:val="single" w:sz="12" w:space="0" w:color="000000"/>
            </w:tcBorders>
          </w:tcPr>
          <w:p>
            <w:pPr>
              <w:pStyle w:val="Subject"/>
              <w:rPr/>
            </w:pPr>
            <w:r>
              <w:rPr/>
              <w:t>UK Administrative Matters – London Trip (11/5/00 – 11/10/00)</w:t>
            </w:r>
          </w:p>
        </w:tc>
        <w:tc>
          <w:tcPr>
            <w:tcW w:w="1175" w:type="dxa"/>
            <w:tcBorders>
              <w:bottom w:val="single" w:sz="12" w:space="0" w:color="000000"/>
            </w:tcBorders>
          </w:tcPr>
          <w:p>
            <w:pPr>
              <w:pStyle w:val="Normal"/>
              <w:ind w:start="-180" w:end="0"/>
              <w:jc w:val="both"/>
              <w:rPr>
                <w:sz w:val="16"/>
              </w:rPr>
            </w:pPr>
            <w:r>
              <w:rPr>
                <w:rFonts w:eastAsia="Arial"/>
                <w:sz w:val="16"/>
              </w:rPr>
              <w:t xml:space="preserve">  </w:t>
            </w:r>
            <w:r>
              <w:rPr>
                <w:sz w:val="16"/>
              </w:rPr>
              <w:t>Date:</w:t>
            </w:r>
          </w:p>
        </w:tc>
        <w:tc>
          <w:tcPr>
            <w:tcW w:w="2965" w:type="dxa"/>
            <w:tcBorders>
              <w:bottom w:val="single" w:sz="12" w:space="0" w:color="000000"/>
            </w:tcBorders>
          </w:tcPr>
          <w:p>
            <w:pPr>
              <w:pStyle w:val="Date"/>
              <w:jc w:val="both"/>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pPr>
      <w:r>
        <w:rPr/>
      </w:r>
      <w:bookmarkStart w:id="1" w:name="StartOfMemo"/>
      <w:bookmarkStart w:id="2" w:name="StartOfMemo"/>
      <w:bookmarkEnd w:id="2"/>
    </w:p>
    <w:p>
      <w:pPr>
        <w:pStyle w:val="Body"/>
        <w:jc w:val="both"/>
        <w:rPr/>
      </w:pPr>
      <w:r>
        <w:rPr/>
        <w:tab/>
        <w:t>In line with past practices, I am drafting you this note to summarize my recent visit to London.  As you know, this was my first visit following the appointments of Michael Brown as Chief Operating Officer of Enron Europe and Mark Evans as Chief Legal Counsel.</w:t>
      </w:r>
    </w:p>
    <w:p>
      <w:pPr>
        <w:pStyle w:val="Body"/>
        <w:jc w:val="both"/>
        <w:rPr/>
      </w:pPr>
      <w:r>
        <w:rPr/>
      </w:r>
    </w:p>
    <w:p>
      <w:pPr>
        <w:pStyle w:val="Body"/>
        <w:jc w:val="both"/>
        <w:rPr/>
      </w:pPr>
      <w:r>
        <w:rPr/>
        <w:tab/>
        <w:t>Obviously, I spent substantial time with Mark Evans.  It is clear from my discussions with Mark that, while he very much wants to keep up the ties to Houston legal, he also wants to be sure there is a substantial degree of independence in the legal staff in London.  Of course, these discussions were primarily pre-reorg announcement, but my general thinking is that he does not feel that announcement changes much of anything.</w:t>
      </w:r>
    </w:p>
    <w:p>
      <w:pPr>
        <w:pStyle w:val="Body"/>
        <w:jc w:val="both"/>
        <w:rPr/>
      </w:pPr>
      <w:r>
        <w:rPr/>
      </w:r>
    </w:p>
    <w:p>
      <w:pPr>
        <w:pStyle w:val="Body"/>
        <w:jc w:val="both"/>
        <w:rPr/>
      </w:pPr>
      <w:r>
        <w:rPr/>
        <w:tab/>
        <w:t>Mark and I also discussed at length his proposed reorganization of London legal, particularly from the trading site.  I will schedule a meeting with you to discuss all of this, but you should note the proposal is evolving from where you last saw it.  You should note that a couple of the trading lawyers were very vocal to Mark in their comments about the proposed changes which may well have been a factor in the revision.</w:t>
      </w:r>
    </w:p>
    <w:p>
      <w:pPr>
        <w:pStyle w:val="Body"/>
        <w:jc w:val="both"/>
        <w:rPr/>
      </w:pPr>
      <w:r>
        <w:rPr/>
      </w:r>
    </w:p>
    <w:p>
      <w:pPr>
        <w:pStyle w:val="Body"/>
        <w:jc w:val="both"/>
        <w:rPr/>
      </w:pPr>
      <w:r>
        <w:rPr/>
        <w:tab/>
        <w:t>I did get to spend about 45 minutes with John Sherriff and more than an hour with Michael Brown.  John and I spent a lot of time talking about developments in the gas and power markets in the United States.  He seemed particularly interested in the “serial” prepay structure ( a monthly prepay), as well as our asset management deals.  I told him I would send over the templates for the lawyers.</w:t>
      </w:r>
    </w:p>
    <w:p>
      <w:pPr>
        <w:pStyle w:val="Body"/>
        <w:jc w:val="both"/>
        <w:rPr/>
      </w:pPr>
      <w:r>
        <w:rPr/>
      </w:r>
    </w:p>
    <w:p>
      <w:pPr>
        <w:pStyle w:val="Body"/>
        <w:jc w:val="both"/>
        <w:rPr/>
      </w:pPr>
      <w:r>
        <w:rPr/>
        <w:tab/>
        <w:t>The visit with Michael also went very well.  Michael remains committed to the concept of sharing between the Houston and London legal groups.  This, of course, is not any disinterested interest as Michael recognizes that London gets more out of that arrangement than it gives.  Michael reiterated the need for closer interactions among the trading lawyers over the next year.</w:t>
      </w:r>
    </w:p>
    <w:p>
      <w:pPr>
        <w:pStyle w:val="Body"/>
        <w:jc w:val="both"/>
        <w:rPr/>
      </w:pPr>
      <w:r>
        <w:rPr/>
      </w:r>
    </w:p>
    <w:p>
      <w:pPr>
        <w:pStyle w:val="Body"/>
        <w:jc w:val="both"/>
        <w:rPr/>
      </w:pPr>
      <w:r>
        <w:rPr/>
        <w:tab/>
        <w:t>As for individual trading lawyers, you should note the following:</w:t>
      </w:r>
    </w:p>
    <w:p>
      <w:pPr>
        <w:pStyle w:val="Body"/>
        <w:jc w:val="both"/>
        <w:rPr/>
      </w:pPr>
      <w:r>
        <w:rPr/>
        <w:tab/>
        <w:tab/>
      </w:r>
    </w:p>
    <w:p>
      <w:pPr>
        <w:pStyle w:val="Body"/>
        <w:numPr>
          <w:ilvl w:val="0"/>
          <w:numId w:val="2"/>
        </w:numPr>
        <w:tabs>
          <w:tab w:val="left" w:pos="1800" w:leader="none"/>
        </w:tabs>
        <w:ind w:hanging="360" w:start="1800" w:end="0"/>
        <w:jc w:val="both"/>
        <w:rPr/>
      </w:pPr>
      <w:r>
        <w:rPr>
          <w:u w:val="single"/>
        </w:rPr>
        <w:t>Justin Royd</w:t>
      </w:r>
      <w:r>
        <w:rPr/>
        <w:t xml:space="preserve"> – I had dinner with Justin one night as he was on vacation for the week.  Generally he seems satisfied.  Things are currently going well.  He was happy with Mark’s proposed reorganization, but my guess is that he will not be as happy with the revised form.</w:t>
      </w:r>
    </w:p>
    <w:p>
      <w:pPr>
        <w:pStyle w:val="Body"/>
        <w:jc w:val="both"/>
        <w:rPr/>
      </w:pPr>
      <w:r>
        <w:rPr/>
      </w:r>
    </w:p>
    <w:p>
      <w:pPr>
        <w:pStyle w:val="Body"/>
        <w:numPr>
          <w:ilvl w:val="0"/>
          <w:numId w:val="2"/>
        </w:numPr>
        <w:tabs>
          <w:tab w:val="left" w:pos="1800" w:leader="none"/>
        </w:tabs>
        <w:ind w:hanging="360" w:start="1800" w:end="0"/>
        <w:jc w:val="both"/>
        <w:rPr/>
      </w:pPr>
      <w:r>
        <w:rPr>
          <w:u w:val="single"/>
        </w:rPr>
        <w:t>Edmund Cooper</w:t>
      </w:r>
      <w:r>
        <w:rPr/>
        <w:t xml:space="preserve"> – Edmund has been off ill for quite some time.</w:t>
      </w:r>
    </w:p>
    <w:p>
      <w:pPr>
        <w:pStyle w:val="Body"/>
        <w:ind w:start="0" w:end="0"/>
        <w:jc w:val="both"/>
        <w:rPr/>
      </w:pPr>
      <w:r>
        <w:rPr/>
      </w:r>
    </w:p>
    <w:p>
      <w:pPr>
        <w:pStyle w:val="Body"/>
        <w:numPr>
          <w:ilvl w:val="0"/>
          <w:numId w:val="2"/>
        </w:numPr>
        <w:tabs>
          <w:tab w:val="left" w:pos="1800" w:leader="none"/>
          <w:tab w:val="left" w:pos="2250" w:leader="none"/>
        </w:tabs>
        <w:ind w:hanging="360" w:start="1800" w:end="0"/>
        <w:jc w:val="both"/>
        <w:rPr/>
      </w:pPr>
      <w:r>
        <w:rPr>
          <w:u w:val="single"/>
        </w:rPr>
        <w:t>Mark Elliott</w:t>
      </w:r>
      <w:r>
        <w:rPr/>
        <w:t xml:space="preserve"> – Almost all of Mark’s attention remains on the Dutch power market.  He is also doing a transaction wherein Enron Europe would deliver power to the UN in Serbia.  This involves getting an OFAC license.</w:t>
      </w:r>
    </w:p>
    <w:p>
      <w:pPr>
        <w:pStyle w:val="Body"/>
        <w:ind w:start="0" w:end="0"/>
        <w:jc w:val="both"/>
        <w:rPr/>
      </w:pPr>
      <w:r>
        <w:rPr/>
      </w:r>
    </w:p>
    <w:p>
      <w:pPr>
        <w:pStyle w:val="Body"/>
        <w:numPr>
          <w:ilvl w:val="0"/>
          <w:numId w:val="2"/>
        </w:numPr>
        <w:tabs>
          <w:tab w:val="left" w:pos="1800" w:leader="none"/>
        </w:tabs>
        <w:ind w:hanging="360" w:start="1800" w:end="0"/>
        <w:jc w:val="both"/>
        <w:rPr/>
      </w:pPr>
      <w:r>
        <w:rPr>
          <w:u w:val="single"/>
        </w:rPr>
        <w:t>Robert Quick</w:t>
      </w:r>
      <w:r>
        <w:rPr/>
        <w:t xml:space="preserve"> – Robert continues to focus on Global Markets, particularly coal.  He was in and out of the office while I was there as a result of the birth of a daughter.</w:t>
      </w:r>
    </w:p>
    <w:p>
      <w:pPr>
        <w:pStyle w:val="Body"/>
        <w:ind w:start="0" w:end="0"/>
        <w:jc w:val="both"/>
        <w:rPr/>
      </w:pPr>
      <w:r>
        <w:rPr/>
      </w:r>
    </w:p>
    <w:p>
      <w:pPr>
        <w:pStyle w:val="Body"/>
        <w:numPr>
          <w:ilvl w:val="0"/>
          <w:numId w:val="2"/>
        </w:numPr>
        <w:tabs>
          <w:tab w:val="left" w:pos="1800" w:leader="none"/>
        </w:tabs>
        <w:ind w:hanging="360" w:start="1800" w:end="0"/>
        <w:jc w:val="both"/>
        <w:rPr/>
      </w:pPr>
      <w:r>
        <w:rPr>
          <w:u w:val="single"/>
        </w:rPr>
        <w:t>Martin Rosell</w:t>
      </w:r>
      <w:r>
        <w:rPr/>
        <w:t xml:space="preserve"> – In a fortuitous turn, Martin was in London in the early part of the week.  The Scandinavian power market continues to develop on forward basis.  Martin has been involved in working on a process to collect new forms.</w:t>
      </w:r>
    </w:p>
    <w:p>
      <w:pPr>
        <w:pStyle w:val="Body"/>
        <w:tabs>
          <w:tab w:val="left" w:pos="1800" w:leader="none"/>
        </w:tabs>
        <w:ind w:start="1800" w:end="0"/>
        <w:jc w:val="both"/>
        <w:rPr/>
      </w:pPr>
      <w:r>
        <w:rPr/>
      </w:r>
    </w:p>
    <w:p>
      <w:pPr>
        <w:pStyle w:val="Body"/>
        <w:numPr>
          <w:ilvl w:val="0"/>
          <w:numId w:val="2"/>
        </w:numPr>
        <w:tabs>
          <w:tab w:val="left" w:pos="1800" w:leader="none"/>
        </w:tabs>
        <w:ind w:hanging="360" w:start="1800" w:end="0"/>
        <w:jc w:val="both"/>
        <w:rPr/>
      </w:pPr>
      <w:r>
        <w:rPr>
          <w:u w:val="single"/>
        </w:rPr>
        <w:t>Paul Simons</w:t>
      </w:r>
      <w:r>
        <w:rPr/>
        <w:t xml:space="preserve"> – As you know, the SFA arrived late in the week for an audit.  As such, Paul and Jonathan Marsh were quite involved in that process.</w:t>
      </w:r>
    </w:p>
    <w:p>
      <w:pPr>
        <w:pStyle w:val="Body"/>
        <w:tabs>
          <w:tab w:val="left" w:pos="1800" w:leader="none"/>
        </w:tabs>
        <w:ind w:start="1800" w:end="0"/>
        <w:jc w:val="both"/>
        <w:rPr/>
      </w:pPr>
      <w:r>
        <w:rPr/>
      </w:r>
    </w:p>
    <w:p>
      <w:pPr>
        <w:pStyle w:val="Body"/>
        <w:numPr>
          <w:ilvl w:val="0"/>
          <w:numId w:val="2"/>
        </w:numPr>
        <w:tabs>
          <w:tab w:val="left" w:pos="1800" w:leader="none"/>
        </w:tabs>
        <w:ind w:hanging="360" w:start="1800" w:end="0"/>
        <w:jc w:val="both"/>
        <w:rPr/>
      </w:pPr>
      <w:r>
        <w:rPr>
          <w:u w:val="single"/>
        </w:rPr>
        <w:t>Rahul Saxena</w:t>
      </w:r>
      <w:r>
        <w:rPr/>
        <w:t xml:space="preserve"> – Rahul will ultimately do some trading work but he currently is working on organization.  In part, he was very involved in the Rhodex deal which ran into difficulty the week I was in London.</w:t>
      </w:r>
    </w:p>
    <w:p>
      <w:pPr>
        <w:pStyle w:val="Body"/>
        <w:ind w:start="0" w:end="0"/>
        <w:jc w:val="both"/>
        <w:rPr/>
      </w:pPr>
      <w:r>
        <w:rPr/>
      </w:r>
    </w:p>
    <w:p>
      <w:pPr>
        <w:pStyle w:val="Body"/>
        <w:ind w:start="720" w:end="0"/>
        <w:jc w:val="both"/>
        <w:rPr/>
      </w:pPr>
      <w:r>
        <w:rPr/>
        <w:t>Before concluding, I did want to call your attention to one issue.  On Mark’s proposed reorganization chart,</w:t>
      </w:r>
    </w:p>
    <w:p>
      <w:pPr>
        <w:pStyle w:val="Body"/>
        <w:ind w:start="-90" w:end="0"/>
        <w:jc w:val="both"/>
        <w:rPr/>
      </w:pPr>
      <w:r>
        <w:rPr/>
        <w:t>there were several new lawyers listed that will be joining.  I do not know how much you know about these hires, but I do not really know anything about them.  That concerns me, especially as it relates to trading.</w:t>
      </w:r>
    </w:p>
    <w:p>
      <w:pPr>
        <w:pStyle w:val="Body"/>
        <w:ind w:start="-90" w:end="0"/>
        <w:jc w:val="both"/>
        <w:rPr/>
      </w:pPr>
      <w:r>
        <w:rPr/>
      </w:r>
    </w:p>
    <w:p>
      <w:pPr>
        <w:pStyle w:val="Body"/>
        <w:ind w:start="-90" w:end="0"/>
        <w:jc w:val="both"/>
        <w:rPr/>
      </w:pPr>
      <w:r>
        <w:rPr/>
        <w:tab/>
        <w:tab/>
        <w:t>I will be arranging a meeting with you to discuss the trip and issues coming out of it.  Should you have any questions or comments, please contact me at your convenience.</w:t>
      </w:r>
    </w:p>
    <w:p>
      <w:pPr>
        <w:pStyle w:val="Body"/>
        <w:ind w:start="72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000-469-E(7/92)</w:t>
    </w:r>
  </w:p>
  <w:p>
    <w:pPr>
      <w:pStyle w:val="Footer"/>
      <w:tabs>
        <w:tab w:val="clear" w:pos="4320"/>
        <w:tab w:val="left" w:pos="3780" w:leader="none"/>
        <w:tab w:val="center" w:pos="7560" w:leader="none"/>
        <w:tab w:val="right" w:pos="8640" w:leader="none"/>
      </w:tabs>
      <w:rPr/>
    </w:pPr>
    <w:r>
      <w:rPr>
        <w:sz w:val="12"/>
      </w:rPr>
      <w:fldChar w:fldCharType="begin"/>
    </w:r>
    <w:r>
      <w:rPr>
        <w:sz w:val="12"/>
      </w:rPr>
      <w:instrText xml:space="preserve"> FILENAME \p </w:instrText>
    </w:r>
    <w:r>
      <w:rPr>
        <w:sz w:val="12"/>
      </w:rPr>
      <w:fldChar w:fldCharType="separate"/>
    </w:r>
    <w:r>
      <w:rPr>
        <w:sz w:val="12"/>
      </w:rPr>
      <w:t>/mnt/main-storage/datasets/enron-docs/doc/99341_00-69b68d1687410d15e32c6bc3f7fd5ea0027abc3a9d1290cc51ef080a70b4203c.doc</w:t>
    </w:r>
    <w:r>
      <w:rPr>
        <w:sz w:val="12"/>
      </w:rPr>
      <w:fldChar w:fldCharType="end"/>
    </w:r>
    <w:r>
      <w:rPr>
        <w:rFonts w:eastAsia="Arial"/>
        <w:sz w:val="1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fldChar w:fldCharType="begin"/>
    </w:r>
    <w:r>
      <w:rPr>
        <w:sz w:val="8"/>
      </w:rPr>
      <w:instrText xml:space="preserve"> FILENAME \p </w:instrText>
    </w:r>
    <w:r>
      <w:rPr>
        <w:sz w:val="8"/>
      </w:rPr>
      <w:fldChar w:fldCharType="separate"/>
    </w:r>
    <w:r>
      <w:rPr>
        <w:sz w:val="8"/>
      </w:rPr>
      <w:t>/mnt/main-storage/datasets/enron-docs/doc/99341_00-69b68d1687410d15e32c6bc3f7fd5ea0027abc3a9d1290cc51ef080a70b4203c.doc</w:t>
    </w:r>
    <w:r>
      <w:rPr>
        <w:sz w:val="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2000-11-14T13:09:00Z</dcterms:created>
  <dc:creator>jhelton</dc:creator>
  <dc:description/>
  <dc:language>en-CA</dc:language>
  <cp:lastModifiedBy>protmp3</cp:lastModifiedBy>
  <cp:lastPrinted>2000-11-14T09:39:00Z</cp:lastPrinted>
  <dcterms:modified xsi:type="dcterms:W3CDTF">2000-11-14T13:16:00Z</dcterms:modified>
  <cp:revision>3</cp:revision>
  <dc:subject/>
  <dc:title>Better, Faster, Simpler Memo </dc:title>
</cp:coreProperties>
</file>