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sz w:val="20"/>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w:rPr>
          <w:sz w:val="20"/>
        </w:rPr>
        <w:tab/>
        <w:tab/>
        <w:tab/>
        <w:tab/>
      </w:r>
    </w:p>
    <w:p>
      <w:pPr>
        <w:pStyle w:val="Heading"/>
        <w:jc w:val="both"/>
        <w:rPr>
          <w:sz w:val="20"/>
        </w:rPr>
      </w:pPr>
      <w:r>
        <w:rPr>
          <w:sz w:val="20"/>
        </w:rPr>
      </w:r>
    </w:p>
    <w:p>
      <w:pPr>
        <w:pStyle w:val="Heading"/>
        <w:jc w:val="both"/>
        <w:rPr>
          <w:sz w:val="20"/>
        </w:rPr>
      </w:pPr>
      <w:r>
        <w:rPr>
          <w:sz w:val="20"/>
        </w:rPr>
      </w:r>
    </w:p>
    <w:tbl>
      <w:tblPr>
        <w:tblW w:w="11425" w:type="dxa"/>
        <w:jc w:val="start"/>
        <w:tblInd w:w="108" w:type="dxa"/>
        <w:tblLayout w:type="fixed"/>
        <w:tblCellMar>
          <w:top w:w="0" w:type="dxa"/>
          <w:start w:w="108" w:type="dxa"/>
          <w:bottom w:w="0" w:type="dxa"/>
          <w:end w:w="108" w:type="dxa"/>
        </w:tblCellMar>
      </w:tblPr>
      <w:tblGrid>
        <w:gridCol w:w="1170"/>
        <w:gridCol w:w="5850"/>
        <w:gridCol w:w="1440"/>
        <w:gridCol w:w="2965"/>
      </w:tblGrid>
      <w:tr>
        <w:trPr>
          <w:trHeight w:val="200" w:hRule="atLeast"/>
        </w:trPr>
        <w:tc>
          <w:tcPr>
            <w:tcW w:w="1170" w:type="dxa"/>
            <w:tcBorders/>
          </w:tcPr>
          <w:p>
            <w:pPr>
              <w:pStyle w:val="Normal"/>
              <w:ind w:start="-180" w:end="0"/>
              <w:jc w:val="both"/>
              <w:rPr>
                <w:sz w:val="20"/>
              </w:rPr>
            </w:pPr>
            <w:r>
              <w:rPr>
                <w:rFonts w:eastAsia="Arial"/>
                <w:sz w:val="20"/>
              </w:rPr>
              <w:t xml:space="preserve">  </w:t>
            </w:r>
            <w:r>
              <w:rPr>
                <w:sz w:val="20"/>
              </w:rPr>
              <w:t>To:</w:t>
            </w:r>
          </w:p>
        </w:tc>
        <w:tc>
          <w:tcPr>
            <w:tcW w:w="5850" w:type="dxa"/>
            <w:tcBorders/>
          </w:tcPr>
          <w:p>
            <w:pPr>
              <w:pStyle w:val="To"/>
              <w:jc w:val="both"/>
              <w:rPr/>
            </w:pPr>
            <w:r>
              <w:rPr/>
              <w:t>Mark Powell</w:t>
            </w:r>
          </w:p>
        </w:tc>
        <w:tc>
          <w:tcPr>
            <w:tcW w:w="1440" w:type="dxa"/>
            <w:tcBorders/>
          </w:tcPr>
          <w:p>
            <w:pPr>
              <w:pStyle w:val="Normal"/>
              <w:snapToGrid w:val="false"/>
              <w:ind w:start="-180" w:end="0"/>
              <w:jc w:val="both"/>
              <w:rPr>
                <w:sz w:val="20"/>
              </w:rPr>
            </w:pPr>
            <w:r>
              <w:rPr>
                <w:sz w:val="20"/>
              </w:rPr>
            </w:r>
          </w:p>
        </w:tc>
        <w:tc>
          <w:tcPr>
            <w:tcW w:w="2965" w:type="dxa"/>
            <w:tcBorders/>
          </w:tcPr>
          <w:p>
            <w:pPr>
              <w:pStyle w:val="Normal"/>
              <w:snapToGrid w:val="false"/>
              <w:jc w:val="both"/>
              <w:rPr>
                <w:sz w:val="20"/>
              </w:rPr>
            </w:pPr>
            <w:r>
              <w:rPr>
                <w:sz w:val="20"/>
              </w:rPr>
            </w:r>
          </w:p>
        </w:tc>
      </w:tr>
      <w:tr>
        <w:trPr>
          <w:trHeight w:val="200" w:hRule="atLeast"/>
        </w:trPr>
        <w:tc>
          <w:tcPr>
            <w:tcW w:w="1170" w:type="dxa"/>
            <w:tcBorders/>
          </w:tcPr>
          <w:p>
            <w:pPr>
              <w:pStyle w:val="Normal"/>
              <w:snapToGrid w:val="false"/>
              <w:ind w:start="-180" w:end="0"/>
              <w:jc w:val="both"/>
              <w:rPr>
                <w:sz w:val="20"/>
              </w:rPr>
            </w:pPr>
            <w:r>
              <w:rPr>
                <w:sz w:val="20"/>
              </w:rPr>
            </w:r>
          </w:p>
        </w:tc>
        <w:tc>
          <w:tcPr>
            <w:tcW w:w="5850" w:type="dxa"/>
            <w:tcBorders/>
          </w:tcPr>
          <w:p>
            <w:pPr>
              <w:pStyle w:val="Normal"/>
              <w:snapToGrid w:val="false"/>
              <w:jc w:val="both"/>
              <w:rPr>
                <w:sz w:val="20"/>
              </w:rPr>
            </w:pPr>
            <w:r>
              <w:rPr>
                <w:sz w:val="20"/>
              </w:rPr>
            </w:r>
          </w:p>
        </w:tc>
        <w:tc>
          <w:tcPr>
            <w:tcW w:w="1440" w:type="dxa"/>
            <w:tcBorders/>
          </w:tcPr>
          <w:p>
            <w:pPr>
              <w:pStyle w:val="Normal"/>
              <w:snapToGrid w:val="false"/>
              <w:ind w:start="-180" w:end="0"/>
              <w:jc w:val="both"/>
              <w:rPr>
                <w:sz w:val="20"/>
              </w:rPr>
            </w:pPr>
            <w:r>
              <w:rPr>
                <w:sz w:val="20"/>
              </w:rPr>
            </w:r>
          </w:p>
        </w:tc>
        <w:tc>
          <w:tcPr>
            <w:tcW w:w="2965" w:type="dxa"/>
            <w:tcBorders/>
          </w:tcPr>
          <w:p>
            <w:pPr>
              <w:pStyle w:val="Normal"/>
              <w:snapToGrid w:val="false"/>
              <w:jc w:val="both"/>
              <w:rPr>
                <w:sz w:val="20"/>
              </w:rPr>
            </w:pPr>
            <w:r>
              <w:rPr>
                <w:sz w:val="20"/>
              </w:rPr>
            </w:r>
          </w:p>
        </w:tc>
      </w:tr>
      <w:tr>
        <w:trPr>
          <w:trHeight w:val="200" w:hRule="atLeast"/>
        </w:trPr>
        <w:tc>
          <w:tcPr>
            <w:tcW w:w="1170" w:type="dxa"/>
            <w:tcBorders/>
          </w:tcPr>
          <w:p>
            <w:pPr>
              <w:pStyle w:val="Normal"/>
              <w:ind w:start="-180" w:end="0"/>
              <w:jc w:val="both"/>
              <w:rPr>
                <w:sz w:val="20"/>
              </w:rPr>
            </w:pPr>
            <w:r>
              <w:rPr>
                <w:rFonts w:eastAsia="Arial"/>
                <w:sz w:val="20"/>
              </w:rPr>
              <w:t xml:space="preserve">  </w:t>
            </w:r>
            <w:r>
              <w:rPr>
                <w:sz w:val="20"/>
              </w:rPr>
              <w:t>From:</w:t>
            </w:r>
          </w:p>
        </w:tc>
        <w:tc>
          <w:tcPr>
            <w:tcW w:w="5850" w:type="dxa"/>
            <w:tcBorders/>
          </w:tcPr>
          <w:p>
            <w:pPr>
              <w:pStyle w:val="From"/>
              <w:jc w:val="both"/>
              <w:rPr/>
            </w:pPr>
            <w:r>
              <w:rPr/>
              <w:t>Jeff Hodge</w:t>
            </w:r>
          </w:p>
        </w:tc>
        <w:tc>
          <w:tcPr>
            <w:tcW w:w="1440" w:type="dxa"/>
            <w:tcBorders/>
          </w:tcPr>
          <w:p>
            <w:pPr>
              <w:pStyle w:val="Normal"/>
              <w:ind w:start="-180" w:end="0"/>
              <w:jc w:val="both"/>
              <w:rPr>
                <w:sz w:val="20"/>
              </w:rPr>
            </w:pPr>
            <w:r>
              <w:rPr>
                <w:rFonts w:eastAsia="Arial"/>
                <w:sz w:val="20"/>
              </w:rPr>
              <w:t xml:space="preserve">   </w:t>
            </w:r>
            <w:r>
              <w:rPr>
                <w:sz w:val="20"/>
              </w:rPr>
              <w:t>Department:</w:t>
            </w:r>
          </w:p>
        </w:tc>
        <w:tc>
          <w:tcPr>
            <w:tcW w:w="2965" w:type="dxa"/>
            <w:tcBorders/>
          </w:tcPr>
          <w:p>
            <w:pPr>
              <w:pStyle w:val="Department"/>
              <w:jc w:val="both"/>
              <w:rPr/>
            </w:pPr>
            <w:bookmarkStart w:id="0" w:name="From"/>
            <w:bookmarkEnd w:id="0"/>
            <w:r>
              <w:rPr/>
              <w:t>ENA - Legal</w:t>
            </w:r>
          </w:p>
        </w:tc>
      </w:tr>
      <w:tr>
        <w:trPr>
          <w:trHeight w:val="200" w:hRule="atLeast"/>
        </w:trPr>
        <w:tc>
          <w:tcPr>
            <w:tcW w:w="1170" w:type="dxa"/>
            <w:tcBorders/>
          </w:tcPr>
          <w:p>
            <w:pPr>
              <w:pStyle w:val="Normal"/>
              <w:snapToGrid w:val="false"/>
              <w:ind w:start="-180" w:end="0"/>
              <w:jc w:val="both"/>
              <w:rPr>
                <w:sz w:val="20"/>
              </w:rPr>
            </w:pPr>
            <w:r>
              <w:rPr>
                <w:sz w:val="20"/>
              </w:rPr>
            </w:r>
          </w:p>
        </w:tc>
        <w:tc>
          <w:tcPr>
            <w:tcW w:w="5850" w:type="dxa"/>
            <w:tcBorders/>
          </w:tcPr>
          <w:p>
            <w:pPr>
              <w:pStyle w:val="Normal"/>
              <w:snapToGrid w:val="false"/>
              <w:jc w:val="both"/>
              <w:rPr>
                <w:sz w:val="20"/>
              </w:rPr>
            </w:pPr>
            <w:r>
              <w:rPr>
                <w:sz w:val="20"/>
              </w:rPr>
            </w:r>
          </w:p>
        </w:tc>
        <w:tc>
          <w:tcPr>
            <w:tcW w:w="1440" w:type="dxa"/>
            <w:tcBorders/>
          </w:tcPr>
          <w:p>
            <w:pPr>
              <w:pStyle w:val="Normal"/>
              <w:snapToGrid w:val="false"/>
              <w:ind w:start="-180" w:end="0"/>
              <w:jc w:val="both"/>
              <w:rPr>
                <w:sz w:val="20"/>
              </w:rPr>
            </w:pPr>
            <w:r>
              <w:rPr>
                <w:sz w:val="20"/>
              </w:rPr>
            </w:r>
          </w:p>
        </w:tc>
        <w:tc>
          <w:tcPr>
            <w:tcW w:w="2965" w:type="dxa"/>
            <w:tcBorders/>
          </w:tcPr>
          <w:p>
            <w:pPr>
              <w:pStyle w:val="Normal"/>
              <w:snapToGrid w:val="false"/>
              <w:jc w:val="both"/>
              <w:rPr>
                <w:sz w:val="20"/>
              </w:rPr>
            </w:pPr>
            <w:r>
              <w:rPr>
                <w:sz w:val="20"/>
              </w:rPr>
            </w:r>
          </w:p>
        </w:tc>
      </w:tr>
      <w:tr>
        <w:trPr>
          <w:trHeight w:val="200" w:hRule="atLeast"/>
        </w:trPr>
        <w:tc>
          <w:tcPr>
            <w:tcW w:w="1170" w:type="dxa"/>
            <w:tcBorders>
              <w:bottom w:val="single" w:sz="12" w:space="0" w:color="000000"/>
            </w:tcBorders>
          </w:tcPr>
          <w:p>
            <w:pPr>
              <w:pStyle w:val="Normal"/>
              <w:ind w:start="-180" w:end="0"/>
              <w:jc w:val="both"/>
              <w:rPr>
                <w:sz w:val="20"/>
              </w:rPr>
            </w:pPr>
            <w:r>
              <w:rPr>
                <w:rFonts w:eastAsia="Arial"/>
                <w:sz w:val="20"/>
              </w:rPr>
              <w:t xml:space="preserve">  </w:t>
            </w:r>
            <w:r>
              <w:rPr>
                <w:sz w:val="20"/>
              </w:rPr>
              <w:t>Subject:</w:t>
            </w:r>
          </w:p>
        </w:tc>
        <w:tc>
          <w:tcPr>
            <w:tcW w:w="5850" w:type="dxa"/>
            <w:tcBorders>
              <w:bottom w:val="single" w:sz="12" w:space="0" w:color="000000"/>
            </w:tcBorders>
          </w:tcPr>
          <w:p>
            <w:pPr>
              <w:pStyle w:val="Subject"/>
              <w:ind w:end="347"/>
              <w:rPr/>
            </w:pPr>
            <w:r>
              <w:rPr/>
              <w:t>Canadian Master Agreement</w:t>
            </w:r>
          </w:p>
          <w:p>
            <w:pPr>
              <w:pStyle w:val="Subject"/>
              <w:ind w:end="347"/>
              <w:rPr/>
            </w:pPr>
            <w:r>
              <w:rPr/>
            </w:r>
          </w:p>
        </w:tc>
        <w:tc>
          <w:tcPr>
            <w:tcW w:w="1440" w:type="dxa"/>
            <w:tcBorders>
              <w:bottom w:val="single" w:sz="12" w:space="0" w:color="000000"/>
            </w:tcBorders>
          </w:tcPr>
          <w:p>
            <w:pPr>
              <w:pStyle w:val="Normal"/>
              <w:ind w:start="-180" w:end="0"/>
              <w:jc w:val="both"/>
              <w:rPr>
                <w:sz w:val="20"/>
              </w:rPr>
            </w:pPr>
            <w:r>
              <w:rPr>
                <w:rFonts w:eastAsia="Arial"/>
                <w:sz w:val="20"/>
              </w:rPr>
              <w:t xml:space="preserve">   </w:t>
            </w:r>
            <w:r>
              <w:rPr>
                <w:sz w:val="20"/>
              </w:rPr>
              <w:t>Date:</w:t>
            </w:r>
          </w:p>
        </w:tc>
        <w:tc>
          <w:tcPr>
            <w:tcW w:w="2965" w:type="dxa"/>
            <w:tcBorders>
              <w:bottom w:val="single" w:sz="12" w:space="0" w:color="000000"/>
            </w:tcBorders>
          </w:tcPr>
          <w:p>
            <w:pPr>
              <w:pStyle w:val="Date"/>
              <w:jc w:val="both"/>
              <w:rPr/>
            </w:pPr>
            <w:r>
              <w:rPr/>
              <w:t>October 3, 2000</w:t>
            </w:r>
          </w:p>
        </w:tc>
      </w:tr>
    </w:tbl>
    <w:p>
      <w:pPr>
        <w:pStyle w:val="Body"/>
        <w:ind w:start="0" w:end="0"/>
        <w:jc w:val="both"/>
        <w:rPr/>
      </w:pPr>
      <w:r>
        <w:rPr/>
      </w:r>
      <w:bookmarkStart w:id="1" w:name="StartOfMemo"/>
      <w:bookmarkStart w:id="2" w:name="StartOfMemo"/>
      <w:bookmarkEnd w:id="2"/>
    </w:p>
    <w:p>
      <w:pPr>
        <w:pStyle w:val="Body"/>
        <w:ind w:start="0" w:end="0"/>
        <w:jc w:val="both"/>
        <w:rPr/>
      </w:pPr>
      <w:r>
        <w:rPr/>
        <w:tab/>
        <w:t>I am in receipt of the proposed changes to the Enron Canada Corp. ("</w:t>
      </w:r>
      <w:r>
        <w:rPr>
          <w:u w:val="single"/>
        </w:rPr>
        <w:t>Enron Canada</w:t>
      </w:r>
      <w:r>
        <w:rPr/>
        <w:t>") Master Firm Gas Purchase/Sale Agreement that you have proposed in light of the Blue Range decision.  Before commenting on the specific changes, I did want to express my agreement with Peter.  Your analysis, conclusions and amendments are well done.</w:t>
      </w:r>
    </w:p>
    <w:p>
      <w:pPr>
        <w:pStyle w:val="Body"/>
        <w:ind w:start="0" w:end="0"/>
        <w:jc w:val="both"/>
        <w:rPr/>
      </w:pPr>
      <w:r>
        <w:rPr/>
      </w:r>
    </w:p>
    <w:p>
      <w:pPr>
        <w:pStyle w:val="Body"/>
        <w:ind w:start="0" w:end="0"/>
        <w:jc w:val="both"/>
        <w:rPr/>
      </w:pPr>
      <w:r>
        <w:rPr/>
        <w:tab/>
        <w:t>As to the specifics, please note the following:</w:t>
      </w:r>
    </w:p>
    <w:p>
      <w:pPr>
        <w:pStyle w:val="Body"/>
        <w:ind w:start="0" w:end="0"/>
        <w:jc w:val="both"/>
        <w:rPr/>
      </w:pPr>
      <w:r>
        <w:rPr/>
        <w:tab/>
      </w:r>
    </w:p>
    <w:p>
      <w:pPr>
        <w:pStyle w:val="Body"/>
        <w:ind w:hanging="360" w:start="1080" w:end="0"/>
        <w:jc w:val="both"/>
        <w:rPr/>
      </w:pPr>
      <w:r>
        <w:rPr/>
        <w:t>1.</w:t>
        <w:tab/>
        <w:t>The shift from automatic termination on bankruptcy seems to make sense in light of the decision.  Of course we will need to carefully monitor the evolving legal environment in the event of other changes.</w:t>
      </w:r>
    </w:p>
    <w:p>
      <w:pPr>
        <w:pStyle w:val="Body"/>
        <w:ind w:hanging="360" w:start="1080" w:end="0"/>
        <w:jc w:val="both"/>
        <w:rPr/>
      </w:pPr>
      <w:r>
        <w:rPr/>
      </w:r>
    </w:p>
    <w:p>
      <w:pPr>
        <w:pStyle w:val="Body"/>
        <w:ind w:hanging="360" w:start="1080" w:end="0"/>
        <w:jc w:val="both"/>
        <w:rPr/>
      </w:pPr>
      <w:r>
        <w:rPr/>
        <w:t>2.</w:t>
        <w:tab/>
        <w:t>The minor changes to Article 4, Section 10.3 and Section 14.1 are fine.</w:t>
      </w:r>
    </w:p>
    <w:p>
      <w:pPr>
        <w:pStyle w:val="Body"/>
        <w:ind w:hanging="360" w:start="1080" w:end="0"/>
        <w:jc w:val="both"/>
        <w:rPr/>
      </w:pPr>
      <w:r>
        <w:rPr/>
      </w:r>
    </w:p>
    <w:p>
      <w:pPr>
        <w:pStyle w:val="Body"/>
        <w:ind w:firstLine="720" w:start="0" w:end="0"/>
        <w:jc w:val="both"/>
        <w:rPr/>
      </w:pPr>
      <w:r>
        <w:rPr/>
        <w:t>In summary, go forward with the changes as well as your plans on replacement masters.  Should you have any question or comments, please contact me at your convenience.</w:t>
      </w:r>
    </w:p>
    <w:p>
      <w:pPr>
        <w:pStyle w:val="Body"/>
        <w:ind w:firstLine="720" w:start="0" w:end="0"/>
        <w:jc w:val="both"/>
        <w:rPr/>
      </w:pPr>
      <w:r>
        <w:rPr/>
      </w:r>
    </w:p>
    <w:p>
      <w:pPr>
        <w:pStyle w:val="Body"/>
        <w:ind w:start="0" w:end="0"/>
        <w:jc w:val="both"/>
        <w:rPr/>
      </w:pPr>
      <w:r>
        <w:rPr/>
      </w:r>
    </w:p>
    <w:p>
      <w:pPr>
        <w:pStyle w:val="Body"/>
        <w:ind w:start="0" w:end="0"/>
        <w:jc w:val="both"/>
        <w:rPr/>
      </w:pPr>
      <w:r>
        <w:rPr/>
        <w:t xml:space="preserve">cc: </w:t>
        <w:tab/>
        <w:t>Alan Aronowitz</w:t>
      </w:r>
    </w:p>
    <w:p>
      <w:pPr>
        <w:pStyle w:val="Body"/>
        <w:ind w:start="0" w:end="0"/>
        <w:jc w:val="both"/>
        <w:rPr/>
      </w:pPr>
      <w:r>
        <w:rPr/>
        <w:tab/>
        <w:t>Chris Gaffney</w:t>
      </w:r>
    </w:p>
    <w:p>
      <w:pPr>
        <w:pStyle w:val="Body"/>
        <w:ind w:start="0" w:end="0"/>
        <w:jc w:val="both"/>
        <w:rPr/>
      </w:pPr>
      <w:r>
        <w:rPr/>
        <w:tab/>
        <w:t>Mark Haedicke</w:t>
      </w:r>
    </w:p>
    <w:p>
      <w:pPr>
        <w:pStyle w:val="Body"/>
        <w:ind w:start="0" w:end="0"/>
        <w:jc w:val="both"/>
        <w:rPr/>
      </w:pPr>
      <w:r>
        <w:rPr/>
        <w:tab/>
        <w:t>Greg Johnston</w:t>
      </w:r>
    </w:p>
    <w:p>
      <w:pPr>
        <w:pStyle w:val="Body"/>
        <w:ind w:start="0" w:end="0"/>
        <w:jc w:val="both"/>
        <w:rPr/>
      </w:pPr>
      <w:r>
        <w:rPr/>
        <w:tab/>
        <w:t>Peter Keohane</w:t>
      </w:r>
    </w:p>
    <w:p>
      <w:pPr>
        <w:pStyle w:val="Body"/>
        <w:ind w:start="0" w:end="0"/>
        <w:jc w:val="both"/>
        <w:rPr/>
      </w:pPr>
      <w:r>
        <w:rPr/>
        <w:tab/>
        <w:t>Mark Taylor</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pPr>
    <w:r>
      <w:rPr>
        <w:sz w:val="12"/>
      </w:rPr>
      <w:t>Form 000-</w:t>
    </w:r>
    <w:r>
      <w:rPr>
        <w:sz w:val="10"/>
      </w:rPr>
      <w:t>469-1 (7/92)</w:t>
    </w:r>
  </w:p>
  <w:p>
    <w:pPr>
      <w:pStyle w:val="Footer"/>
      <w:tabs>
        <w:tab w:val="clear" w:pos="4320"/>
        <w:tab w:val="left" w:pos="3780" w:leader="none"/>
        <w:tab w:val="center" w:pos="7560" w:leader="none"/>
        <w:tab w:val="right" w:pos="8640" w:leader="none"/>
        <w:tab w:val="right" w:pos="10800" w:leader="none"/>
      </w:tabs>
      <w:rPr>
        <w:sz w:val="14"/>
      </w:rPr>
    </w:pPr>
    <w:r>
      <w:rPr>
        <w:sz w:val="14"/>
      </w:rPr>
      <w:fldChar w:fldCharType="begin"/>
    </w:r>
    <w:r>
      <w:rPr>
        <w:sz w:val="14"/>
      </w:rPr>
      <w:instrText xml:space="preserve"> FILENAME \p </w:instrText>
    </w:r>
    <w:r>
      <w:rPr>
        <w:sz w:val="14"/>
      </w:rPr>
      <w:fldChar w:fldCharType="separate"/>
    </w:r>
    <w:r>
      <w:rPr>
        <w:sz w:val="14"/>
      </w:rPr>
      <w:t>/mnt/main-storage/datasets/enron-docs/doc/99310_00.doc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Header"/>
      <w:rPr>
        <w:sz w:val="20"/>
      </w:rPr>
    </w:pPr>
    <w:r>
      <w:rPr>
        <w:sz w:val="20"/>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2465070</wp:posOffset>
              </wp:positionH>
              <wp:positionV relativeFrom="paragraph">
                <wp:posOffset>-94615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t>Interoffice</w:t>
                          </w:r>
                        </w:p>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45pt;mso-position-vertical-relative:text;margin-left:194.1pt;mso-position-horizontal-relative:page">
              <v:fill opacity="0f"/>
              <v:textbox inset="0in,0in,0in,0in">
                <w:txbxContent>
                  <w:p>
                    <w:pPr>
                      <w:pStyle w:val="Heading1"/>
                      <w:rPr/>
                    </w:pPr>
                    <w:r>
                      <w:rPr/>
                      <w:t>Interoffice</w:t>
                    </w:r>
                  </w:p>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2000-10-03T14:34:00Z</dcterms:created>
  <dc:creator>Jeff Ford</dc:creator>
  <dc:description/>
  <dc:language>en-CA</dc:language>
  <cp:lastModifiedBy>jhelton</cp:lastModifiedBy>
  <cp:lastPrinted>2000-10-03T12:20:00Z</cp:lastPrinted>
  <dcterms:modified xsi:type="dcterms:W3CDTF">2000-10-03T14:50:00Z</dcterms:modified>
  <cp:revision>3</cp:revision>
  <dc:subject/>
  <dc:title>Eron Capital &amp; Trade Resources Memo</dc:title>
</cp:coreProperties>
</file>