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pPr>
      <w:r>
        <w:rPr>
          <w:sz w:val="20"/>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r>
        <w:rPr>
          <w:sz w:val="20"/>
        </w:rPr>
        <w:tab/>
        <w:tab/>
        <w:tab/>
        <w:tab/>
      </w:r>
    </w:p>
    <w:p>
      <w:pPr>
        <w:pStyle w:val="Heading"/>
        <w:jc w:val="both"/>
        <w:rPr>
          <w:sz w:val="20"/>
        </w:rPr>
      </w:pPr>
      <w:r>
        <w:rPr>
          <w:sz w:val="20"/>
        </w:rPr>
      </w:r>
    </w:p>
    <w:p>
      <w:pPr>
        <w:pStyle w:val="Heading"/>
        <w:jc w:val="both"/>
        <w:rPr>
          <w:sz w:val="20"/>
        </w:rPr>
      </w:pPr>
      <w:r>
        <w:rPr>
          <w:sz w:val="20"/>
        </w:rPr>
      </w:r>
    </w:p>
    <w:tbl>
      <w:tblPr>
        <w:tblW w:w="11425" w:type="dxa"/>
        <w:jc w:val="start"/>
        <w:tblInd w:w="108" w:type="dxa"/>
        <w:tblLayout w:type="fixed"/>
        <w:tblCellMar>
          <w:top w:w="0" w:type="dxa"/>
          <w:start w:w="108" w:type="dxa"/>
          <w:bottom w:w="0" w:type="dxa"/>
          <w:end w:w="108" w:type="dxa"/>
        </w:tblCellMar>
      </w:tblPr>
      <w:tblGrid>
        <w:gridCol w:w="1170"/>
        <w:gridCol w:w="5850"/>
        <w:gridCol w:w="1440"/>
        <w:gridCol w:w="2965"/>
      </w:tblGrid>
      <w:tr>
        <w:trPr>
          <w:trHeight w:val="200" w:hRule="atLeast"/>
        </w:trPr>
        <w:tc>
          <w:tcPr>
            <w:tcW w:w="1170" w:type="dxa"/>
            <w:tcBorders/>
          </w:tcPr>
          <w:p>
            <w:pPr>
              <w:pStyle w:val="Normal"/>
              <w:ind w:start="-180" w:end="0"/>
              <w:jc w:val="both"/>
              <w:rPr>
                <w:sz w:val="20"/>
              </w:rPr>
            </w:pPr>
            <w:r>
              <w:rPr>
                <w:rFonts w:eastAsia="Arial"/>
                <w:sz w:val="20"/>
              </w:rPr>
              <w:t xml:space="preserve">  </w:t>
            </w:r>
            <w:r>
              <w:rPr>
                <w:sz w:val="20"/>
              </w:rPr>
              <w:t>To:</w:t>
            </w:r>
          </w:p>
        </w:tc>
        <w:tc>
          <w:tcPr>
            <w:tcW w:w="5850" w:type="dxa"/>
            <w:tcBorders/>
          </w:tcPr>
          <w:p>
            <w:pPr>
              <w:pStyle w:val="To"/>
              <w:jc w:val="both"/>
              <w:rPr/>
            </w:pPr>
            <w:r>
              <w:rPr/>
              <w:t>Mark Haedicke</w:t>
            </w:r>
          </w:p>
        </w:tc>
        <w:tc>
          <w:tcPr>
            <w:tcW w:w="1440" w:type="dxa"/>
            <w:tcBorders/>
          </w:tcPr>
          <w:p>
            <w:pPr>
              <w:pStyle w:val="Normal"/>
              <w:snapToGrid w:val="false"/>
              <w:ind w:start="-180" w:end="0"/>
              <w:jc w:val="both"/>
              <w:rPr>
                <w:sz w:val="20"/>
              </w:rPr>
            </w:pPr>
            <w:r>
              <w:rPr>
                <w:sz w:val="20"/>
              </w:rPr>
            </w:r>
          </w:p>
        </w:tc>
        <w:tc>
          <w:tcPr>
            <w:tcW w:w="2965" w:type="dxa"/>
            <w:tcBorders/>
          </w:tcPr>
          <w:p>
            <w:pPr>
              <w:pStyle w:val="Normal"/>
              <w:snapToGrid w:val="false"/>
              <w:jc w:val="both"/>
              <w:rPr>
                <w:sz w:val="20"/>
              </w:rPr>
            </w:pPr>
            <w:r>
              <w:rPr>
                <w:sz w:val="20"/>
              </w:rPr>
            </w:r>
          </w:p>
        </w:tc>
      </w:tr>
      <w:tr>
        <w:trPr>
          <w:trHeight w:val="200" w:hRule="atLeast"/>
        </w:trPr>
        <w:tc>
          <w:tcPr>
            <w:tcW w:w="1170" w:type="dxa"/>
            <w:tcBorders/>
          </w:tcPr>
          <w:p>
            <w:pPr>
              <w:pStyle w:val="Normal"/>
              <w:snapToGrid w:val="false"/>
              <w:ind w:start="-180" w:end="0"/>
              <w:jc w:val="both"/>
              <w:rPr>
                <w:sz w:val="20"/>
              </w:rPr>
            </w:pPr>
            <w:r>
              <w:rPr>
                <w:sz w:val="20"/>
              </w:rPr>
            </w:r>
          </w:p>
        </w:tc>
        <w:tc>
          <w:tcPr>
            <w:tcW w:w="5850" w:type="dxa"/>
            <w:tcBorders/>
          </w:tcPr>
          <w:p>
            <w:pPr>
              <w:pStyle w:val="Normal"/>
              <w:snapToGrid w:val="false"/>
              <w:jc w:val="both"/>
              <w:rPr>
                <w:sz w:val="20"/>
              </w:rPr>
            </w:pPr>
            <w:r>
              <w:rPr>
                <w:sz w:val="20"/>
              </w:rPr>
            </w:r>
          </w:p>
        </w:tc>
        <w:tc>
          <w:tcPr>
            <w:tcW w:w="1440" w:type="dxa"/>
            <w:tcBorders/>
          </w:tcPr>
          <w:p>
            <w:pPr>
              <w:pStyle w:val="Normal"/>
              <w:snapToGrid w:val="false"/>
              <w:ind w:start="-180" w:end="0"/>
              <w:jc w:val="both"/>
              <w:rPr>
                <w:sz w:val="20"/>
              </w:rPr>
            </w:pPr>
            <w:r>
              <w:rPr>
                <w:sz w:val="20"/>
              </w:rPr>
            </w:r>
          </w:p>
        </w:tc>
        <w:tc>
          <w:tcPr>
            <w:tcW w:w="2965" w:type="dxa"/>
            <w:tcBorders/>
          </w:tcPr>
          <w:p>
            <w:pPr>
              <w:pStyle w:val="Normal"/>
              <w:snapToGrid w:val="false"/>
              <w:jc w:val="both"/>
              <w:rPr>
                <w:sz w:val="20"/>
              </w:rPr>
            </w:pPr>
            <w:r>
              <w:rPr>
                <w:sz w:val="20"/>
              </w:rPr>
            </w:r>
          </w:p>
        </w:tc>
      </w:tr>
      <w:tr>
        <w:trPr>
          <w:trHeight w:val="200" w:hRule="atLeast"/>
        </w:trPr>
        <w:tc>
          <w:tcPr>
            <w:tcW w:w="1170" w:type="dxa"/>
            <w:tcBorders/>
          </w:tcPr>
          <w:p>
            <w:pPr>
              <w:pStyle w:val="Normal"/>
              <w:ind w:start="-180" w:end="0"/>
              <w:jc w:val="both"/>
              <w:rPr>
                <w:sz w:val="20"/>
              </w:rPr>
            </w:pPr>
            <w:r>
              <w:rPr>
                <w:rFonts w:eastAsia="Arial"/>
                <w:sz w:val="20"/>
              </w:rPr>
              <w:t xml:space="preserve">  </w:t>
            </w:r>
            <w:r>
              <w:rPr>
                <w:sz w:val="20"/>
              </w:rPr>
              <w:t>From:</w:t>
            </w:r>
          </w:p>
        </w:tc>
        <w:tc>
          <w:tcPr>
            <w:tcW w:w="5850" w:type="dxa"/>
            <w:tcBorders/>
          </w:tcPr>
          <w:p>
            <w:pPr>
              <w:pStyle w:val="From"/>
              <w:jc w:val="both"/>
              <w:rPr/>
            </w:pPr>
            <w:r>
              <w:rPr/>
              <w:t>Jeff Hodge</w:t>
            </w:r>
          </w:p>
        </w:tc>
        <w:tc>
          <w:tcPr>
            <w:tcW w:w="1440" w:type="dxa"/>
            <w:tcBorders/>
          </w:tcPr>
          <w:p>
            <w:pPr>
              <w:pStyle w:val="Normal"/>
              <w:ind w:start="-180" w:end="0"/>
              <w:jc w:val="both"/>
              <w:rPr>
                <w:sz w:val="20"/>
              </w:rPr>
            </w:pPr>
            <w:r>
              <w:rPr>
                <w:rFonts w:eastAsia="Arial"/>
                <w:sz w:val="20"/>
              </w:rPr>
              <w:t xml:space="preserve">   </w:t>
            </w:r>
            <w:r>
              <w:rPr>
                <w:sz w:val="20"/>
              </w:rPr>
              <w:t>Department:</w:t>
            </w:r>
          </w:p>
        </w:tc>
        <w:tc>
          <w:tcPr>
            <w:tcW w:w="2965" w:type="dxa"/>
            <w:tcBorders/>
          </w:tcPr>
          <w:p>
            <w:pPr>
              <w:pStyle w:val="Department"/>
              <w:jc w:val="both"/>
              <w:rPr/>
            </w:pPr>
            <w:bookmarkStart w:id="0" w:name="From"/>
            <w:bookmarkEnd w:id="0"/>
            <w:r>
              <w:rPr/>
              <w:t>ENA - Legal</w:t>
            </w:r>
          </w:p>
        </w:tc>
      </w:tr>
      <w:tr>
        <w:trPr>
          <w:trHeight w:val="200" w:hRule="atLeast"/>
        </w:trPr>
        <w:tc>
          <w:tcPr>
            <w:tcW w:w="1170" w:type="dxa"/>
            <w:tcBorders/>
          </w:tcPr>
          <w:p>
            <w:pPr>
              <w:pStyle w:val="Normal"/>
              <w:snapToGrid w:val="false"/>
              <w:ind w:start="-180" w:end="0"/>
              <w:jc w:val="both"/>
              <w:rPr>
                <w:sz w:val="20"/>
              </w:rPr>
            </w:pPr>
            <w:r>
              <w:rPr>
                <w:sz w:val="20"/>
              </w:rPr>
            </w:r>
          </w:p>
        </w:tc>
        <w:tc>
          <w:tcPr>
            <w:tcW w:w="5850" w:type="dxa"/>
            <w:tcBorders/>
          </w:tcPr>
          <w:p>
            <w:pPr>
              <w:pStyle w:val="Normal"/>
              <w:snapToGrid w:val="false"/>
              <w:jc w:val="both"/>
              <w:rPr>
                <w:sz w:val="20"/>
              </w:rPr>
            </w:pPr>
            <w:r>
              <w:rPr>
                <w:sz w:val="20"/>
              </w:rPr>
            </w:r>
          </w:p>
        </w:tc>
        <w:tc>
          <w:tcPr>
            <w:tcW w:w="1440" w:type="dxa"/>
            <w:tcBorders/>
          </w:tcPr>
          <w:p>
            <w:pPr>
              <w:pStyle w:val="Normal"/>
              <w:snapToGrid w:val="false"/>
              <w:ind w:start="-180" w:end="0"/>
              <w:jc w:val="both"/>
              <w:rPr>
                <w:sz w:val="20"/>
              </w:rPr>
            </w:pPr>
            <w:r>
              <w:rPr>
                <w:sz w:val="20"/>
              </w:rPr>
            </w:r>
          </w:p>
        </w:tc>
        <w:tc>
          <w:tcPr>
            <w:tcW w:w="2965" w:type="dxa"/>
            <w:tcBorders/>
          </w:tcPr>
          <w:p>
            <w:pPr>
              <w:pStyle w:val="Normal"/>
              <w:snapToGrid w:val="false"/>
              <w:jc w:val="both"/>
              <w:rPr>
                <w:sz w:val="20"/>
              </w:rPr>
            </w:pPr>
            <w:r>
              <w:rPr>
                <w:sz w:val="20"/>
              </w:rPr>
            </w:r>
          </w:p>
        </w:tc>
      </w:tr>
      <w:tr>
        <w:trPr>
          <w:trHeight w:val="200" w:hRule="atLeast"/>
        </w:trPr>
        <w:tc>
          <w:tcPr>
            <w:tcW w:w="1170" w:type="dxa"/>
            <w:tcBorders>
              <w:bottom w:val="single" w:sz="12" w:space="0" w:color="000000"/>
            </w:tcBorders>
          </w:tcPr>
          <w:p>
            <w:pPr>
              <w:pStyle w:val="Normal"/>
              <w:ind w:start="-180" w:end="0"/>
              <w:jc w:val="both"/>
              <w:rPr>
                <w:sz w:val="20"/>
              </w:rPr>
            </w:pPr>
            <w:r>
              <w:rPr>
                <w:rFonts w:eastAsia="Arial"/>
                <w:sz w:val="20"/>
              </w:rPr>
              <w:t xml:space="preserve">  </w:t>
            </w:r>
            <w:r>
              <w:rPr>
                <w:sz w:val="20"/>
              </w:rPr>
              <w:t>Subject:</w:t>
            </w:r>
          </w:p>
        </w:tc>
        <w:tc>
          <w:tcPr>
            <w:tcW w:w="5850" w:type="dxa"/>
            <w:tcBorders>
              <w:bottom w:val="single" w:sz="12" w:space="0" w:color="000000"/>
            </w:tcBorders>
          </w:tcPr>
          <w:p>
            <w:pPr>
              <w:pStyle w:val="Subject"/>
              <w:ind w:end="347"/>
              <w:rPr/>
            </w:pPr>
            <w:r>
              <w:rPr/>
              <w:t>UK Administrative Matters – London Trading</w:t>
            </w:r>
          </w:p>
          <w:p>
            <w:pPr>
              <w:pStyle w:val="Subject"/>
              <w:ind w:end="347"/>
              <w:rPr/>
            </w:pPr>
            <w:r>
              <w:rPr/>
            </w:r>
          </w:p>
        </w:tc>
        <w:tc>
          <w:tcPr>
            <w:tcW w:w="1440" w:type="dxa"/>
            <w:tcBorders>
              <w:bottom w:val="single" w:sz="12" w:space="0" w:color="000000"/>
            </w:tcBorders>
          </w:tcPr>
          <w:p>
            <w:pPr>
              <w:pStyle w:val="Normal"/>
              <w:ind w:start="-180" w:end="0"/>
              <w:jc w:val="both"/>
              <w:rPr>
                <w:sz w:val="20"/>
              </w:rPr>
            </w:pPr>
            <w:r>
              <w:rPr>
                <w:rFonts w:eastAsia="Arial"/>
                <w:sz w:val="20"/>
              </w:rPr>
              <w:t xml:space="preserve">   </w:t>
            </w:r>
            <w:r>
              <w:rPr>
                <w:sz w:val="20"/>
              </w:rPr>
              <w:t>Date:</w:t>
            </w:r>
          </w:p>
        </w:tc>
        <w:tc>
          <w:tcPr>
            <w:tcW w:w="2965" w:type="dxa"/>
            <w:tcBorders>
              <w:bottom w:val="single" w:sz="12" w:space="0" w:color="000000"/>
            </w:tcBorders>
          </w:tcPr>
          <w:p>
            <w:pPr>
              <w:pStyle w:val="Date"/>
              <w:jc w:val="both"/>
              <w:rPr/>
            </w:pPr>
            <w:r>
              <w:rPr/>
              <w:t>September 5, 2000</w:t>
            </w:r>
          </w:p>
        </w:tc>
      </w:tr>
    </w:tbl>
    <w:p>
      <w:pPr>
        <w:pStyle w:val="Body"/>
        <w:ind w:start="0" w:end="0"/>
        <w:jc w:val="both"/>
        <w:rPr/>
      </w:pPr>
      <w:r>
        <w:rPr/>
      </w:r>
      <w:bookmarkStart w:id="1" w:name="StartOfMemo"/>
      <w:bookmarkStart w:id="2" w:name="StartOfMemo"/>
      <w:bookmarkEnd w:id="2"/>
    </w:p>
    <w:p>
      <w:pPr>
        <w:pStyle w:val="Body"/>
        <w:ind w:start="0" w:end="0"/>
        <w:jc w:val="both"/>
        <w:rPr/>
      </w:pPr>
      <w:r>
        <w:rPr/>
        <w:tab/>
        <w:t>In follow-up to our telephone conversations, I have given some thought on your visit to the London office.  In particular, I focused on a potential meeting with John Sherriff.</w:t>
      </w:r>
    </w:p>
    <w:p>
      <w:pPr>
        <w:pStyle w:val="Body"/>
        <w:ind w:start="0" w:end="0"/>
        <w:jc w:val="both"/>
        <w:rPr/>
      </w:pPr>
      <w:r>
        <w:rPr/>
      </w:r>
    </w:p>
    <w:p>
      <w:pPr>
        <w:pStyle w:val="Body"/>
        <w:ind w:start="0" w:end="0"/>
        <w:jc w:val="both"/>
        <w:rPr/>
      </w:pPr>
      <w:r>
        <w:rPr/>
        <w:tab/>
        <w:t>It seems to me that the following topics should be brought up with John:</w:t>
      </w:r>
    </w:p>
    <w:p>
      <w:pPr>
        <w:pStyle w:val="Body"/>
        <w:ind w:start="0" w:end="0"/>
        <w:jc w:val="both"/>
        <w:rPr/>
      </w:pPr>
      <w:r>
        <w:rPr/>
      </w:r>
    </w:p>
    <w:p>
      <w:pPr>
        <w:pStyle w:val="Body"/>
        <w:ind w:hanging="360" w:start="1080" w:end="0"/>
        <w:jc w:val="both"/>
        <w:rPr/>
      </w:pPr>
      <w:r>
        <w:rPr/>
        <w:t>1.</w:t>
        <w:tab/>
        <w:t>The continued interaction of the legal trading groups in the UK and the US.  He needs to understand that this is working very well on a lawyer to lawyer level.</w:t>
      </w:r>
    </w:p>
    <w:p>
      <w:pPr>
        <w:pStyle w:val="Body"/>
        <w:ind w:hanging="360" w:start="1080" w:end="0"/>
        <w:jc w:val="both"/>
        <w:rPr/>
      </w:pPr>
      <w:r>
        <w:rPr/>
      </w:r>
    </w:p>
    <w:p>
      <w:pPr>
        <w:pStyle w:val="Body"/>
        <w:ind w:hanging="360" w:start="1080" w:end="0"/>
        <w:jc w:val="both"/>
        <w:rPr/>
      </w:pPr>
      <w:r>
        <w:rPr/>
        <w:t>2.</w:t>
        <w:tab/>
        <w:t xml:space="preserve">Some discussion should focus on metals.  In particular, discussion surrounding the MG operations in the US merit some attention.  </w:t>
      </w:r>
    </w:p>
    <w:p>
      <w:pPr>
        <w:pStyle w:val="Body"/>
        <w:ind w:hanging="360" w:start="1080" w:end="0"/>
        <w:jc w:val="both"/>
        <w:rPr/>
      </w:pPr>
      <w:r>
        <w:rPr/>
      </w:r>
    </w:p>
    <w:p>
      <w:pPr>
        <w:pStyle w:val="Body"/>
        <w:ind w:hanging="360" w:start="1080" w:end="0"/>
        <w:jc w:val="both"/>
        <w:rPr/>
      </w:pPr>
      <w:r>
        <w:rPr/>
        <w:t>3.</w:t>
        <w:tab/>
        <w:t>I would let John know of Michael Brown's desire to have greater US trading input for the next 6 months or a year.  It would be interesting to gauge John's response.</w:t>
      </w:r>
    </w:p>
    <w:p>
      <w:pPr>
        <w:pStyle w:val="Body"/>
        <w:ind w:hanging="360" w:start="1080" w:end="0"/>
        <w:jc w:val="both"/>
        <w:rPr/>
      </w:pPr>
      <w:r>
        <w:rPr/>
      </w:r>
    </w:p>
    <w:p>
      <w:pPr>
        <w:pStyle w:val="Body"/>
        <w:ind w:hanging="360" w:start="1080" w:end="0"/>
        <w:jc w:val="both"/>
        <w:rPr/>
      </w:pPr>
      <w:r>
        <w:rPr/>
        <w:t>4.</w:t>
        <w:tab/>
        <w:t>Some discussion needs to be had with respect to the offices in Singapore, Japan and Australia.  I presume Alan's group will be in charge of their legal needs and lawyers, but you may wish to verify this with John.</w:t>
      </w:r>
    </w:p>
    <w:p>
      <w:pPr>
        <w:pStyle w:val="Body"/>
        <w:ind w:hanging="360" w:start="1080" w:end="0"/>
        <w:jc w:val="both"/>
        <w:rPr/>
      </w:pPr>
      <w:r>
        <w:rPr/>
      </w:r>
    </w:p>
    <w:p>
      <w:pPr>
        <w:pStyle w:val="Body"/>
        <w:ind w:firstLine="720" w:start="0" w:end="0"/>
        <w:jc w:val="both"/>
        <w:rPr/>
      </w:pPr>
      <w:r>
        <w:rPr/>
        <w:t>In addition to the foregoing, I presume you will also be meeting with Michael Brown and Mark Evans.  Also, I think it would make some sense to visit with Justin Boyd and Paul Simons.</w:t>
      </w:r>
    </w:p>
    <w:p>
      <w:pPr>
        <w:pStyle w:val="Body"/>
        <w:ind w:firstLine="720" w:start="0" w:end="0"/>
        <w:jc w:val="both"/>
        <w:rPr/>
      </w:pPr>
      <w:r>
        <w:rPr/>
      </w:r>
    </w:p>
    <w:p>
      <w:pPr>
        <w:pStyle w:val="Body"/>
        <w:ind w:firstLine="720" w:start="0" w:end="0"/>
        <w:jc w:val="both"/>
        <w:rPr/>
      </w:pPr>
      <w:r>
        <w:rPr/>
        <w:t>I will try to get some time on your calendar Wednesday afternoon or Thursday to discuss this with you.  Should you have any questions or comments, please contact me at your convenience.</w:t>
      </w:r>
    </w:p>
    <w:p>
      <w:pPr>
        <w:pStyle w:val="Body"/>
        <w:ind w:hanging="360" w:start="1080" w:end="0"/>
        <w:jc w:val="both"/>
        <w:rPr/>
      </w:pPr>
      <w:r>
        <w:rPr/>
      </w:r>
    </w:p>
    <w:p>
      <w:pPr>
        <w:pStyle w:val="Body"/>
        <w:ind w:start="0" w:end="0"/>
        <w:jc w:val="both"/>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pPr>
    <w:r>
      <w:rPr>
        <w:sz w:val="12"/>
      </w:rPr>
      <w:t>Form 000-</w:t>
    </w:r>
    <w:r>
      <w:rPr>
        <w:sz w:val="10"/>
      </w:rPr>
      <w:t>469-1 (7/92)</w:t>
    </w:r>
  </w:p>
  <w:p>
    <w:pPr>
      <w:pStyle w:val="Footer"/>
      <w:tabs>
        <w:tab w:val="clear" w:pos="4320"/>
        <w:tab w:val="left" w:pos="3780" w:leader="none"/>
        <w:tab w:val="center" w:pos="7560" w:leader="none"/>
        <w:tab w:val="right" w:pos="8640" w:leader="none"/>
        <w:tab w:val="right" w:pos="10800" w:leader="none"/>
      </w:tabs>
      <w:rPr>
        <w:sz w:val="14"/>
      </w:rPr>
    </w:pPr>
    <w:r>
      <w:rPr>
        <w:sz w:val="14"/>
      </w:rPr>
      <w:fldChar w:fldCharType="begin"/>
    </w:r>
    <w:r>
      <w:rPr>
        <w:sz w:val="14"/>
      </w:rPr>
      <w:instrText xml:space="preserve"> FILENAME \p </w:instrText>
    </w:r>
    <w:r>
      <w:rPr>
        <w:sz w:val="14"/>
      </w:rPr>
      <w:fldChar w:fldCharType="separate"/>
    </w:r>
    <w:r>
      <w:rPr>
        <w:sz w:val="14"/>
      </w:rPr>
      <w:t>/mnt/main-storage/datasets/enron-docs/doc/99297._00-7d58b136963c52802c81f32d57a0d17a984eefc1a3792ce5715e0da502db9226.doc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sz w:val="20"/>
      </w:rPr>
      <w:t>0</w:t>
    </w:r>
    <w:r>
      <w:rPr>
        <w:sz w:val="20"/>
      </w:rPr>
      <w:fldChar w:fldCharType="end"/>
    </w:r>
  </w:p>
  <w:p>
    <w:pPr>
      <w:pStyle w:val="Header"/>
      <w:rPr>
        <w:sz w:val="20"/>
      </w:rPr>
    </w:pPr>
    <w:r>
      <w:rPr>
        <w:sz w:val="20"/>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rPr/>
    </w:pPr>
    <w:r>
      <w:rPr/>
    </w:r>
    <w:r>
      <mc:AlternateContent>
        <mc:Choice Requires="wps">
          <w:drawing>
            <wp:anchor behindDoc="0" distT="0" distB="0" distL="118745" distR="118745" simplePos="0" locked="0" layoutInCell="0" allowOverlap="1" relativeHeight="3">
              <wp:simplePos x="0" y="0"/>
              <wp:positionH relativeFrom="page">
                <wp:posOffset>2465070</wp:posOffset>
              </wp:positionH>
              <wp:positionV relativeFrom="paragraph">
                <wp:posOffset>-94615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Heading1"/>
                            <w:rPr/>
                          </w:pPr>
                          <w:r>
                            <w:rPr/>
                            <w:t>Interoffice</w:t>
                          </w:r>
                        </w:p>
                        <w:p>
                          <w:pPr>
                            <w:pStyle w:val="Normal"/>
                            <w:ind w:start="3600" w:end="0"/>
                            <w:rPr>
                              <w:b/>
                              <w:sz w:val="32"/>
                            </w:rPr>
                          </w:pPr>
                          <w:r>
                            <w:rPr>
                              <w:b/>
                              <w:sz w:val="32"/>
                            </w:rPr>
                            <w:t>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7.45pt;mso-position-vertical-relative:text;margin-left:194.1pt;mso-position-horizontal-relative:page">
              <v:fill opacity="0f"/>
              <v:textbox inset="0in,0in,0in,0in">
                <w:txbxContent>
                  <w:p>
                    <w:pPr>
                      <w:pStyle w:val="Heading1"/>
                      <w:rPr/>
                    </w:pPr>
                    <w:r>
                      <w:rPr/>
                      <w:t>Interoffice</w:t>
                    </w:r>
                  </w:p>
                  <w:p>
                    <w:pPr>
                      <w:pStyle w:val="Normal"/>
                      <w:ind w:start="3600" w:end="0"/>
                      <w:rPr>
                        <w:b/>
                        <w:sz w:val="32"/>
                      </w:rPr>
                    </w:pP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0" w:end="0"/>
      <w:outlineLvl w:val="0"/>
    </w:pPr>
    <w:rPr>
      <w:b/>
      <w:sz w:val="3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1z1">
    <w:name w:val="WW8Num1z1"/>
    <w:qFormat/>
    <w:rPr>
      <w:rFonts w:ascii="Courier New;Courier New" w:hAnsi="Courier New;Courier New" w:cs="Courier New;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Courier New" w:hAnsi="Courier New;Courier New" w:cs="Courier New;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Courier New" w:hAnsi="Courier New;Courier New" w:cs="Courier New;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Times New Roman" w:hAnsi="Times New Roman;Times New Roman" w:cs="Times New Roman;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jc w:val="both"/>
    </w:pPr>
    <w:rPr>
      <w:rFonts w:ascii="Times New Roman;Times New Roman" w:hAnsi="Times New Roman;Times New Roman" w:cs="Times New Roman;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2000-09-05T19:09:00Z</dcterms:created>
  <dc:creator>Jeff Ford</dc:creator>
  <dc:description/>
  <dc:language>en-CA</dc:language>
  <cp:lastModifiedBy>jhelton</cp:lastModifiedBy>
  <cp:lastPrinted>2000-09-05T16:50:00Z</cp:lastPrinted>
  <dcterms:modified xsi:type="dcterms:W3CDTF">2000-09-05T19:21:00Z</dcterms:modified>
  <cp:revision>3</cp:revision>
  <dc:subject/>
  <dc:title>Eron Capital &amp; Trade Resources Memo</dc:title>
</cp:coreProperties>
</file>