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sz w:val="2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sz w:val="20"/>
        </w:rPr>
        <w:tab/>
        <w:tab/>
        <w:tab/>
        <w:tab/>
      </w:r>
    </w:p>
    <w:p>
      <w:pPr>
        <w:pStyle w:val="Heading"/>
        <w:jc w:val="both"/>
        <w:rPr>
          <w:sz w:val="20"/>
        </w:rPr>
      </w:pPr>
      <w:r>
        <w:rPr>
          <w:sz w:val="20"/>
        </w:rPr>
      </w:r>
    </w:p>
    <w:p>
      <w:pPr>
        <w:pStyle w:val="Heading"/>
        <w:jc w:val="both"/>
        <w:rPr>
          <w:sz w:val="20"/>
        </w:rPr>
      </w:pPr>
      <w:r>
        <w:rPr>
          <w:sz w:val="20"/>
        </w:rPr>
      </w:r>
    </w:p>
    <w:tbl>
      <w:tblPr>
        <w:tblW w:w="11425" w:type="dxa"/>
        <w:jc w:val="start"/>
        <w:tblInd w:w="108" w:type="dxa"/>
        <w:tblLayout w:type="fixed"/>
        <w:tblCellMar>
          <w:top w:w="0" w:type="dxa"/>
          <w:start w:w="108" w:type="dxa"/>
          <w:bottom w:w="0" w:type="dxa"/>
          <w:end w:w="108" w:type="dxa"/>
        </w:tblCellMar>
      </w:tblPr>
      <w:tblGrid>
        <w:gridCol w:w="1170"/>
        <w:gridCol w:w="5850"/>
        <w:gridCol w:w="1440"/>
        <w:gridCol w:w="2965"/>
      </w:tblGrid>
      <w:tr>
        <w:trPr>
          <w:trHeight w:val="200" w:hRule="atLeast"/>
        </w:trPr>
        <w:tc>
          <w:tcPr>
            <w:tcW w:w="1170" w:type="dxa"/>
            <w:tcBorders/>
          </w:tcPr>
          <w:p>
            <w:pPr>
              <w:pStyle w:val="Normal"/>
              <w:ind w:start="-180" w:end="0"/>
              <w:jc w:val="both"/>
              <w:rPr>
                <w:sz w:val="20"/>
              </w:rPr>
            </w:pPr>
            <w:r>
              <w:rPr>
                <w:rFonts w:eastAsia="Arial"/>
                <w:sz w:val="20"/>
              </w:rPr>
              <w:t xml:space="preserve">  </w:t>
            </w:r>
            <w:r>
              <w:rPr>
                <w:sz w:val="20"/>
              </w:rPr>
              <w:t>To:</w:t>
            </w:r>
          </w:p>
        </w:tc>
        <w:tc>
          <w:tcPr>
            <w:tcW w:w="5850" w:type="dxa"/>
            <w:tcBorders/>
          </w:tcPr>
          <w:p>
            <w:pPr>
              <w:pStyle w:val="To"/>
              <w:jc w:val="both"/>
              <w:rPr/>
            </w:pPr>
            <w:r>
              <w:rPr/>
              <w:t>Roy Rodriguez</w:t>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tcPr>
          <w:p>
            <w:pPr>
              <w:pStyle w:val="Normal"/>
              <w:snapToGrid w:val="false"/>
              <w:ind w:start="-180" w:end="0"/>
              <w:jc w:val="both"/>
              <w:rPr>
                <w:sz w:val="20"/>
              </w:rPr>
            </w:pPr>
            <w:r>
              <w:rPr>
                <w:sz w:val="20"/>
              </w:rPr>
            </w:r>
          </w:p>
        </w:tc>
        <w:tc>
          <w:tcPr>
            <w:tcW w:w="5850" w:type="dxa"/>
            <w:tcBorders/>
          </w:tcPr>
          <w:p>
            <w:pPr>
              <w:pStyle w:val="Normal"/>
              <w:snapToGrid w:val="false"/>
              <w:jc w:val="both"/>
              <w:rPr>
                <w:sz w:val="20"/>
              </w:rPr>
            </w:pPr>
            <w:r>
              <w:rPr>
                <w:sz w:val="20"/>
              </w:rPr>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tcPr>
          <w:p>
            <w:pPr>
              <w:pStyle w:val="Normal"/>
              <w:ind w:start="-180" w:end="0"/>
              <w:jc w:val="both"/>
              <w:rPr>
                <w:sz w:val="20"/>
              </w:rPr>
            </w:pPr>
            <w:r>
              <w:rPr>
                <w:rFonts w:eastAsia="Arial"/>
                <w:sz w:val="20"/>
              </w:rPr>
              <w:t xml:space="preserve">  </w:t>
            </w:r>
            <w:r>
              <w:rPr>
                <w:sz w:val="20"/>
              </w:rPr>
              <w:t>From:</w:t>
            </w:r>
          </w:p>
        </w:tc>
        <w:tc>
          <w:tcPr>
            <w:tcW w:w="5850" w:type="dxa"/>
            <w:tcBorders/>
          </w:tcPr>
          <w:p>
            <w:pPr>
              <w:pStyle w:val="From"/>
              <w:jc w:val="both"/>
              <w:rPr/>
            </w:pPr>
            <w:r>
              <w:rPr/>
              <w:t>Jeff Hodge</w:t>
            </w:r>
          </w:p>
        </w:tc>
        <w:tc>
          <w:tcPr>
            <w:tcW w:w="1440" w:type="dxa"/>
            <w:tcBorders/>
          </w:tcPr>
          <w:p>
            <w:pPr>
              <w:pStyle w:val="Normal"/>
              <w:ind w:start="-180" w:end="0"/>
              <w:jc w:val="both"/>
              <w:rPr>
                <w:sz w:val="20"/>
              </w:rPr>
            </w:pPr>
            <w:r>
              <w:rPr>
                <w:rFonts w:eastAsia="Arial"/>
                <w:sz w:val="20"/>
              </w:rPr>
              <w:t xml:space="preserve">   </w:t>
            </w:r>
            <w:r>
              <w:rPr>
                <w:sz w:val="20"/>
              </w:rPr>
              <w:t>Department:</w:t>
            </w:r>
          </w:p>
        </w:tc>
        <w:tc>
          <w:tcPr>
            <w:tcW w:w="2965" w:type="dxa"/>
            <w:tcBorders/>
          </w:tcPr>
          <w:p>
            <w:pPr>
              <w:pStyle w:val="Department"/>
              <w:jc w:val="both"/>
              <w:rPr/>
            </w:pPr>
            <w:bookmarkStart w:id="0" w:name="From"/>
            <w:bookmarkEnd w:id="0"/>
            <w:r>
              <w:rPr/>
              <w:t>ENA - Legal</w:t>
            </w:r>
          </w:p>
        </w:tc>
      </w:tr>
      <w:tr>
        <w:trPr>
          <w:trHeight w:val="200" w:hRule="atLeast"/>
        </w:trPr>
        <w:tc>
          <w:tcPr>
            <w:tcW w:w="1170" w:type="dxa"/>
            <w:tcBorders/>
          </w:tcPr>
          <w:p>
            <w:pPr>
              <w:pStyle w:val="Normal"/>
              <w:snapToGrid w:val="false"/>
              <w:ind w:start="-180" w:end="0"/>
              <w:jc w:val="both"/>
              <w:rPr>
                <w:sz w:val="20"/>
              </w:rPr>
            </w:pPr>
            <w:r>
              <w:rPr>
                <w:sz w:val="20"/>
              </w:rPr>
            </w:r>
          </w:p>
        </w:tc>
        <w:tc>
          <w:tcPr>
            <w:tcW w:w="5850" w:type="dxa"/>
            <w:tcBorders/>
          </w:tcPr>
          <w:p>
            <w:pPr>
              <w:pStyle w:val="Normal"/>
              <w:snapToGrid w:val="false"/>
              <w:jc w:val="both"/>
              <w:rPr>
                <w:sz w:val="20"/>
              </w:rPr>
            </w:pPr>
            <w:r>
              <w:rPr>
                <w:sz w:val="20"/>
              </w:rPr>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bottom w:val="single" w:sz="12" w:space="0" w:color="000000"/>
            </w:tcBorders>
          </w:tcPr>
          <w:p>
            <w:pPr>
              <w:pStyle w:val="Normal"/>
              <w:ind w:start="-180" w:end="0"/>
              <w:jc w:val="both"/>
              <w:rPr>
                <w:sz w:val="20"/>
              </w:rPr>
            </w:pPr>
            <w:r>
              <w:rPr>
                <w:rFonts w:eastAsia="Arial"/>
                <w:sz w:val="20"/>
              </w:rPr>
              <w:t xml:space="preserve">  </w:t>
            </w:r>
            <w:r>
              <w:rPr>
                <w:sz w:val="20"/>
              </w:rPr>
              <w:t>Subject:</w:t>
            </w:r>
          </w:p>
        </w:tc>
        <w:tc>
          <w:tcPr>
            <w:tcW w:w="5850" w:type="dxa"/>
            <w:tcBorders>
              <w:bottom w:val="single" w:sz="12" w:space="0" w:color="000000"/>
            </w:tcBorders>
          </w:tcPr>
          <w:p>
            <w:pPr>
              <w:pStyle w:val="Subject"/>
              <w:ind w:end="347"/>
              <w:rPr/>
            </w:pPr>
            <w:r>
              <w:rPr/>
              <w:t>The Peoples Gas Light Company ("</w:t>
            </w:r>
            <w:r>
              <w:rPr>
                <w:u w:val="single"/>
              </w:rPr>
              <w:t>Peoples</w:t>
            </w:r>
            <w:r>
              <w:rPr/>
              <w:t>")</w:t>
            </w:r>
          </w:p>
          <w:p>
            <w:pPr>
              <w:pStyle w:val="Subject"/>
              <w:ind w:end="347"/>
              <w:rPr/>
            </w:pPr>
            <w:r>
              <w:rPr/>
            </w:r>
          </w:p>
        </w:tc>
        <w:tc>
          <w:tcPr>
            <w:tcW w:w="1440" w:type="dxa"/>
            <w:tcBorders>
              <w:bottom w:val="single" w:sz="12" w:space="0" w:color="000000"/>
            </w:tcBorders>
          </w:tcPr>
          <w:p>
            <w:pPr>
              <w:pStyle w:val="Normal"/>
              <w:ind w:start="-180" w:end="0"/>
              <w:jc w:val="both"/>
              <w:rPr>
                <w:sz w:val="20"/>
              </w:rPr>
            </w:pPr>
            <w:r>
              <w:rPr>
                <w:rFonts w:eastAsia="Arial"/>
                <w:sz w:val="20"/>
              </w:rPr>
              <w:t xml:space="preserve">   </w:t>
            </w:r>
            <w:r>
              <w:rPr>
                <w:sz w:val="20"/>
              </w:rPr>
              <w:t>Date:</w:t>
            </w:r>
          </w:p>
        </w:tc>
        <w:tc>
          <w:tcPr>
            <w:tcW w:w="2965" w:type="dxa"/>
            <w:tcBorders>
              <w:bottom w:val="single" w:sz="12" w:space="0" w:color="000000"/>
            </w:tcBorders>
          </w:tcPr>
          <w:p>
            <w:pPr>
              <w:pStyle w:val="Date"/>
              <w:jc w:val="both"/>
              <w:rPr/>
            </w:pPr>
            <w:r>
              <w:rPr/>
              <w:t>July 13, 2000</w:t>
            </w:r>
          </w:p>
        </w:tc>
      </w:tr>
    </w:tbl>
    <w:p>
      <w:pPr>
        <w:pStyle w:val="Body"/>
        <w:ind w:start="0" w:end="0"/>
        <w:jc w:val="both"/>
        <w:rPr/>
      </w:pPr>
      <w:r>
        <w:rPr/>
      </w:r>
      <w:bookmarkStart w:id="1" w:name="StartOfMemo"/>
      <w:bookmarkStart w:id="2" w:name="StartOfMemo"/>
      <w:bookmarkEnd w:id="2"/>
    </w:p>
    <w:p>
      <w:pPr>
        <w:pStyle w:val="Body"/>
        <w:ind w:start="0" w:end="0"/>
        <w:jc w:val="both"/>
        <w:rPr/>
      </w:pPr>
      <w:r>
        <w:rPr/>
        <w:tab/>
        <w:t>I have reviewed the Master Natural Gas Contract by and between Midwest Energy Hub, L.L.C. and Peoples that was forwarded to Sheila Tweed.  It is my understanding that this was prepared by Simon Halfin.</w:t>
      </w:r>
    </w:p>
    <w:p>
      <w:pPr>
        <w:pStyle w:val="Body"/>
        <w:ind w:start="0" w:end="0"/>
        <w:jc w:val="both"/>
        <w:rPr/>
      </w:pPr>
      <w:r>
        <w:rPr/>
      </w:r>
    </w:p>
    <w:p>
      <w:pPr>
        <w:pStyle w:val="Body"/>
        <w:ind w:start="0" w:end="0"/>
        <w:jc w:val="both"/>
        <w:rPr/>
      </w:pPr>
      <w:r>
        <w:rPr/>
        <w:tab/>
        <w:t>As the document is essentially the same as the document entered between Peoples and Enron MW, L.L.C., I have no problems with MEH entering this document with Peoples.</w:t>
      </w:r>
    </w:p>
    <w:p>
      <w:pPr>
        <w:pStyle w:val="Body"/>
        <w:ind w:start="0" w:end="0"/>
        <w:jc w:val="both"/>
        <w:rPr/>
      </w:pPr>
      <w:r>
        <w:rPr/>
      </w:r>
    </w:p>
    <w:p>
      <w:pPr>
        <w:pStyle w:val="Body"/>
        <w:ind w:start="0" w:end="0"/>
        <w:jc w:val="both"/>
        <w:rPr/>
      </w:pPr>
      <w:r>
        <w:rPr/>
        <w:tab/>
        <w:t>I trust the foregoing meets your current needs.  Should you have any questions or comments, please contact me at your convenience.</w:t>
      </w:r>
    </w:p>
    <w:p>
      <w:pPr>
        <w:pStyle w:val="Body"/>
        <w:ind w:start="0" w:end="0"/>
        <w:jc w:val="both"/>
        <w:rPr/>
      </w:pPr>
      <w:r>
        <w:rPr/>
      </w:r>
    </w:p>
    <w:p>
      <w:pPr>
        <w:pStyle w:val="Body"/>
        <w:ind w:start="0" w:end="0"/>
        <w:jc w:val="both"/>
        <w:rPr/>
      </w:pPr>
      <w:r>
        <w:rPr/>
      </w:r>
    </w:p>
    <w:p>
      <w:pPr>
        <w:pStyle w:val="Body"/>
        <w:ind w:start="0" w:end="0"/>
        <w:jc w:val="both"/>
        <w:rPr/>
      </w:pPr>
      <w:r>
        <w:rPr/>
        <w:t xml:space="preserve">cc:  </w:t>
        <w:tab/>
        <w:t>Stacy Dickson</w:t>
      </w:r>
    </w:p>
    <w:p>
      <w:pPr>
        <w:pStyle w:val="Body"/>
        <w:ind w:start="0" w:end="0"/>
        <w:jc w:val="both"/>
        <w:rPr/>
      </w:pPr>
      <w:r>
        <w:rPr/>
        <w:tab/>
        <w:t>Kay Mann</w:t>
      </w:r>
    </w:p>
    <w:p>
      <w:pPr>
        <w:pStyle w:val="Body"/>
        <w:ind w:start="0" w:end="0"/>
        <w:jc w:val="both"/>
        <w:rPr/>
      </w:pPr>
      <w:r>
        <w:rPr/>
        <w:tab/>
        <w:t>Gregg Penman</w:t>
      </w:r>
    </w:p>
    <w:p>
      <w:pPr>
        <w:pStyle w:val="Body"/>
        <w:ind w:start="0" w:end="0"/>
        <w:jc w:val="both"/>
        <w:rPr/>
      </w:pPr>
      <w:r>
        <w:rPr/>
        <w:tab/>
        <w:t>Sheila Tweed</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pPr>
    <w:r>
      <w:rPr>
        <w:sz w:val="12"/>
      </w:rPr>
      <w:t>Form 000-</w:t>
    </w:r>
    <w:r>
      <w:rPr>
        <w:sz w:val="10"/>
      </w:rPr>
      <w:t>469-1 (7/92)</w:t>
    </w:r>
  </w:p>
  <w:p>
    <w:pPr>
      <w:pStyle w:val="Footer"/>
      <w:tabs>
        <w:tab w:val="clear" w:pos="4320"/>
        <w:tab w:val="left" w:pos="3780" w:leader="none"/>
        <w:tab w:val="center" w:pos="7560" w:leader="none"/>
        <w:tab w:val="right" w:pos="8640" w:leader="none"/>
        <w:tab w:val="right" w:pos="10800" w:leader="none"/>
      </w:tabs>
      <w:rPr>
        <w:sz w:val="14"/>
      </w:rPr>
    </w:pPr>
    <w:r>
      <w:rPr>
        <w:sz w:val="14"/>
      </w:rPr>
      <w:fldChar w:fldCharType="begin"/>
    </w:r>
    <w:r>
      <w:rPr>
        <w:sz w:val="14"/>
      </w:rPr>
      <w:instrText xml:space="preserve"> FILENAME \p </w:instrText>
    </w:r>
    <w:r>
      <w:rPr>
        <w:sz w:val="14"/>
      </w:rPr>
      <w:fldChar w:fldCharType="separate"/>
    </w:r>
    <w:r>
      <w:rPr>
        <w:sz w:val="14"/>
      </w:rPr>
      <w:t>/mnt/main-storage/datasets/enron-docs/doc/99233_00.doc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2465070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p>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194.1pt;mso-position-horizontal-relative:page">
              <v:fill opacity="0f"/>
              <v:textbox inset="0in,0in,0in,0in">
                <w:txbxContent>
                  <w:p>
                    <w:pPr>
                      <w:pStyle w:val="Heading1"/>
                      <w:rPr/>
                    </w:pPr>
                    <w:r>
                      <w:rPr/>
                      <w:t>Interoffice</w:t>
                    </w:r>
                  </w:p>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2000-07-13T13:12:00Z</dcterms:created>
  <dc:creator>Jeff Ford</dc:creator>
  <dc:description/>
  <dc:language>en-CA</dc:language>
  <cp:lastModifiedBy>jhelton</cp:lastModifiedBy>
  <cp:lastPrinted>2000-07-13T10:46:00Z</cp:lastPrinted>
  <dcterms:modified xsi:type="dcterms:W3CDTF">2000-07-13T13:37:00Z</dcterms:modified>
  <cp:revision>4</cp:revision>
  <dc:subject/>
  <dc:title>Eron Capital &amp; Trade Resources Memo</dc:title>
</cp:coreProperties>
</file>