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August 13, 1999</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Bruce Kiely</w:t>
      </w:r>
    </w:p>
    <w:p>
      <w:pPr>
        <w:pStyle w:val="Normal"/>
        <w:jc w:val="both"/>
        <w:rPr>
          <w:sz w:val="22"/>
        </w:rPr>
      </w:pPr>
      <w:r>
        <w:rPr>
          <w:sz w:val="22"/>
        </w:rPr>
        <w:t xml:space="preserve">via e-mail – </w:t>
      </w:r>
      <w:hyperlink r:id="rId2">
        <w:r>
          <w:rPr>
            <w:rStyle w:val="Hyperlink"/>
          </w:rPr>
          <w:t>bruce-keily@baker</w:t>
        </w:r>
      </w:hyperlink>
      <w:r>
        <w:rPr>
          <w:sz w:val="22"/>
          <w:u w:val="single"/>
        </w:rPr>
        <w:t>botts.com</w:t>
      </w:r>
    </w:p>
    <w:p>
      <w:pPr>
        <w:pStyle w:val="Normal"/>
        <w:jc w:val="both"/>
        <w:rPr>
          <w:sz w:val="22"/>
        </w:rPr>
      </w:pPr>
      <w:r>
        <w:rPr>
          <w:sz w:val="22"/>
        </w:rPr>
      </w:r>
    </w:p>
    <w:p>
      <w:pPr>
        <w:pStyle w:val="Normal"/>
        <w:jc w:val="both"/>
        <w:rPr>
          <w:sz w:val="22"/>
        </w:rPr>
      </w:pPr>
      <w:r>
        <w:rPr>
          <w:sz w:val="22"/>
        </w:rPr>
        <w:t>Dear Bruce:</w:t>
      </w:r>
    </w:p>
    <w:p>
      <w:pPr>
        <w:pStyle w:val="Normal"/>
        <w:jc w:val="both"/>
        <w:rPr>
          <w:sz w:val="22"/>
        </w:rPr>
      </w:pPr>
      <w:r>
        <w:rPr>
          <w:sz w:val="22"/>
        </w:rPr>
      </w:r>
    </w:p>
    <w:p>
      <w:pPr>
        <w:pStyle w:val="Normal"/>
        <w:jc w:val="both"/>
        <w:rPr>
          <w:sz w:val="22"/>
        </w:rPr>
      </w:pPr>
      <w:r>
        <w:rPr>
          <w:sz w:val="22"/>
        </w:rPr>
        <w:tab/>
        <w:t>I have received the comments of Enron Corp's. lawyers to your proposed changes to Guarantee.  Those comments are as follows:</w:t>
      </w:r>
    </w:p>
    <w:p>
      <w:pPr>
        <w:pStyle w:val="Normal"/>
        <w:jc w:val="both"/>
        <w:rPr>
          <w:sz w:val="22"/>
        </w:rPr>
      </w:pPr>
      <w:r>
        <w:rPr>
          <w:sz w:val="22"/>
        </w:rPr>
      </w:r>
    </w:p>
    <w:p>
      <w:pPr>
        <w:pStyle w:val="Normal"/>
        <w:ind w:hanging="270" w:start="990" w:end="0"/>
        <w:jc w:val="both"/>
        <w:rPr>
          <w:sz w:val="22"/>
        </w:rPr>
      </w:pPr>
      <w:r>
        <w:rPr>
          <w:sz w:val="22"/>
        </w:rPr>
        <w:t>1.</w:t>
        <w:tab/>
        <w:t>The word "indefeasible" in line 7 of Section 1 should be deleted.</w:t>
      </w:r>
    </w:p>
    <w:p>
      <w:pPr>
        <w:pStyle w:val="Normal"/>
        <w:ind w:hanging="270" w:start="990" w:end="0"/>
        <w:jc w:val="both"/>
        <w:rPr>
          <w:sz w:val="22"/>
        </w:rPr>
      </w:pPr>
      <w:r>
        <w:rPr>
          <w:sz w:val="22"/>
        </w:rPr>
      </w:r>
    </w:p>
    <w:p>
      <w:pPr>
        <w:pStyle w:val="Normal"/>
        <w:ind w:hanging="270" w:start="990" w:end="0"/>
        <w:jc w:val="both"/>
        <w:rPr>
          <w:sz w:val="22"/>
        </w:rPr>
      </w:pPr>
      <w:r>
        <w:rPr>
          <w:sz w:val="22"/>
        </w:rPr>
        <w:t>2.</w:t>
        <w:tab/>
        <w:t>The long insert in Section 1 beginning in line 13 should be replaced with the following:</w:t>
      </w:r>
    </w:p>
    <w:p>
      <w:pPr>
        <w:pStyle w:val="Normal"/>
        <w:ind w:hanging="270" w:start="990" w:end="0"/>
        <w:jc w:val="both"/>
        <w:rPr>
          <w:sz w:val="22"/>
        </w:rPr>
      </w:pPr>
      <w:r>
        <w:rPr>
          <w:sz w:val="22"/>
        </w:rPr>
      </w:r>
    </w:p>
    <w:p>
      <w:pPr>
        <w:pStyle w:val="BlockText"/>
        <w:rPr/>
      </w:pPr>
      <w:r>
        <w:rPr/>
        <w:tab/>
        <w:tab/>
        <w:t>If claim is ever made against FPL for repayment or recovery of any amount received by FPL from Enron or ECT in payment or on account of any of the Obligations, and if FPL is required to repay all or part of said amount by reason of any judgment, decree or order of any court or administrative body having jurisdiction over FPL or any of its property, then in such event Enron agrees that Enron shall be and remain liable hereunder for the amount so repaid or recovered to the same extent as if such amount had never originally been paid to FPL.</w:t>
      </w:r>
    </w:p>
    <w:p>
      <w:pPr>
        <w:pStyle w:val="Normal"/>
        <w:ind w:start="1350" w:end="720"/>
        <w:jc w:val="both"/>
        <w:rPr>
          <w:sz w:val="22"/>
        </w:rPr>
      </w:pPr>
      <w:r>
        <w:rPr>
          <w:sz w:val="22"/>
        </w:rPr>
      </w:r>
    </w:p>
    <w:p>
      <w:pPr>
        <w:pStyle w:val="Normal"/>
        <w:ind w:hanging="270" w:start="990" w:end="720"/>
        <w:jc w:val="both"/>
        <w:rPr>
          <w:sz w:val="22"/>
        </w:rPr>
      </w:pPr>
      <w:r>
        <w:rPr>
          <w:sz w:val="22"/>
        </w:rPr>
        <w:t>3.</w:t>
        <w:tab/>
        <w:t>Section 1(vii) should be rewritten as follows:</w:t>
      </w:r>
    </w:p>
    <w:p>
      <w:pPr>
        <w:pStyle w:val="Normal"/>
        <w:ind w:hanging="270" w:start="990" w:end="720"/>
        <w:jc w:val="both"/>
        <w:rPr>
          <w:sz w:val="22"/>
        </w:rPr>
      </w:pPr>
      <w:r>
        <w:rPr>
          <w:sz w:val="22"/>
        </w:rPr>
      </w:r>
    </w:p>
    <w:p>
      <w:pPr>
        <w:pStyle w:val="Normal"/>
        <w:ind w:start="1440" w:end="720"/>
        <w:jc w:val="both"/>
        <w:rPr>
          <w:sz w:val="22"/>
        </w:rPr>
      </w:pPr>
      <w:r>
        <w:rPr>
          <w:sz w:val="22"/>
        </w:rPr>
        <w:t>(vii) the release or waiver, by operation of law or otherwise, of the performance or observance by any guarantor, surety, endorser or other person or entity on behalf of Enron or ECT of any express or implied covenant, term or condition to be performed or observed by it under the Gas Sales Agreement or any related document.</w:t>
      </w:r>
    </w:p>
    <w:p>
      <w:pPr>
        <w:pStyle w:val="Normal"/>
        <w:ind w:start="1440" w:end="720"/>
        <w:jc w:val="both"/>
        <w:rPr>
          <w:sz w:val="22"/>
        </w:rPr>
      </w:pPr>
      <w:r>
        <w:rPr>
          <w:sz w:val="22"/>
        </w:rPr>
      </w:r>
    </w:p>
    <w:p>
      <w:pPr>
        <w:pStyle w:val="Normal"/>
        <w:ind w:hanging="270" w:start="990" w:end="720"/>
        <w:jc w:val="both"/>
        <w:rPr>
          <w:sz w:val="22"/>
        </w:rPr>
      </w:pPr>
      <w:r>
        <w:rPr>
          <w:sz w:val="22"/>
        </w:rPr>
        <w:t>4.</w:t>
        <w:tab/>
        <w:t>In Section 1(viii), the words "on behalf of Enron or ECT" should be inserted after the words "or any other party".</w:t>
      </w:r>
    </w:p>
    <w:p>
      <w:pPr>
        <w:pStyle w:val="Normal"/>
        <w:ind w:hanging="270" w:start="990" w:end="720"/>
        <w:jc w:val="both"/>
        <w:rPr>
          <w:sz w:val="22"/>
        </w:rPr>
      </w:pPr>
      <w:r>
        <w:rPr>
          <w:sz w:val="22"/>
        </w:rPr>
      </w:r>
    </w:p>
    <w:p>
      <w:pPr>
        <w:pStyle w:val="Normal"/>
        <w:ind w:hanging="270" w:start="990" w:end="720"/>
        <w:jc w:val="both"/>
        <w:rPr>
          <w:sz w:val="22"/>
        </w:rPr>
      </w:pPr>
      <w:r>
        <w:rPr>
          <w:sz w:val="22"/>
        </w:rPr>
        <w:t>5.</w:t>
        <w:tab/>
        <w:t>On the remainder of page 12, the deleted words "which consent shall not be unreasonably withheld" and "reasonably" should be reinserted and the word "indefeasibly" should be deleted.</w:t>
      </w:r>
    </w:p>
    <w:p>
      <w:pPr>
        <w:pStyle w:val="Normal"/>
        <w:ind w:hanging="270" w:start="990" w:end="720"/>
        <w:jc w:val="both"/>
        <w:rPr>
          <w:sz w:val="22"/>
        </w:rPr>
      </w:pPr>
      <w:r>
        <w:rPr>
          <w:sz w:val="22"/>
        </w:rPr>
      </w:r>
    </w:p>
    <w:p>
      <w:pPr>
        <w:pStyle w:val="BodyText"/>
        <w:rPr/>
      </w:pPr>
      <w:r>
        <w:rPr/>
        <w:t>I trust this makes some sense.  Bruce, I am forwarding this only to you as I presume the FPL deal team would not be interested in this.</w:t>
      </w:r>
    </w:p>
    <w:p>
      <w:pPr>
        <w:pStyle w:val="Normal"/>
        <w:ind w:end="720"/>
        <w:jc w:val="both"/>
        <w:rPr>
          <w:sz w:val="22"/>
        </w:rPr>
      </w:pPr>
      <w:r>
        <w:rPr>
          <w:sz w:val="22"/>
        </w:rPr>
      </w:r>
    </w:p>
    <w:p>
      <w:pPr>
        <w:pStyle w:val="Normal"/>
        <w:ind w:end="720"/>
        <w:jc w:val="both"/>
        <w:rPr>
          <w:sz w:val="22"/>
        </w:rPr>
      </w:pPr>
      <w:r>
        <w:rPr>
          <w:sz w:val="22"/>
        </w:rPr>
        <w:tab/>
        <w:tab/>
        <w:tab/>
        <w:tab/>
        <w:tab/>
        <w:tab/>
        <w:tab/>
        <w:t>Sincerely yours,</w:t>
      </w:r>
    </w:p>
    <w:p>
      <w:pPr>
        <w:pStyle w:val="Normal"/>
        <w:ind w:end="720"/>
        <w:jc w:val="both"/>
        <w:rPr>
          <w:sz w:val="22"/>
        </w:rPr>
      </w:pPr>
      <w:r>
        <w:rPr>
          <w:sz w:val="22"/>
        </w:rPr>
      </w:r>
    </w:p>
    <w:p>
      <w:pPr>
        <w:pStyle w:val="Normal"/>
        <w:ind w:end="720"/>
        <w:jc w:val="both"/>
        <w:rPr>
          <w:sz w:val="22"/>
        </w:rPr>
      </w:pPr>
      <w:r>
        <w:rPr>
          <w:sz w:val="22"/>
        </w:rPr>
        <w:tab/>
        <w:tab/>
        <w:tab/>
        <w:tab/>
        <w:tab/>
        <w:tab/>
        <w:tab/>
        <w:t>Jeff Hodge</w:t>
      </w:r>
    </w:p>
    <w:p>
      <w:pPr>
        <w:pStyle w:val="Normal"/>
        <w:ind w:end="720"/>
        <w:jc w:val="both"/>
        <w:rPr>
          <w:sz w:val="22"/>
        </w:rPr>
      </w:pPr>
      <w:r>
        <w:rPr>
          <w:sz w:val="22"/>
        </w:rPr>
      </w:r>
    </w:p>
    <w:p>
      <w:pPr>
        <w:pStyle w:val="Normal"/>
        <w:ind w:end="720"/>
        <w:jc w:val="both"/>
        <w:rPr>
          <w:sz w:val="22"/>
        </w:rPr>
      </w:pPr>
      <w:r>
        <w:rPr>
          <w:sz w:val="22"/>
        </w:rPr>
        <w:t>cc:  Ozzie Pagan</w:t>
      </w:r>
    </w:p>
    <w:p>
      <w:pPr>
        <w:pStyle w:val="Normal"/>
        <w:ind w:end="720"/>
        <w:jc w:val="both"/>
        <w:rPr>
          <w:sz w:val="22"/>
        </w:rPr>
      </w:pPr>
      <w:r>
        <w:rPr>
          <w:sz w:val="22"/>
        </w:rPr>
        <w:t xml:space="preserve">       </w:t>
      </w:r>
      <w:r>
        <w:rPr>
          <w:sz w:val="22"/>
        </w:rPr>
        <w:t>Dan Hyvl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2"/>
    </w:rPr>
  </w:style>
  <w:style w:type="paragraph" w:styleId="BlockText">
    <w:name w:val="Block Text"/>
    <w:basedOn w:val="Normal"/>
    <w:qFormat/>
    <w:pPr>
      <w:ind w:hanging="0" w:start="1350" w:end="7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uce-keily@bake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1999-08-13T18:22:00Z</dcterms:created>
  <dc:creator>jhelton</dc:creator>
  <dc:description/>
  <dc:language>en-CA</dc:language>
  <cp:lastModifiedBy>jhelton</cp:lastModifiedBy>
  <cp:lastPrinted>1999-08-13T16:18:00Z</cp:lastPrinted>
  <dcterms:modified xsi:type="dcterms:W3CDTF">1999-08-13T18:48:00Z</dcterms:modified>
  <cp:revision>2</cp:revision>
  <dc:subject/>
  <dc:title>August 13, 1999</dc:title>
</cp:coreProperties>
</file>