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 xml:space="preserve">BEFORE THE </w:t>
      </w:r>
    </w:p>
    <w:p>
      <w:pPr>
        <w:pStyle w:val="Normal"/>
        <w:jc w:val="center"/>
        <w:rPr>
          <w:b/>
          <w:sz w:val="24"/>
        </w:rPr>
      </w:pPr>
      <w:r>
        <w:rPr>
          <w:b/>
          <w:sz w:val="24"/>
        </w:rPr>
        <w:t>PUBLIC UTILITIES COMMISSION</w:t>
      </w:r>
    </w:p>
    <w:p>
      <w:pPr>
        <w:pStyle w:val="Normal"/>
        <w:jc w:val="center"/>
        <w:rPr>
          <w:b/>
          <w:sz w:val="24"/>
        </w:rPr>
      </w:pPr>
      <w:r>
        <w:rPr>
          <w:b/>
          <w:sz w:val="24"/>
        </w:rPr>
        <w:t>OF THE</w:t>
      </w:r>
    </w:p>
    <w:p>
      <w:pPr>
        <w:pStyle w:val="Normal"/>
        <w:jc w:val="center"/>
        <w:rPr>
          <w:sz w:val="24"/>
        </w:rPr>
      </w:pPr>
      <w:r>
        <w:rPr>
          <w:b/>
          <w:sz w:val="24"/>
        </w:rPr>
        <w:t>STATE OF CALIFORNIA</w:t>
      </w:r>
    </w:p>
    <w:p>
      <w:pPr>
        <w:pStyle w:val="Normal"/>
        <w:rPr>
          <w:sz w:val="24"/>
        </w:rPr>
      </w:pPr>
      <w:r>
        <w:rPr>
          <w:sz w:val="24"/>
        </w:rPr>
      </w:r>
    </w:p>
    <w:p>
      <w:pPr>
        <w:pStyle w:val="Normal"/>
        <w:rPr>
          <w:sz w:val="24"/>
        </w:rPr>
      </w:pPr>
      <w:r>
        <w:rPr>
          <w:sz w:val="24"/>
        </w:rPr>
      </w:r>
    </w:p>
    <w:p>
      <w:pPr>
        <w:pStyle w:val="Normal"/>
        <w:rPr>
          <w:sz w:val="24"/>
        </w:rPr>
      </w:pPr>
      <w:r>
        <w:rPr>
          <w:sz w:val="24"/>
        </w:rPr>
        <w:t>Investigation on the Commission’s Own Motion to</w:t>
        <w:tab/>
        <w:t>)</w:t>
      </w:r>
    </w:p>
    <w:p>
      <w:pPr>
        <w:pStyle w:val="Normal"/>
        <w:rPr>
          <w:sz w:val="24"/>
        </w:rPr>
      </w:pPr>
      <w:r>
        <w:rPr>
          <w:sz w:val="24"/>
        </w:rPr>
        <w:t>Consider the costs and Benefits of Various</w:t>
        <w:tab/>
        <w:tab/>
        <w:t>)</w:t>
      </w:r>
    </w:p>
    <w:p>
      <w:pPr>
        <w:pStyle w:val="Normal"/>
        <w:rPr>
          <w:sz w:val="24"/>
        </w:rPr>
      </w:pPr>
      <w:r>
        <w:rPr>
          <w:sz w:val="24"/>
        </w:rPr>
        <w:t>Promising Revisions to the Regulatory and Market</w:t>
        <w:tab/>
        <w:t>)</w:t>
        <w:tab/>
        <w:t>I.99-07-003</w:t>
      </w:r>
    </w:p>
    <w:p>
      <w:pPr>
        <w:pStyle w:val="Normal"/>
        <w:rPr>
          <w:sz w:val="24"/>
        </w:rPr>
      </w:pPr>
      <w:r>
        <w:rPr>
          <w:sz w:val="24"/>
        </w:rPr>
        <w:t xml:space="preserve">Structure Governing California’s Natural Gas </w:t>
        <w:tab/>
        <w:t>)</w:t>
      </w:r>
    </w:p>
    <w:p>
      <w:pPr>
        <w:pStyle w:val="Normal"/>
        <w:rPr>
          <w:sz w:val="24"/>
        </w:rPr>
      </w:pPr>
      <w:r>
        <w:rPr>
          <w:sz w:val="24"/>
        </w:rPr>
        <w:t>Industry and to Report to the California Legislature</w:t>
        <w:tab/>
        <w:t>)</w:t>
      </w:r>
    </w:p>
    <w:p>
      <w:pPr>
        <w:pStyle w:val="Normal"/>
        <w:rPr>
          <w:sz w:val="24"/>
        </w:rPr>
      </w:pPr>
      <w:r>
        <w:rPr>
          <w:sz w:val="24"/>
        </w:rPr>
        <w:t>on the Commission’s Findings.</w:t>
        <w:tab/>
        <w:tab/>
        <w:tab/>
        <w: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b/>
          <w:sz w:val="24"/>
        </w:rPr>
      </w:pPr>
      <w:r>
        <w:rPr>
          <w:b/>
          <w:sz w:val="24"/>
        </w:rPr>
        <w:t>COMMENTS OF THE</w:t>
      </w:r>
    </w:p>
    <w:p>
      <w:pPr>
        <w:pStyle w:val="Normal"/>
        <w:jc w:val="center"/>
        <w:rPr>
          <w:b/>
          <w:sz w:val="24"/>
        </w:rPr>
      </w:pPr>
      <w:r>
        <w:rPr>
          <w:b/>
          <w:sz w:val="24"/>
        </w:rPr>
        <w:t>CALIFORNIA INDUSTRIAL GROUP AND</w:t>
      </w:r>
    </w:p>
    <w:p>
      <w:pPr>
        <w:pStyle w:val="Normal"/>
        <w:jc w:val="center"/>
        <w:rPr>
          <w:b/>
          <w:sz w:val="24"/>
        </w:rPr>
      </w:pPr>
      <w:r>
        <w:rPr>
          <w:b/>
          <w:sz w:val="24"/>
        </w:rPr>
        <w:t>CALIFORNIA MANUFACTURERS ASSOCIATION ON</w:t>
      </w:r>
    </w:p>
    <w:p>
      <w:pPr>
        <w:pStyle w:val="Normal"/>
        <w:jc w:val="center"/>
        <w:rPr>
          <w:b/>
          <w:sz w:val="24"/>
        </w:rPr>
      </w:pPr>
      <w:r>
        <w:rPr>
          <w:b/>
          <w:sz w:val="24"/>
        </w:rPr>
        <w:t>PROPOSED SETTLEMENT OF OPERATIONAL FLOW ORDER PROTOCOL</w:t>
      </w:r>
    </w:p>
    <w:p>
      <w:pPr>
        <w:pStyle w:val="Normal"/>
        <w:jc w:val="center"/>
        <w:rPr>
          <w:b/>
          <w:sz w:val="24"/>
        </w:rPr>
      </w:pPr>
      <w:r>
        <w:rPr>
          <w:b/>
          <w:sz w:val="24"/>
        </w:rPr>
        <w:t>ON PACIFIC GAS AND ELECTRIC COMPANY’S GAS SYSTEM</w:t>
      </w:r>
    </w:p>
    <w:p>
      <w:pPr>
        <w:pStyle w:val="Normal"/>
        <w:jc w:val="center"/>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ab/>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ab/>
        <w:t>Keith R. McCrea</w:t>
      </w:r>
    </w:p>
    <w:p>
      <w:pPr>
        <w:pStyle w:val="Normal"/>
        <w:ind w:end="-180"/>
        <w:rPr>
          <w:sz w:val="24"/>
        </w:rPr>
      </w:pPr>
      <w:r>
        <w:rPr>
          <w:sz w:val="24"/>
        </w:rPr>
        <w:tab/>
        <w:tab/>
        <w:tab/>
        <w:tab/>
        <w:tab/>
        <w:tab/>
        <w:tab/>
      </w:r>
      <w:r>
        <w:rPr>
          <w:smallCaps/>
          <w:sz w:val="24"/>
        </w:rPr>
        <w:t>Sutherland Asbill &amp; Brennan LLP</w:t>
      </w:r>
    </w:p>
    <w:p>
      <w:pPr>
        <w:pStyle w:val="Normal"/>
        <w:rPr>
          <w:sz w:val="24"/>
        </w:rPr>
      </w:pPr>
      <w:r>
        <w:rPr>
          <w:sz w:val="24"/>
        </w:rPr>
        <w:tab/>
        <w:tab/>
        <w:tab/>
        <w:tab/>
        <w:tab/>
        <w:tab/>
        <w:tab/>
        <w:t>1275 Pennsylvania Avenue, N.W.</w:t>
      </w:r>
    </w:p>
    <w:p>
      <w:pPr>
        <w:pStyle w:val="Normal"/>
        <w:rPr>
          <w:sz w:val="24"/>
        </w:rPr>
      </w:pPr>
      <w:r>
        <w:rPr>
          <w:sz w:val="24"/>
        </w:rPr>
        <w:tab/>
        <w:tab/>
        <w:tab/>
        <w:tab/>
        <w:tab/>
        <w:tab/>
        <w:tab/>
        <w:t>Washington, D.C. 20004</w:t>
      </w:r>
    </w:p>
    <w:p>
      <w:pPr>
        <w:pStyle w:val="Normal"/>
        <w:rPr>
          <w:sz w:val="24"/>
        </w:rPr>
      </w:pPr>
      <w:r>
        <w:rPr>
          <w:sz w:val="24"/>
        </w:rPr>
        <w:tab/>
        <w:tab/>
        <w:tab/>
        <w:tab/>
        <w:tab/>
        <w:tab/>
        <w:tab/>
        <w:t>(202) 383-0705</w:t>
      </w:r>
    </w:p>
    <w:p>
      <w:pPr>
        <w:pStyle w:val="Normal"/>
        <w:rPr>
          <w:sz w:val="24"/>
        </w:rPr>
      </w:pPr>
      <w:r>
        <w:rPr>
          <w:sz w:val="24"/>
        </w:rPr>
      </w:r>
    </w:p>
    <w:p>
      <w:pPr>
        <w:pStyle w:val="Normal"/>
        <w:rPr>
          <w:sz w:val="24"/>
        </w:rPr>
      </w:pPr>
      <w:r>
        <w:rPr>
          <w:sz w:val="24"/>
        </w:rPr>
        <w:tab/>
        <w:tab/>
        <w:tab/>
        <w:tab/>
        <w:tab/>
        <w:tab/>
        <w:tab/>
        <w:t>Attorney for the</w:t>
      </w:r>
    </w:p>
    <w:p>
      <w:pPr>
        <w:pStyle w:val="Normal"/>
        <w:rPr>
          <w:sz w:val="24"/>
        </w:rPr>
      </w:pPr>
      <w:r>
        <w:rPr>
          <w:sz w:val="24"/>
        </w:rPr>
        <w:tab/>
        <w:tab/>
        <w:tab/>
        <w:tab/>
        <w:tab/>
        <w:tab/>
        <w:tab/>
        <w:t xml:space="preserve">California Industrial Group and </w:t>
      </w:r>
    </w:p>
    <w:p>
      <w:pPr>
        <w:pStyle w:val="Normal"/>
        <w:ind w:end="-180"/>
        <w:rPr>
          <w:sz w:val="24"/>
        </w:rPr>
      </w:pPr>
      <w:r>
        <w:rPr>
          <w:sz w:val="24"/>
        </w:rPr>
        <w:tab/>
        <w:tab/>
        <w:tab/>
        <w:tab/>
        <w:tab/>
        <w:tab/>
        <w:tab/>
        <w:t>California Manufacturers Association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sz w:val="24"/>
        </w:rPr>
        <w:t>November 19, 1999</w:t>
      </w:r>
      <w:r>
        <w:br w:type="page"/>
      </w:r>
    </w:p>
    <w:p>
      <w:pPr>
        <w:pStyle w:val="Normal"/>
        <w:jc w:val="center"/>
        <w:rPr>
          <w:b/>
          <w:sz w:val="24"/>
        </w:rPr>
      </w:pPr>
      <w:r>
        <w:rPr>
          <w:b/>
          <w:sz w:val="24"/>
        </w:rPr>
        <w:t xml:space="preserve">BEFORE THE </w:t>
      </w:r>
    </w:p>
    <w:p>
      <w:pPr>
        <w:pStyle w:val="Normal"/>
        <w:jc w:val="center"/>
        <w:rPr>
          <w:b/>
          <w:sz w:val="24"/>
        </w:rPr>
      </w:pPr>
      <w:r>
        <w:rPr>
          <w:b/>
          <w:sz w:val="24"/>
        </w:rPr>
        <w:t>PUBLIC UTILITIES COMMISSION</w:t>
      </w:r>
    </w:p>
    <w:p>
      <w:pPr>
        <w:pStyle w:val="Normal"/>
        <w:jc w:val="center"/>
        <w:rPr>
          <w:b/>
          <w:sz w:val="24"/>
        </w:rPr>
      </w:pPr>
      <w:r>
        <w:rPr>
          <w:b/>
          <w:sz w:val="24"/>
        </w:rPr>
        <w:t>OF THE</w:t>
      </w:r>
    </w:p>
    <w:p>
      <w:pPr>
        <w:pStyle w:val="Normal"/>
        <w:jc w:val="center"/>
        <w:rPr>
          <w:sz w:val="24"/>
        </w:rPr>
      </w:pPr>
      <w:r>
        <w:rPr>
          <w:b/>
          <w:sz w:val="24"/>
        </w:rPr>
        <w:t>STATE OF CALIFORNIA</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Investigation on the Commission’s Own Motion to</w:t>
        <w:tab/>
        <w:t>)</w:t>
      </w:r>
    </w:p>
    <w:p>
      <w:pPr>
        <w:pStyle w:val="Normal"/>
        <w:rPr>
          <w:sz w:val="24"/>
        </w:rPr>
      </w:pPr>
      <w:r>
        <w:rPr>
          <w:sz w:val="24"/>
        </w:rPr>
        <w:t>Consider the costs and Benefits of Various</w:t>
        <w:tab/>
        <w:tab/>
        <w:t>)</w:t>
      </w:r>
    </w:p>
    <w:p>
      <w:pPr>
        <w:pStyle w:val="Normal"/>
        <w:rPr>
          <w:sz w:val="24"/>
        </w:rPr>
      </w:pPr>
      <w:r>
        <w:rPr>
          <w:sz w:val="24"/>
        </w:rPr>
        <w:t>Promising Revisions to the Regulatory and Market</w:t>
        <w:tab/>
        <w:t>)</w:t>
        <w:tab/>
        <w:t>I.99-07-003</w:t>
      </w:r>
    </w:p>
    <w:p>
      <w:pPr>
        <w:pStyle w:val="Normal"/>
        <w:rPr>
          <w:sz w:val="24"/>
        </w:rPr>
      </w:pPr>
      <w:r>
        <w:rPr>
          <w:sz w:val="24"/>
        </w:rPr>
        <w:t xml:space="preserve">Structure Governing California’s Natural Gas </w:t>
        <w:tab/>
        <w:t>)</w:t>
      </w:r>
    </w:p>
    <w:p>
      <w:pPr>
        <w:pStyle w:val="Normal"/>
        <w:rPr>
          <w:sz w:val="24"/>
        </w:rPr>
      </w:pPr>
      <w:r>
        <w:rPr>
          <w:sz w:val="24"/>
        </w:rPr>
        <w:t>Industry and to Report to the California Legislature</w:t>
        <w:tab/>
        <w:t>)</w:t>
      </w:r>
    </w:p>
    <w:p>
      <w:pPr>
        <w:pStyle w:val="Normal"/>
        <w:rPr>
          <w:sz w:val="24"/>
        </w:rPr>
      </w:pPr>
      <w:r>
        <w:rPr>
          <w:sz w:val="24"/>
        </w:rPr>
        <w:t>on the Commission’s Findings.</w:t>
        <w:tab/>
        <w:tab/>
        <w:tab/>
        <w: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b/>
          <w:sz w:val="24"/>
        </w:rPr>
      </w:pPr>
      <w:r>
        <w:rPr>
          <w:b/>
          <w:sz w:val="24"/>
        </w:rPr>
        <w:t>COMMENTS OF THE</w:t>
      </w:r>
    </w:p>
    <w:p>
      <w:pPr>
        <w:pStyle w:val="Normal"/>
        <w:jc w:val="center"/>
        <w:rPr>
          <w:b/>
          <w:sz w:val="24"/>
        </w:rPr>
      </w:pPr>
      <w:r>
        <w:rPr>
          <w:b/>
          <w:sz w:val="24"/>
        </w:rPr>
        <w:t>CALIFORNIA INDUSTRIAL GROUP AND</w:t>
      </w:r>
    </w:p>
    <w:p>
      <w:pPr>
        <w:pStyle w:val="Normal"/>
        <w:jc w:val="center"/>
        <w:rPr>
          <w:b/>
          <w:sz w:val="24"/>
        </w:rPr>
      </w:pPr>
      <w:r>
        <w:rPr>
          <w:b/>
          <w:sz w:val="24"/>
        </w:rPr>
        <w:t>CALIFORNIA MANUFACTURERS ASSOCIATION ON</w:t>
      </w:r>
    </w:p>
    <w:p>
      <w:pPr>
        <w:pStyle w:val="Normal"/>
        <w:jc w:val="center"/>
        <w:rPr>
          <w:b/>
          <w:sz w:val="24"/>
        </w:rPr>
      </w:pPr>
      <w:r>
        <w:rPr>
          <w:b/>
          <w:sz w:val="24"/>
        </w:rPr>
        <w:t>PROPOSED SETTLEMENT OF OPERATIONAL FLOW ORDER PROTOCOL</w:t>
      </w:r>
    </w:p>
    <w:p>
      <w:pPr>
        <w:pStyle w:val="Normal"/>
        <w:jc w:val="center"/>
        <w:rPr>
          <w:b/>
          <w:sz w:val="24"/>
        </w:rPr>
      </w:pPr>
      <w:r>
        <w:rPr>
          <w:b/>
          <w:sz w:val="24"/>
        </w:rPr>
        <w:t>ON PACIFIC GAS AND ELECTRIC COMPANY’S GAS SYSTEM</w:t>
      </w:r>
    </w:p>
    <w:p>
      <w:pPr>
        <w:pStyle w:val="Normal"/>
        <w:jc w:val="center"/>
        <w:rPr>
          <w:b/>
          <w:sz w:val="24"/>
        </w:rPr>
      </w:pPr>
      <w:r>
        <w:rPr>
          <w:b/>
          <w:sz w:val="24"/>
        </w:rPr>
      </w:r>
    </w:p>
    <w:p>
      <w:pPr>
        <w:pStyle w:val="Normal"/>
        <w:spacing w:lineRule="atLeast" w:line="480"/>
        <w:jc w:val="both"/>
        <w:rPr>
          <w:sz w:val="24"/>
        </w:rPr>
      </w:pPr>
      <w:r>
        <w:rPr>
          <w:sz w:val="24"/>
        </w:rPr>
        <w:tab/>
        <w:t>In accordance with Rule 51 of the Commission’s Rules, the California Industrial Group and California Manufacturers Association (CIG/CMA) hereby submit their comments in response to the “Joint Motion Requesting Adoption of Settlement of Operational Flow Order Protocols on Pacific Gas and Electric Company’s Gas System,” submitted October 22, 1999.</w:t>
      </w:r>
    </w:p>
    <w:p>
      <w:pPr>
        <w:pStyle w:val="Normal"/>
        <w:spacing w:lineRule="atLeast" w:line="480"/>
        <w:jc w:val="both"/>
        <w:rPr>
          <w:sz w:val="24"/>
        </w:rPr>
      </w:pPr>
      <w:r>
        <w:rPr>
          <w:sz w:val="24"/>
        </w:rPr>
        <w:tab/>
        <w:t xml:space="preserve">CIG/CMA actively participated in the settlement discussions, but did not sign the settlement agreement because, in our view, the settlement is unlikely to reduce the number of OFOs on the PG&amp;E system.  The settlement fails to take meaningful measures to reduce the number of OFOs, including making customer-specific OFOs a more effective remedy.  As a practical matter, the actions of one or two large shippers on the PG&amp;E system can determine whether or not an OFO will be called.  Rather than burden all shippers with OFO compliance, CIG/CMA believe that the initial focus should be on customer-specific OFOs.  For those customers whose actions frequently cause the OFOs, CIG/CMA believe that disclosing the identity of these “repeat offenders” would be a meaningful first step towards developing an effective deterrent.  The settlement fails to incorporate any such measures.  </w:t>
      </w:r>
    </w:p>
    <w:p>
      <w:pPr>
        <w:pStyle w:val="Normal"/>
        <w:spacing w:lineRule="atLeast" w:line="480"/>
        <w:jc w:val="both"/>
        <w:rPr>
          <w:sz w:val="24"/>
        </w:rPr>
      </w:pPr>
      <w:r>
        <w:rPr>
          <w:sz w:val="24"/>
        </w:rPr>
        <w:tab/>
        <w:t xml:space="preserve">The settlement does require PG&amp;E to provide a substantial amount of new information on its website.  This information may be useful to all participants, but time will tell whether the information is being used by shippers to improve compliance or simply to better “game” the system and thereby increase the number of OFOs.  Thus, a shipper’s actions over the course of several days  could cause an OFO to be called and yet because better information is available, allow the shipper who caused the OFO to avoid OFO penalties on the day in question.  CIG/CMA also are concerned that the desire to reduce the number of OFOs may not be shared by all market participants.  In some cases, CIG/CMA members believe that the “OFO problem” is being used by marketers to justify higher prices from consumers.  </w:t>
      </w:r>
    </w:p>
    <w:p>
      <w:pPr>
        <w:pStyle w:val="Normal"/>
        <w:spacing w:lineRule="atLeast" w:line="480"/>
        <w:jc w:val="both"/>
        <w:rPr>
          <w:sz w:val="24"/>
        </w:rPr>
      </w:pPr>
      <w:r>
        <w:rPr>
          <w:sz w:val="24"/>
        </w:rPr>
        <w:tab/>
        <w:t>In sum, although CIG/CMA does not oppose adoption of the settlement, we are disappointed that the settlement does not propose more effective measures for reducing the numbers of OFOs.  The settlement would establish a Gas OFO Forum which may prove to be a useful vehicle for</w:t>
      </w:r>
      <w:r>
        <w:br w:type="page"/>
      </w:r>
    </w:p>
    <w:p>
      <w:pPr>
        <w:pStyle w:val="Normal"/>
        <w:spacing w:lineRule="atLeast" w:line="480"/>
        <w:jc w:val="both"/>
        <w:rPr>
          <w:sz w:val="24"/>
        </w:rPr>
      </w:pPr>
      <w:r>
        <w:rPr>
          <w:sz w:val="24"/>
        </w:rPr>
        <w:t xml:space="preserve"> </w:t>
      </w:r>
      <w:r>
        <w:rPr>
          <w:sz w:val="24"/>
        </w:rPr>
        <w:t>eventually achieving more effective measures.  CIG/CMA intends to pursue measures to reduce the number of OFOs and to address its other concerns through the Gas OFO Forum.</w:t>
      </w:r>
    </w:p>
    <w:p>
      <w:pPr>
        <w:pStyle w:val="Normal"/>
        <w:spacing w:lineRule="atLeast" w:line="480"/>
        <w:jc w:val="both"/>
        <w:rPr>
          <w:sz w:val="24"/>
        </w:rPr>
      </w:pPr>
      <w:r>
        <w:rPr>
          <w:sz w:val="24"/>
        </w:rPr>
        <w:tab/>
        <w:tab/>
        <w:tab/>
        <w:tab/>
        <w:tab/>
        <w:tab/>
        <w:tab/>
        <w:t>Respectfully submitted,</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start="4320" w:end="-180"/>
        <w:jc w:val="both"/>
        <w:rPr>
          <w:sz w:val="24"/>
        </w:rPr>
      </w:pPr>
      <w:r>
        <w:rPr>
          <w:sz w:val="24"/>
        </w:rPr>
        <w:tab/>
        <w:tab/>
        <w:tab/>
        <w:tab/>
        <w:tab/>
        <w:tab/>
        <w:tab/>
        <w:t>_______________________________</w:t>
      </w:r>
    </w:p>
    <w:p>
      <w:pPr>
        <w:pStyle w:val="Normal"/>
        <w:jc w:val="both"/>
        <w:rPr>
          <w:sz w:val="24"/>
        </w:rPr>
      </w:pPr>
      <w:r>
        <w:rPr>
          <w:sz w:val="24"/>
        </w:rPr>
        <w:tab/>
        <w:tab/>
        <w:tab/>
        <w:tab/>
        <w:tab/>
        <w:tab/>
        <w:tab/>
        <w:t>Keith R. McCrea</w:t>
      </w:r>
    </w:p>
    <w:p>
      <w:pPr>
        <w:pStyle w:val="Normal"/>
        <w:ind w:end="-450"/>
        <w:jc w:val="both"/>
        <w:rPr>
          <w:sz w:val="24"/>
        </w:rPr>
      </w:pPr>
      <w:r>
        <w:rPr>
          <w:sz w:val="24"/>
        </w:rPr>
        <w:tab/>
        <w:tab/>
        <w:tab/>
        <w:tab/>
        <w:tab/>
        <w:tab/>
        <w:tab/>
      </w:r>
      <w:r>
        <w:rPr>
          <w:smallCaps/>
          <w:sz w:val="24"/>
        </w:rPr>
        <w:t>Sutherland Asbill &amp; Brennan LLP</w:t>
      </w:r>
    </w:p>
    <w:p>
      <w:pPr>
        <w:pStyle w:val="Normal"/>
        <w:jc w:val="both"/>
        <w:rPr>
          <w:sz w:val="24"/>
        </w:rPr>
      </w:pPr>
      <w:r>
        <w:rPr>
          <w:sz w:val="24"/>
        </w:rPr>
        <w:tab/>
        <w:tab/>
        <w:tab/>
        <w:tab/>
        <w:tab/>
        <w:tab/>
        <w:tab/>
        <w:t>1275 Pennsylvania Avenue, N.W.</w:t>
      </w:r>
    </w:p>
    <w:p>
      <w:pPr>
        <w:pStyle w:val="Normal"/>
        <w:jc w:val="both"/>
        <w:rPr>
          <w:sz w:val="24"/>
        </w:rPr>
      </w:pPr>
      <w:r>
        <w:rPr>
          <w:sz w:val="24"/>
        </w:rPr>
        <w:tab/>
        <w:tab/>
        <w:tab/>
        <w:tab/>
        <w:tab/>
        <w:tab/>
        <w:tab/>
        <w:t>Washington, D.C.  20004</w:t>
      </w:r>
    </w:p>
    <w:p>
      <w:pPr>
        <w:pStyle w:val="Normal"/>
        <w:jc w:val="both"/>
        <w:rPr>
          <w:sz w:val="24"/>
        </w:rPr>
      </w:pPr>
      <w:r>
        <w:rPr>
          <w:sz w:val="24"/>
        </w:rPr>
        <w:tab/>
        <w:tab/>
        <w:tab/>
        <w:tab/>
        <w:tab/>
        <w:tab/>
        <w:tab/>
        <w:t>(202) 383-0705</w:t>
      </w:r>
    </w:p>
    <w:p>
      <w:pPr>
        <w:pStyle w:val="Normal"/>
        <w:jc w:val="both"/>
        <w:rPr>
          <w:sz w:val="24"/>
        </w:rPr>
      </w:pPr>
      <w:r>
        <w:rPr>
          <w:sz w:val="24"/>
        </w:rPr>
      </w:r>
    </w:p>
    <w:p>
      <w:pPr>
        <w:pStyle w:val="Normal"/>
        <w:jc w:val="both"/>
        <w:rPr>
          <w:sz w:val="24"/>
        </w:rPr>
      </w:pPr>
      <w:r>
        <w:rPr>
          <w:sz w:val="24"/>
        </w:rPr>
        <w:tab/>
        <w:tab/>
        <w:tab/>
        <w:tab/>
        <w:tab/>
        <w:tab/>
        <w:tab/>
        <w:t>Attorney for the</w:t>
      </w:r>
    </w:p>
    <w:p>
      <w:pPr>
        <w:pStyle w:val="Normal"/>
        <w:jc w:val="both"/>
        <w:rPr>
          <w:sz w:val="24"/>
        </w:rPr>
      </w:pPr>
      <w:r>
        <w:rPr>
          <w:sz w:val="24"/>
        </w:rPr>
        <w:tab/>
        <w:tab/>
        <w:tab/>
        <w:tab/>
        <w:tab/>
        <w:tab/>
        <w:tab/>
        <w:t>California Industrial Group and</w:t>
      </w:r>
    </w:p>
    <w:p>
      <w:pPr>
        <w:pStyle w:val="Normal"/>
        <w:ind w:end="-1260"/>
        <w:rPr>
          <w:sz w:val="24"/>
        </w:rPr>
      </w:pPr>
      <w:r>
        <w:rPr>
          <w:sz w:val="24"/>
        </w:rPr>
        <w:tab/>
        <w:tab/>
        <w:tab/>
        <w:tab/>
        <w:tab/>
        <w:tab/>
        <w:tab/>
        <w:t>California Manufacturers Association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November 19, 1999</w:t>
      </w:r>
    </w:p>
    <w:p>
      <w:pPr>
        <w:pStyle w:val="Normal"/>
        <w:jc w:val="both"/>
        <w:rPr>
          <w:sz w:val="24"/>
        </w:rPr>
      </w:pPr>
      <w:r>
        <w:rPr>
          <w:sz w:val="24"/>
        </w:rPr>
      </w:r>
      <w:r>
        <w:br w:type="page"/>
      </w:r>
    </w:p>
    <w:p>
      <w:pPr>
        <w:pStyle w:val="Normal"/>
        <w:jc w:val="both"/>
        <w:rPr>
          <w:sz w:val="24"/>
        </w:rPr>
      </w:pPr>
      <w:r>
        <w:rPr>
          <w:sz w:val="24"/>
        </w:rPr>
      </w:r>
    </w:p>
    <w:p>
      <w:pPr>
        <w:pStyle w:val="Normal"/>
        <w:jc w:val="center"/>
        <w:rPr>
          <w:rFonts w:ascii="Dutch Roman 12pt" w:hAnsi="Dutch Roman 12pt" w:cs="Dutch Roman 12pt"/>
          <w:sz w:val="24"/>
        </w:rPr>
      </w:pPr>
      <w:r>
        <w:rPr>
          <w:b/>
          <w:sz w:val="24"/>
        </w:rPr>
        <w:t>CERTIFICATE OF SERVICE</w:t>
      </w:r>
    </w:p>
    <w:p>
      <w:pPr>
        <w:pStyle w:val="Normal"/>
        <w:jc w:val="both"/>
        <w:rPr>
          <w:rFonts w:ascii="Dutch Roman 12pt" w:hAnsi="Dutch Roman 12pt" w:cs="Dutch Roman 12pt"/>
          <w:sz w:val="24"/>
        </w:rPr>
      </w:pPr>
      <w:r>
        <w:rPr>
          <w:rFonts w:cs="Dutch Roman 12pt" w:ascii="Dutch Roman 12pt" w:hAnsi="Dutch Roman 12pt"/>
          <w:sz w:val="24"/>
        </w:rPr>
      </w:r>
    </w:p>
    <w:p>
      <w:pPr>
        <w:pStyle w:val="Normal"/>
        <w:spacing w:lineRule="atLeast" w:line="480"/>
        <w:jc w:val="both"/>
        <w:rPr/>
      </w:pPr>
      <w:r>
        <w:rPr>
          <w:rFonts w:cs="Dutch Roman 12pt" w:ascii="Dutch Roman 12pt" w:hAnsi="Dutch Roman 12pt"/>
          <w:sz w:val="24"/>
        </w:rPr>
        <w:tab/>
        <w:t xml:space="preserve">I hereby certify that I have this day served a copy of the foregoing "Comments of the California Industrial Group and </w:t>
      </w:r>
      <w:r>
        <w:rPr>
          <w:sz w:val="24"/>
        </w:rPr>
        <w:t>California Manufacturers Association on Proposed Settlement of Operational Flow Order Protocol on Pacific Gas and Electric Company’s Gas System”</w:t>
      </w:r>
      <w:r>
        <w:rPr>
          <w:rFonts w:cs="Dutch Roman 12pt" w:ascii="Dutch Roman 12pt" w:hAnsi="Dutch Roman 12pt"/>
          <w:sz w:val="24"/>
        </w:rPr>
        <w:t xml:space="preserve"> on each person designated on the official service list compiled in this proceeding.</w:t>
      </w:r>
    </w:p>
    <w:p>
      <w:pPr>
        <w:pStyle w:val="Normal"/>
        <w:spacing w:lineRule="atLeast" w:line="480"/>
        <w:jc w:val="both"/>
        <w:rPr>
          <w:rFonts w:ascii="Dutch Roman 12pt" w:hAnsi="Dutch Roman 12pt" w:cs="Dutch Roman 12pt"/>
          <w:sz w:val="24"/>
        </w:rPr>
      </w:pPr>
      <w:r>
        <w:rPr>
          <w:rFonts w:cs="Dutch Roman 12pt" w:ascii="Dutch Roman 12pt" w:hAnsi="Dutch Roman 12pt"/>
          <w:sz w:val="24"/>
        </w:rPr>
        <w:tab/>
        <w:t>Dated at Washington, D.C. this 19th day of November, 1999.</w:t>
      </w:r>
    </w:p>
    <w:p>
      <w:pPr>
        <w:pStyle w:val="Normal"/>
        <w:spacing w:lineRule="atLeast" w:line="480"/>
        <w:jc w:val="both"/>
        <w:rPr>
          <w:rFonts w:ascii="Dutch Roman 12pt" w:hAnsi="Dutch Roman 12pt" w:cs="Dutch Roman 12pt"/>
          <w:sz w:val="24"/>
        </w:rPr>
      </w:pPr>
      <w:r>
        <w:rPr>
          <w:rFonts w:cs="Dutch Roman 12pt" w:ascii="Dutch Roman 12pt" w:hAnsi="Dutch Roman 12pt"/>
          <w:sz w:val="24"/>
        </w:rPr>
      </w:r>
    </w:p>
    <w:p>
      <w:pPr>
        <w:pStyle w:val="Normal"/>
        <w:jc w:val="both"/>
        <w:rPr>
          <w:rFonts w:ascii="Dutch Roman 12pt" w:hAnsi="Dutch Roman 12pt" w:cs="Dutch Roman 12pt"/>
          <w:sz w:val="24"/>
          <w:u w:val="single"/>
        </w:rPr>
      </w:pPr>
      <w:r>
        <w:rPr>
          <w:rFonts w:cs="Dutch Roman 12pt" w:ascii="Dutch Roman 12pt" w:hAnsi="Dutch Roman 12pt"/>
          <w:sz w:val="24"/>
          <w:u w:val="single"/>
        </w:rPr>
      </w:r>
    </w:p>
    <w:p>
      <w:pPr>
        <w:pStyle w:val="Normal"/>
        <w:jc w:val="both"/>
        <w:rPr/>
      </w:pPr>
      <w:r>
        <w:rPr>
          <w:rFonts w:cs="Dutch Roman 12pt" w:ascii="Dutch Roman 12pt" w:hAnsi="Dutch Roman 12pt"/>
          <w:sz w:val="24"/>
          <w:u w:val="single"/>
        </w:rPr>
        <w:tab/>
        <w:tab/>
        <w:tab/>
        <w:tab/>
        <w:tab/>
        <w:tab/>
        <w:tab/>
        <w:t xml:space="preserve">                                                                       </w:t>
      </w:r>
      <w:r>
        <w:rPr>
          <w:rFonts w:cs="Dutch Roman 12pt" w:ascii="Dutch Roman 12pt" w:hAnsi="Dutch Roman 12pt"/>
          <w:sz w:val="24"/>
        </w:rPr>
        <w:tab/>
        <w:tab/>
        <w:tab/>
        <w:tab/>
        <w:tab/>
        <w:tab/>
        <w:tab/>
        <w:t>Jody M. Smith</w:t>
      </w:r>
    </w:p>
    <w:p>
      <w:pPr>
        <w:pStyle w:val="Normal"/>
        <w:jc w:val="both"/>
        <w:rPr>
          <w:rFonts w:ascii="Dutch Roman 12pt" w:hAnsi="Dutch Roman 12pt" w:cs="Dutch Roman 12pt"/>
          <w:sz w:val="24"/>
        </w:rPr>
      </w:pPr>
      <w:r>
        <w:rPr>
          <w:rFonts w:cs="Dutch Roman 12pt" w:ascii="Dutch Roman 12pt" w:hAnsi="Dutch Roman 12pt"/>
          <w:sz w:val="24"/>
        </w:rPr>
      </w:r>
    </w:p>
    <w:p>
      <w:pPr>
        <w:pStyle w:val="Normal"/>
        <w:jc w:val="both"/>
        <w:rPr>
          <w:rFonts w:ascii="Dutch Roman 12pt" w:hAnsi="Dutch Roman 12pt" w:cs="Dutch Roman 12pt"/>
          <w:sz w:val="24"/>
        </w:rPr>
      </w:pPr>
      <w:r>
        <w:rPr>
          <w:rFonts w:cs="Dutch Roman 12pt" w:ascii="Dutch Roman 12pt" w:hAnsi="Dutch Roman 12pt"/>
          <w:sz w:val="24"/>
        </w:rPr>
      </w:r>
    </w:p>
    <w:p>
      <w:pPr>
        <w:pStyle w:val="Normal"/>
        <w:jc w:val="both"/>
        <w:rPr>
          <w:sz w:val="24"/>
        </w:rPr>
      </w:pPr>
      <w:r>
        <w:rPr>
          <w:sz w:val="24"/>
        </w:rPr>
      </w:r>
    </w:p>
    <w:p>
      <w:pPr>
        <w:pStyle w:val="Normal"/>
        <w:jc w:val="both"/>
        <w:rPr>
          <w:sz w:val="24"/>
        </w:rPr>
      </w:pPr>
      <w:r>
        <w:rPr>
          <w:sz w:val="24"/>
        </w:rPr>
      </w:r>
    </w:p>
    <w:sectPr>
      <w:type w:val="nextPage"/>
      <w:pgSz w:w="12240" w:h="15840"/>
      <w:pgMar w:left="1800" w:right="1800" w:gutter="0" w:header="0" w:top="1440" w:footer="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Dutch Roman 12pt">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1999-11-23T22:53:00Z</dcterms:created>
  <dc:creator/>
  <dc:description/>
  <dc:language>en-CA</dc:language>
  <cp:lastModifiedBy/>
  <cp:revision>1</cp:revision>
  <dc:subject/>
  <dc:title/>
</cp:coreProperties>
</file>