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September 1, 1999</w:t>
      </w:r>
    </w:p>
    <w:p>
      <w:pPr>
        <w:pStyle w:val="Heading5"/>
        <w:ind w:hanging="0" w:start="0"/>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Alabama Electric Cooperative, Inc.</w:t>
      </w:r>
    </w:p>
    <w:p>
      <w:pPr>
        <w:pStyle w:val="Normal"/>
        <w:jc w:val="both"/>
        <w:rPr>
          <w:sz w:val="24"/>
        </w:rPr>
      </w:pPr>
      <w:r>
        <w:rPr>
          <w:sz w:val="24"/>
        </w:rPr>
        <w:t>P. O. Box 550</w:t>
      </w:r>
    </w:p>
    <w:p>
      <w:pPr>
        <w:pStyle w:val="Normal"/>
        <w:jc w:val="both"/>
        <w:rPr>
          <w:sz w:val="24"/>
        </w:rPr>
      </w:pPr>
      <w:r>
        <w:rPr>
          <w:sz w:val="24"/>
        </w:rPr>
        <w:t>Andalusia, Alabama  36420</w:t>
      </w:r>
    </w:p>
    <w:p>
      <w:pPr>
        <w:pStyle w:val="Normal"/>
        <w:jc w:val="both"/>
        <w:rPr>
          <w:sz w:val="24"/>
        </w:rPr>
      </w:pPr>
      <w:r>
        <w:rPr>
          <w:sz w:val="24"/>
        </w:rPr>
      </w:r>
    </w:p>
    <w:p>
      <w:pPr>
        <w:pStyle w:val="Heading8"/>
        <w:ind w:hanging="0" w:start="0"/>
        <w:rPr>
          <w:sz w:val="24"/>
        </w:rPr>
      </w:pPr>
      <w:r>
        <w:rPr>
          <w:sz w:val="24"/>
        </w:rPr>
        <w:t>Re:</w:t>
        <w:tab/>
        <w:t>Letter Agreement</w:t>
      </w:r>
    </w:p>
    <w:p>
      <w:pPr>
        <w:pStyle w:val="Normal"/>
        <w:jc w:val="both"/>
        <w:rPr>
          <w:sz w:val="24"/>
        </w:rPr>
      </w:pPr>
      <w:r>
        <w:rPr>
          <w:sz w:val="24"/>
        </w:rPr>
      </w:r>
    </w:p>
    <w:p>
      <w:pPr>
        <w:pStyle w:val="Normal"/>
        <w:jc w:val="both"/>
        <w:rPr>
          <w:sz w:val="24"/>
        </w:rPr>
      </w:pPr>
      <w:r>
        <w:rPr>
          <w:sz w:val="24"/>
        </w:rPr>
        <w:t>Gentlemen:</w:t>
      </w:r>
    </w:p>
    <w:p>
      <w:pPr>
        <w:pStyle w:val="Normal"/>
        <w:ind w:hanging="720" w:start="720" w:end="0"/>
        <w:jc w:val="both"/>
        <w:rPr>
          <w:sz w:val="24"/>
        </w:rPr>
      </w:pPr>
      <w:r>
        <w:rPr>
          <w:sz w:val="24"/>
        </w:rPr>
      </w:r>
    </w:p>
    <w:p>
      <w:pPr>
        <w:pStyle w:val="Normal"/>
        <w:ind w:firstLine="720" w:end="0"/>
        <w:jc w:val="both"/>
        <w:rPr/>
      </w:pPr>
      <w:r>
        <w:rPr>
          <w:sz w:val="24"/>
        </w:rPr>
        <w:t>Alabama Electric Cooperative, Inc. (“AEC”) a corporation organized under the laws of the State of Alabama, and Enron North America Corp. (“</w:t>
      </w:r>
      <w:r>
        <w:rPr>
          <w:sz w:val="24"/>
          <w:u w:val="single"/>
        </w:rPr>
        <w:t>Enron</w:t>
      </w:r>
      <w:r>
        <w:rPr>
          <w:sz w:val="24"/>
        </w:rPr>
        <w:t>”) (collectively referred to herein as “</w:t>
      </w:r>
      <w:r>
        <w:rPr>
          <w:sz w:val="24"/>
          <w:u w:val="single"/>
        </w:rPr>
        <w:t>Parties</w:t>
      </w:r>
      <w:r>
        <w:rPr>
          <w:sz w:val="24"/>
        </w:rPr>
        <w:t>”) have been discussing a proposed transaction involving the acquisition by AEC of firm transportation service to be provided by Florida Gas Transmission Company (“FGT”) to an affiliate of Enron (“Affiliate”).  The parties acknowledge that the provision of such transportation service would require that FGT (i) construct and install certain incremental pipeline capacity which would loop the pipeline system of FGT and (ii) provide a turbine meter upgrade at the existing AEC delivery station for the measurement of an incremental 80,000 MMBtu/day.  The parties to this letter agreement (“</w:t>
      </w:r>
      <w:r>
        <w:rPr>
          <w:sz w:val="24"/>
          <w:u w:val="single"/>
        </w:rPr>
        <w:t>Letter Agreement</w:t>
      </w:r>
      <w:r>
        <w:rPr>
          <w:sz w:val="24"/>
        </w:rPr>
        <w:t>”) have reached agreement with respect to the terms of the proposed transaction.</w:t>
      </w:r>
    </w:p>
    <w:p>
      <w:pPr>
        <w:pStyle w:val="Normal"/>
        <w:rPr>
          <w:sz w:val="24"/>
        </w:rPr>
      </w:pPr>
      <w:r>
        <w:rPr>
          <w:sz w:val="24"/>
        </w:rPr>
      </w:r>
    </w:p>
    <w:p>
      <w:pPr>
        <w:pStyle w:val="Normal"/>
        <w:ind w:firstLine="720" w:end="0"/>
        <w:rPr>
          <w:sz w:val="24"/>
        </w:rPr>
      </w:pPr>
      <w:r>
        <w:rPr>
          <w:sz w:val="24"/>
        </w:rPr>
        <w:t>Pursuant to the terms of this Letter Agreement, the Parties agree that:</w:t>
      </w:r>
    </w:p>
    <w:p>
      <w:pPr>
        <w:pStyle w:val="Normal"/>
        <w:rPr>
          <w:sz w:val="24"/>
        </w:rPr>
      </w:pPr>
      <w:r>
        <w:rPr>
          <w:sz w:val="24"/>
        </w:rPr>
      </w:r>
    </w:p>
    <w:p>
      <w:pPr>
        <w:pStyle w:val="Justified"/>
        <w:spacing w:before="0" w:after="0"/>
        <w:ind w:firstLine="720" w:end="0"/>
        <w:rPr/>
      </w:pPr>
      <w:r>
        <w:rPr/>
        <w:t>1.</w:t>
        <w:tab/>
        <w:t>On or before September 7, 1999, Enron shall cause its Affiliate to enter into a Firm Transportation Service Agreement – Western Division – FTS-WD with FGT providing for the transportation of 80,000 MMBtu/day from the Destin Pipeline, Transco-Citronelle or other Zone 3 Points of Receipt to the AEC Point of Delivery in Escambia County, Alabama (the “Transportation Agreement”), such Transportation Agreement to be substantially similar to the agreement attached hereto as Exhibit “A’ and is to be pre-approved by both Enron and AEC no later than September 7, 1999.</w:t>
      </w:r>
    </w:p>
    <w:p>
      <w:pPr>
        <w:pStyle w:val="Normal"/>
        <w:rPr>
          <w:sz w:val="24"/>
        </w:rPr>
      </w:pPr>
      <w:r>
        <w:rPr>
          <w:sz w:val="24"/>
        </w:rPr>
      </w:r>
    </w:p>
    <w:p>
      <w:pPr>
        <w:pStyle w:val="Normal"/>
        <w:ind w:firstLine="720" w:end="0"/>
        <w:jc w:val="both"/>
        <w:rPr/>
      </w:pPr>
      <w:r>
        <w:rPr>
          <w:sz w:val="24"/>
        </w:rPr>
        <w:t>2.</w:t>
        <w:tab/>
        <w:t>Once FGT has made the necessary FERC filings, obtained necessary approvals, completed all required facilities construction and commissioned said facilities for use, then upon AEC’s written request, Enron shall cause its Affiliate to enter into a permanent release or other appropriate assignment in a manner that is commercially reasonable and practical pursuant to which such Affiliate shall permanently relinquish to AEC and AEC shall permanently accept from such Affiliate the 80,000 MMBtu/day of capacity under the Transportation</w:t>
      </w:r>
      <w:r>
        <w:rPr>
          <w:sz w:val="24"/>
          <w:u w:val="single"/>
        </w:rPr>
        <w:t xml:space="preserve"> </w:t>
      </w:r>
      <w:r>
        <w:rPr>
          <w:sz w:val="24"/>
        </w:rPr>
        <w:t>Agreement.  Said release or assignment shall be no later than December 1, 2001, and at the rate provided under Article 4.2 of the Transportation Agreement and shall be released according to FGT’s procedures and tariffs covering permanent capacity releases.  In the event AEC does not request or accept such permanent release or assignment from the Affiliate, AEC shall pay to Enron any and all amounts payable to FGT pursuant to the terms of the Transportation Agreement until the earlier of the termination of such Transportation Agreement or the date that AEC accepts the permanent release or assignment of such Transportation Agreement from the Affiliate. Subsequent to the permanent release or assignment, AEC shall pay FGT the rate as prescribed in Article 4.2 of the Transportation Agreement.</w:t>
      </w:r>
    </w:p>
    <w:p>
      <w:pPr>
        <w:pStyle w:val="BodyTextIndent3"/>
        <w:ind w:hanging="0" w:end="0"/>
        <w:rPr>
          <w:sz w:val="24"/>
        </w:rPr>
      </w:pPr>
      <w:r>
        <w:rPr>
          <w:sz w:val="24"/>
        </w:rPr>
      </w:r>
    </w:p>
    <w:p>
      <w:pPr>
        <w:pStyle w:val="BodyTextIndent3"/>
        <w:rPr/>
      </w:pPr>
      <w:r>
        <w:rPr/>
        <w:t>3.</w:t>
        <w:tab/>
        <w:t>In the event the form of the Transportation Agreement is not mutually agreed to and pre-approved by both Enron and AEC by September 7, 1999, the Parties shall have no obligation under this Letter Agreement.</w:t>
      </w:r>
    </w:p>
    <w:p>
      <w:pPr>
        <w:pStyle w:val="Normal"/>
        <w:rPr>
          <w:sz w:val="24"/>
        </w:rPr>
      </w:pPr>
      <w:r>
        <w:rPr>
          <w:sz w:val="24"/>
        </w:rPr>
      </w:r>
    </w:p>
    <w:p>
      <w:pPr>
        <w:pStyle w:val="BodyTextIndent3"/>
        <w:rPr/>
      </w:pPr>
      <w:r>
        <w:rPr/>
        <w:t>4.</w:t>
        <w:tab/>
        <w:t xml:space="preserve">Article 13.5 of the Transportation Agreement provides that the Transportation Agreement is subject to the receipt by AEC of acceptable environmental approvals by November 30, 1999.  In the event such approvals are not received by AEC by such date, AEC may terminate this Letter Agreement by providing written notice of such action to Enron by the close of business on November 30, 1999, and thereafter the Parties shall have no further rights or obligations under this Letter Agreement. </w:t>
      </w:r>
    </w:p>
    <w:p>
      <w:pPr>
        <w:pStyle w:val="BodyTextIndent3"/>
        <w:rPr/>
      </w:pPr>
      <w:r>
        <w:rPr/>
      </w:r>
    </w:p>
    <w:p>
      <w:pPr>
        <w:pStyle w:val="BodyTextIndent3"/>
        <w:rPr/>
      </w:pPr>
      <w:r>
        <w:rPr/>
        <w:t>5.</w:t>
        <w:tab/>
        <w:t>In the event the Transportation Agreement is mutually agreed to and pre-approved by both Enron and AEC by September 7, 1999 and is not terminated by AEC as provided in paragraph 4 above, then no later than January 1, 2001, AEC shall pay Enron (i) the sum of $8,065,000.00 for the construction and installation of certain incremental pipeline capacity which would loop the pipeline system of FGT, and (ii) the greater of $21,038.00 or the actual costs incurred by FGT to upgrade the turbine meter at the AEC delivery point in Escambia County, Alabama.  Such amounts payable hereunder shall be considered payment for the required facilities.</w:t>
      </w:r>
    </w:p>
    <w:p>
      <w:pPr>
        <w:pStyle w:val="BodyTextIndent3"/>
        <w:rPr/>
      </w:pPr>
      <w:r>
        <w:rPr/>
      </w:r>
    </w:p>
    <w:p>
      <w:pPr>
        <w:pStyle w:val="BodyTextIndent3"/>
        <w:rPr/>
      </w:pPr>
      <w:r>
        <w:rPr/>
        <w:t>6.</w:t>
        <w:tab/>
        <w:t xml:space="preserve">AEC and Enron acknowledge and agree that notwithstanding anything to the contrary contained in this Letter Agreement (i) it will be necessary for Enron to enter into an agreement with its Affiliate providing that such Affiliate will enter into the Transportation Agreement with FGT, that such Affiliate will relinquish the capacity under the Transportation Agreement to AEC, and that such Affiliate will reimburse FGT for the costs required to provide the firm transportation service and upgrade the turbine meter at the AEC delivery point, and (ii) this Letter Agreement shall not be effective until such agreements have been entered into between Enron and such Affiliate. </w:t>
      </w:r>
    </w:p>
    <w:p>
      <w:pPr>
        <w:pStyle w:val="BodyTextIndent3"/>
        <w:rPr/>
      </w:pPr>
      <w:r>
        <w:rPr/>
      </w:r>
    </w:p>
    <w:p>
      <w:pPr>
        <w:pStyle w:val="Normal"/>
        <w:ind w:firstLine="720" w:end="0"/>
        <w:rPr>
          <w:sz w:val="24"/>
        </w:rPr>
      </w:pPr>
      <w:r>
        <w:rPr>
          <w:sz w:val="24"/>
        </w:rPr>
        <w:t>In addition, the Parties hereto agree as follows:</w:t>
      </w:r>
    </w:p>
    <w:p>
      <w:pPr>
        <w:pStyle w:val="Normal"/>
        <w:rPr>
          <w:sz w:val="24"/>
        </w:rPr>
      </w:pPr>
      <w:r>
        <w:rPr>
          <w:sz w:val="24"/>
        </w:rPr>
      </w:r>
    </w:p>
    <w:p>
      <w:pPr>
        <w:pStyle w:val="BodyTextIndent3"/>
        <w:rPr/>
      </w:pPr>
      <w:r>
        <w:rPr/>
        <w:t>Each represents and warrants to the other that the individual executing this Letter Agreement on its behalf has all requisite corporate authority to do so and to bind the party on whose behalf such individual has executed this letter agreement.  Each further represents and warrants to the other that there are no suits, judicial or administrative actions, proceedings or investigations pending or, to such party’s knowledge threatened, that (i) challenge the validity of this Letter Agreement or any of the other agreements of transactions contemplated hereby, (ii) seek to restrain or prevent any action taken or to be taken by such party in connection with this Letter Agreement or in connection with any other agreement contemplated hereby, or (iii) if adversely determined, would have a material and adverse effect on such party’s ability to perform its obligations under this Letter Agreement or any of the agreements contemplated hereby.</w:t>
      </w:r>
    </w:p>
    <w:p>
      <w:pPr>
        <w:pStyle w:val="Normal"/>
        <w:jc w:val="both"/>
        <w:rPr>
          <w:sz w:val="24"/>
        </w:rPr>
      </w:pPr>
      <w:r>
        <w:rPr>
          <w:sz w:val="24"/>
        </w:rPr>
      </w:r>
    </w:p>
    <w:p>
      <w:pPr>
        <w:pStyle w:val="Normal"/>
        <w:ind w:firstLine="720" w:end="0"/>
        <w:jc w:val="both"/>
        <w:rPr>
          <w:sz w:val="24"/>
        </w:rPr>
      </w:pPr>
      <w:r>
        <w:rPr>
          <w:sz w:val="24"/>
        </w:rPr>
        <w:t>Each will maintain this Letter Agreement and all communications between them with respect hereto and thereto in strict confidence and will not disclose any such information to any third party without the express written consent of the other party, except to the extent necessary to comply with applicable laws, regulations and/or orders of a judicial or administrative body having jurisdiction.  In the event that either party becomes aware of a request for disclosure of any of such information in any judicial or administrative proceeding in which such disclosure may be required or that may result in such disclosure, such party shall promptly notify the other party and, upon request shall take all lawful and prudent actions reasonably available to maintain the confidentiality of such information upon its disclosure in such proceeding.</w:t>
      </w:r>
    </w:p>
    <w:p>
      <w:pPr>
        <w:pStyle w:val="Normal"/>
        <w:rPr>
          <w:sz w:val="24"/>
        </w:rPr>
      </w:pPr>
      <w:r>
        <w:rPr>
          <w:sz w:val="24"/>
        </w:rPr>
      </w:r>
    </w:p>
    <w:p>
      <w:pPr>
        <w:pStyle w:val="BodyTextIndent3"/>
        <w:rPr/>
      </w:pPr>
      <w:r>
        <w:rPr/>
        <w:t xml:space="preserve">This Letter Agreement shall be construed under, and any disputes arising hereunder shall be governed by, the laws of the State of Texas, notwithstanding any conflict of laws principles that might require application of the laws of another jurisdiction.  The Parties agree to submit to the jurisdiction of the courts of Harris County, Texas, in any proceeding arising from or related to this Letter Agreement, excluding any proceedings that are within the primary or exclusive jurisdiction of the Federal Energy Regulatory Commission.  </w:t>
      </w:r>
    </w:p>
    <w:p>
      <w:pPr>
        <w:pStyle w:val="Normal"/>
        <w:jc w:val="both"/>
        <w:rPr>
          <w:sz w:val="24"/>
        </w:rPr>
      </w:pPr>
      <w:r>
        <w:rPr>
          <w:sz w:val="24"/>
        </w:rPr>
      </w:r>
    </w:p>
    <w:p>
      <w:pPr>
        <w:pStyle w:val="Normal"/>
        <w:ind w:firstLine="720" w:end="0"/>
        <w:jc w:val="both"/>
        <w:rPr>
          <w:sz w:val="24"/>
        </w:rPr>
      </w:pPr>
      <w:r>
        <w:rPr>
          <w:sz w:val="24"/>
        </w:rPr>
        <w:t>The rights and obligations of Enron and AEC under this Letter Agreement may not be assigned by a party to a third party without the prior written consent of the other party, which consent shall not be unreasonably withheld and any attempted assignment in violation of this provision shall be deemed null and void.</w:t>
      </w:r>
    </w:p>
    <w:p>
      <w:pPr>
        <w:pStyle w:val="Normal"/>
        <w:jc w:val="both"/>
        <w:rPr>
          <w:sz w:val="24"/>
        </w:rPr>
      </w:pPr>
      <w:r>
        <w:rPr>
          <w:sz w:val="24"/>
        </w:rPr>
      </w:r>
    </w:p>
    <w:p>
      <w:pPr>
        <w:pStyle w:val="Normal"/>
        <w:ind w:firstLine="720" w:end="0"/>
        <w:jc w:val="both"/>
        <w:rPr>
          <w:sz w:val="24"/>
        </w:rPr>
      </w:pPr>
      <w:r>
        <w:rPr>
          <w:sz w:val="24"/>
        </w:rPr>
        <w:t>This Letter Agreement was prepared through the joint efforts of Enron and AEC with the advice of their respective counsel.</w:t>
      </w:r>
    </w:p>
    <w:p>
      <w:pPr>
        <w:pStyle w:val="Normal"/>
        <w:jc w:val="both"/>
        <w:rPr>
          <w:sz w:val="24"/>
        </w:rPr>
      </w:pPr>
      <w:r>
        <w:rPr>
          <w:sz w:val="24"/>
        </w:rPr>
      </w:r>
    </w:p>
    <w:p>
      <w:pPr>
        <w:pStyle w:val="BodyTextIndent3"/>
        <w:rPr/>
      </w:pPr>
      <w:r>
        <w:rPr/>
        <w:t>IN NO EVENT SHALL EITHER PARTY BE LIABLE TO THE OTHER FOR ANY LOST OR PROSPECTIVE PROFITS OR ANY OTHER SPECIAL, PUNITIVE, EXEMPLARY, CONSEQUENTIAL, INCIDENTAL OR INDIRECT LOSSES OR DAMAGES (IN TORT, CONTRACT OR OTHERWISE) UNDER OR IN RESPECT OF THIS LETTER AGREEMENT.</w:t>
      </w:r>
    </w:p>
    <w:p>
      <w:pPr>
        <w:pStyle w:val="Normal"/>
        <w:ind w:hanging="720" w:start="720" w:end="0"/>
        <w:jc w:val="both"/>
        <w:rPr>
          <w:sz w:val="24"/>
        </w:rPr>
      </w:pPr>
      <w:r>
        <w:rPr>
          <w:sz w:val="24"/>
        </w:rPr>
      </w:r>
    </w:p>
    <w:p>
      <w:pPr>
        <w:pStyle w:val="Normal"/>
        <w:ind w:firstLine="720" w:end="0"/>
        <w:jc w:val="both"/>
        <w:rPr>
          <w:sz w:val="24"/>
        </w:rPr>
      </w:pPr>
      <w:r>
        <w:rPr>
          <w:sz w:val="24"/>
        </w:rPr>
        <w:t>If the terms and conditions of this letter are in accord with your understanding, please sign and return the all copies of this letter to Enron, whereupon it will be signed by Enron and a fully executed original will be returned to you for your files</w:t>
      </w:r>
    </w:p>
    <w:p>
      <w:pPr>
        <w:pStyle w:val="Normal"/>
        <w:jc w:val="both"/>
        <w:rPr>
          <w:sz w:val="24"/>
        </w:rPr>
      </w:pPr>
      <w:r>
        <w:rPr>
          <w:sz w:val="24"/>
        </w:rPr>
      </w:r>
    </w:p>
    <w:p>
      <w:pPr>
        <w:pStyle w:val="Normal"/>
        <w:keepNext w:val="true"/>
        <w:ind w:firstLine="720" w:start="3600" w:end="0"/>
        <w:jc w:val="both"/>
        <w:rPr>
          <w:sz w:val="24"/>
        </w:rPr>
      </w:pPr>
      <w:r>
        <w:rPr>
          <w:sz w:val="24"/>
        </w:rPr>
        <w:t>Sincerely,</w:t>
      </w:r>
    </w:p>
    <w:p>
      <w:pPr>
        <w:pStyle w:val="Normal"/>
        <w:keepNext w:val="true"/>
        <w:ind w:start="4320" w:end="0"/>
        <w:jc w:val="both"/>
        <w:rPr>
          <w:sz w:val="24"/>
        </w:rPr>
      </w:pPr>
      <w:r>
        <w:rPr>
          <w:sz w:val="24"/>
        </w:rPr>
      </w:r>
    </w:p>
    <w:p>
      <w:pPr>
        <w:pStyle w:val="Normal"/>
        <w:keepNext w:val="true"/>
        <w:tabs>
          <w:tab w:val="clear" w:pos="720"/>
          <w:tab w:val="right" w:pos="9360" w:leader="none"/>
        </w:tabs>
        <w:ind w:start="4320" w:end="0"/>
        <w:jc w:val="both"/>
        <w:rPr>
          <w:b/>
          <w:i/>
          <w:i/>
          <w:sz w:val="24"/>
        </w:rPr>
      </w:pPr>
      <w:r>
        <w:rPr>
          <w:b/>
          <w:i/>
          <w:sz w:val="24"/>
        </w:rPr>
        <w:t>ENRON NORTH AMERICA CORP.</w:t>
      </w:r>
    </w:p>
    <w:p>
      <w:pPr>
        <w:pStyle w:val="Normal"/>
        <w:keepNext w:val="true"/>
        <w:jc w:val="both"/>
        <w:rPr>
          <w:b/>
          <w:i/>
          <w:i/>
          <w:sz w:val="24"/>
        </w:rPr>
      </w:pPr>
      <w:r>
        <w:rPr>
          <w:b/>
          <w:i/>
          <w:sz w:val="24"/>
        </w:rPr>
      </w:r>
    </w:p>
    <w:p>
      <w:pPr>
        <w:pStyle w:val="Normal"/>
        <w:keepNext w:val="true"/>
        <w:ind w:start="4320" w:end="0"/>
        <w:jc w:val="both"/>
        <w:rPr>
          <w:sz w:val="24"/>
        </w:rPr>
      </w:pPr>
      <w:r>
        <w:rPr>
          <w:sz w:val="24"/>
        </w:rPr>
      </w:r>
    </w:p>
    <w:p>
      <w:pPr>
        <w:pStyle w:val="Normal"/>
        <w:keepNext w:val="true"/>
        <w:tabs>
          <w:tab w:val="clear" w:pos="720"/>
          <w:tab w:val="left" w:pos="5040" w:leader="none"/>
          <w:tab w:val="right" w:pos="9360" w:leader="none"/>
        </w:tabs>
        <w:ind w:start="4320" w:end="0"/>
        <w:jc w:val="both"/>
        <w:rPr>
          <w:sz w:val="24"/>
        </w:rPr>
      </w:pPr>
      <w:r>
        <w:rPr>
          <w:sz w:val="24"/>
        </w:rPr>
        <w:t>By</w:t>
      </w:r>
      <w:r>
        <w:rPr>
          <w:sz w:val="24"/>
          <w:u w:val="single"/>
        </w:rPr>
        <w:tab/>
        <w:tab/>
      </w:r>
    </w:p>
    <w:p>
      <w:pPr>
        <w:pStyle w:val="Normal"/>
        <w:keepNext w:val="true"/>
        <w:tabs>
          <w:tab w:val="clear" w:pos="720"/>
          <w:tab w:val="left" w:pos="5040" w:leader="none"/>
          <w:tab w:val="right" w:pos="9360" w:leader="none"/>
        </w:tabs>
        <w:ind w:start="4320" w:end="0"/>
        <w:jc w:val="both"/>
        <w:rPr>
          <w:sz w:val="24"/>
        </w:rPr>
      </w:pPr>
      <w:r>
        <w:rPr>
          <w:sz w:val="24"/>
        </w:rPr>
        <w:t>Printed</w:t>
      </w:r>
    </w:p>
    <w:p>
      <w:pPr>
        <w:pStyle w:val="Normal"/>
        <w:keepNext w:val="true"/>
        <w:tabs>
          <w:tab w:val="clear" w:pos="720"/>
          <w:tab w:val="left" w:pos="5040" w:leader="none"/>
          <w:tab w:val="right" w:pos="9360" w:leader="none"/>
        </w:tabs>
        <w:ind w:start="4320" w:end="0"/>
        <w:jc w:val="both"/>
        <w:rPr>
          <w:sz w:val="24"/>
        </w:rPr>
      </w:pPr>
      <w:r>
        <w:rPr>
          <w:sz w:val="24"/>
        </w:rPr>
        <w:t>Name</w:t>
      </w:r>
      <w:r>
        <w:rPr>
          <w:sz w:val="24"/>
          <w:u w:val="single"/>
        </w:rPr>
        <w:tab/>
        <w:tab/>
      </w:r>
    </w:p>
    <w:p>
      <w:pPr>
        <w:pStyle w:val="Normal"/>
        <w:keepNext w:val="true"/>
        <w:tabs>
          <w:tab w:val="clear" w:pos="720"/>
          <w:tab w:val="left" w:pos="5040" w:leader="none"/>
          <w:tab w:val="right" w:pos="9360" w:leader="none"/>
        </w:tabs>
        <w:ind w:start="4320" w:end="0"/>
        <w:jc w:val="both"/>
        <w:rPr>
          <w:sz w:val="24"/>
        </w:rPr>
      </w:pPr>
      <w:r>
        <w:rPr>
          <w:sz w:val="24"/>
        </w:rPr>
        <w:t>Title</w:t>
      </w:r>
      <w:r>
        <w:rPr>
          <w:sz w:val="24"/>
          <w:u w:val="single"/>
        </w:rPr>
        <w:tab/>
        <w:tab/>
      </w:r>
    </w:p>
    <w:p>
      <w:pPr>
        <w:pStyle w:val="Heading7"/>
        <w:tabs>
          <w:tab w:val="left" w:pos="6480" w:leader="none"/>
          <w:tab w:val="left" w:pos="6840" w:leader="none"/>
        </w:tabs>
        <w:rPr/>
      </w:pPr>
      <w:r>
        <w:rPr/>
        <w:tab/>
        <w:t>“Enron”</w:t>
      </w:r>
    </w:p>
    <w:p>
      <w:pPr>
        <w:pStyle w:val="Normal"/>
        <w:ind w:start="4320" w:end="0"/>
        <w:jc w:val="both"/>
        <w:rPr>
          <w:sz w:val="24"/>
        </w:rPr>
      </w:pPr>
      <w:r>
        <w:rPr>
          <w:sz w:val="24"/>
        </w:rPr>
      </w:r>
    </w:p>
    <w:p>
      <w:pPr>
        <w:pStyle w:val="Normal"/>
        <w:jc w:val="both"/>
        <w:rPr>
          <w:sz w:val="24"/>
        </w:rPr>
      </w:pPr>
      <w:r>
        <w:rPr>
          <w:sz w:val="24"/>
        </w:rPr>
      </w:r>
    </w:p>
    <w:p>
      <w:pPr>
        <w:pStyle w:val="Normal"/>
        <w:keepNext w:val="true"/>
        <w:widowControl w:val="false"/>
        <w:jc w:val="both"/>
        <w:rPr>
          <w:sz w:val="24"/>
        </w:rPr>
      </w:pPr>
      <w:r>
        <w:rPr>
          <w:sz w:val="24"/>
        </w:rPr>
        <w:t>CONFIRMED this ________ day of _________________________________, 1999.</w:t>
      </w:r>
    </w:p>
    <w:p>
      <w:pPr>
        <w:pStyle w:val="Normal"/>
        <w:keepNext w:val="true"/>
        <w:widowControl w:val="false"/>
        <w:jc w:val="both"/>
        <w:rPr>
          <w:sz w:val="24"/>
        </w:rPr>
      </w:pPr>
      <w:r>
        <w:rPr>
          <w:sz w:val="24"/>
        </w:rPr>
      </w:r>
    </w:p>
    <w:p>
      <w:pPr>
        <w:pStyle w:val="Normal"/>
        <w:keepNext w:val="true"/>
        <w:widowControl w:val="false"/>
        <w:tabs>
          <w:tab w:val="clear" w:pos="720"/>
          <w:tab w:val="right" w:pos="5040" w:leader="none"/>
        </w:tabs>
        <w:jc w:val="both"/>
        <w:rPr>
          <w:sz w:val="24"/>
        </w:rPr>
      </w:pPr>
      <w:r>
        <w:rPr>
          <w:b/>
          <w:i/>
          <w:sz w:val="24"/>
        </w:rPr>
        <w:t>ALABAMA ELECTRIC COOPERATIVE, INC.</w:t>
      </w:r>
    </w:p>
    <w:p>
      <w:pPr>
        <w:pStyle w:val="Normal"/>
        <w:keepNext w:val="true"/>
        <w:widowControl w:val="false"/>
        <w:jc w:val="both"/>
        <w:rPr>
          <w:sz w:val="24"/>
        </w:rPr>
      </w:pPr>
      <w:r>
        <w:rPr>
          <w:sz w:val="24"/>
        </w:rPr>
      </w:r>
    </w:p>
    <w:p>
      <w:pPr>
        <w:pStyle w:val="Normal"/>
        <w:keepNext w:val="true"/>
        <w:widowControl w:val="false"/>
        <w:jc w:val="both"/>
        <w:rPr>
          <w:sz w:val="24"/>
        </w:rPr>
      </w:pPr>
      <w:r>
        <w:rPr>
          <w:sz w:val="24"/>
        </w:rPr>
      </w:r>
    </w:p>
    <w:p>
      <w:pPr>
        <w:pStyle w:val="Normal"/>
        <w:keepNext w:val="true"/>
        <w:widowControl w:val="false"/>
        <w:tabs>
          <w:tab w:val="left" w:pos="720" w:leader="none"/>
          <w:tab w:val="right" w:pos="5040" w:leader="none"/>
        </w:tabs>
        <w:jc w:val="both"/>
        <w:rPr>
          <w:sz w:val="24"/>
        </w:rPr>
      </w:pPr>
      <w:r>
        <w:rPr>
          <w:sz w:val="24"/>
        </w:rPr>
        <w:t>By</w:t>
      </w:r>
      <w:r>
        <w:rPr>
          <w:sz w:val="24"/>
          <w:u w:val="single"/>
        </w:rPr>
        <w:tab/>
        <w:tab/>
        <w:tab/>
      </w:r>
    </w:p>
    <w:p>
      <w:pPr>
        <w:pStyle w:val="Normal"/>
        <w:keepNext w:val="true"/>
        <w:widowControl w:val="false"/>
        <w:tabs>
          <w:tab w:val="left" w:pos="720" w:leader="none"/>
          <w:tab w:val="right" w:pos="5040" w:leader="none"/>
        </w:tabs>
        <w:jc w:val="both"/>
        <w:rPr>
          <w:sz w:val="24"/>
        </w:rPr>
      </w:pPr>
      <w:r>
        <w:rPr>
          <w:sz w:val="24"/>
        </w:rPr>
        <w:t>Printed</w:t>
      </w:r>
    </w:p>
    <w:p>
      <w:pPr>
        <w:pStyle w:val="Normal"/>
        <w:keepNext w:val="true"/>
        <w:widowControl w:val="false"/>
        <w:tabs>
          <w:tab w:val="left" w:pos="720" w:leader="none"/>
          <w:tab w:val="right" w:pos="5040" w:leader="none"/>
        </w:tabs>
        <w:jc w:val="both"/>
        <w:rPr>
          <w:sz w:val="24"/>
        </w:rPr>
      </w:pPr>
      <w:r>
        <w:rPr>
          <w:sz w:val="24"/>
        </w:rPr>
        <w:t>Name</w:t>
      </w:r>
      <w:r>
        <w:rPr>
          <w:sz w:val="24"/>
          <w:u w:val="single"/>
        </w:rPr>
        <w:tab/>
        <w:tab/>
        <w:tab/>
      </w:r>
    </w:p>
    <w:p>
      <w:pPr>
        <w:pStyle w:val="Normal"/>
        <w:keepNext w:val="true"/>
        <w:widowControl w:val="false"/>
        <w:tabs>
          <w:tab w:val="left" w:pos="720" w:leader="none"/>
          <w:tab w:val="right" w:pos="5040" w:leader="none"/>
        </w:tabs>
        <w:jc w:val="both"/>
        <w:rPr/>
      </w:pPr>
      <w:r>
        <w:rPr>
          <w:sz w:val="24"/>
        </w:rPr>
        <w:t>Title</w:t>
      </w:r>
      <w:r>
        <w:rPr>
          <w:sz w:val="24"/>
          <w:u w:val="single"/>
        </w:rPr>
        <w:tab/>
        <w:tab/>
        <w:tab/>
      </w:r>
    </w:p>
    <w:p>
      <w:pPr>
        <w:pStyle w:val="Justified"/>
        <w:widowControl w:val="false"/>
        <w:tabs>
          <w:tab w:val="left" w:pos="720" w:leader="none"/>
          <w:tab w:val="left" w:pos="2700" w:leader="none"/>
          <w:tab w:val="right" w:pos="5040" w:leader="none"/>
        </w:tabs>
        <w:spacing w:before="0" w:after="0"/>
        <w:rPr/>
      </w:pPr>
      <w:r>
        <w:rPr/>
        <w:tab/>
        <w:tab/>
        <w:t>“AEC”</w:t>
      </w:r>
    </w:p>
    <w:p>
      <w:pPr>
        <w:pStyle w:val="Normal"/>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728" w:right="1728" w:gutter="0" w:header="720" w:top="1872" w:footer="720" w:bottom="187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rPr>
    </w:pPr>
    <w:r>
      <w:rPr/>
    </w:r>
  </w:p>
  <w:p>
    <w:pPr>
      <w:pStyle w:val="Footer"/>
      <w:jc w:val="both"/>
      <w:rPr>
        <w:rStyle w:val="PageNumber"/>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/mnt/main-storage/datasets/enron-docs/doc/99061altr.doc</w:t>
    </w:r>
    <w:r>
      <w:rPr>
        <w:rStyle w:val="PageNumber"/>
        <w:sz w:val="12"/>
        <w:lang w:eastAsia="en-US"/>
      </w:rPr>
      <w:fldChar w:fldCharType="end"/>
    </w:r>
  </w:p>
  <w:p>
    <w:pPr>
      <w:pStyle w:val="Footer"/>
      <w:jc w:val="center"/>
      <w:rPr>
        <w:rStyle w:val="PageNumber"/>
        <w:sz w:val="12"/>
      </w:rPr>
    </w:pPr>
    <w:r>
      <w:rPr/>
    </w:r>
  </w:p>
  <w:p>
    <w:pPr>
      <w:pStyle w:val="Footer"/>
      <w:rPr>
        <w:rStyle w:val="PageNumber"/>
        <w:sz w:val="2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sz w:val="14"/>
        <w:lang w:eastAsia="en-US"/>
      </w:rPr>
    </w:pPr>
    <w:r>
      <w:rPr/>
    </w:r>
  </w:p>
  <w:p>
    <w:pPr>
      <w:pStyle w:val="Footer"/>
      <w:jc w:val="both"/>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/mnt/main-storage/datasets/enron-docs/doc/99061altr.doc</w:t>
    </w:r>
    <w:r>
      <w:rPr>
        <w:rStyle w:val="PageNumbe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Alabama Electric Cooperative, Inc.</w:t>
    </w:r>
  </w:p>
  <w:p>
    <w:pPr>
      <w:pStyle w:val="Normal"/>
      <w:rPr>
        <w:sz w:val="24"/>
      </w:rPr>
    </w:pPr>
    <w:r>
      <w:rPr>
        <w:sz w:val="24"/>
      </w:rPr>
      <w:t>September 1, 1999</w:t>
    </w:r>
  </w:p>
  <w:p>
    <w:pPr>
      <w:pStyle w:val="Normal"/>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p>
    <w:pPr>
      <w:pStyle w:val="Norma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7">
    <w:name w:val="heading 7"/>
    <w:basedOn w:val="Normal"/>
    <w:next w:val="Normal"/>
    <w:qFormat/>
    <w:pPr>
      <w:keepNext w:val="true"/>
      <w:numPr>
        <w:ilvl w:val="6"/>
        <w:numId w:val="1"/>
      </w:numPr>
      <w:tabs>
        <w:tab w:val="clear" w:pos="720"/>
        <w:tab w:val="left" w:pos="6840" w:leader="none"/>
      </w:tabs>
      <w:ind w:hanging="0" w:start="4320" w:end="0"/>
      <w:jc w:val="both"/>
      <w:outlineLvl w:val="6"/>
    </w:pPr>
    <w:rPr>
      <w:sz w:val="24"/>
    </w:rPr>
  </w:style>
  <w:style w:type="paragraph" w:styleId="Heading8">
    <w:name w:val="heading 8"/>
    <w:basedOn w:val="Normal"/>
    <w:next w:val="Normal"/>
    <w:qFormat/>
    <w:pPr>
      <w:keepNext w:val="true"/>
      <w:numPr>
        <w:ilvl w:val="7"/>
        <w:numId w:val="1"/>
      </w:numPr>
      <w:jc w:val="center"/>
      <w:outlineLvl w:val="7"/>
    </w:pPr>
    <w:rPr>
      <w:b/>
      <w:i/>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BodyTextIndent3">
    <w:name w:val="Body Text Indent 3"/>
    <w:basedOn w:val="Normal"/>
    <w:qFormat/>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1999-09-01T10:17:00Z</dcterms:created>
  <dc:creator>Daniel J. Hyvl</dc:creator>
  <dc:description/>
  <dc:language>en-CA</dc:language>
  <cp:lastModifiedBy>Daniel J. Hyvl</cp:lastModifiedBy>
  <cp:lastPrinted>1999-09-01T07:48:00Z</cp:lastPrinted>
  <dcterms:modified xsi:type="dcterms:W3CDTF">1999-09-01T10:19:00Z</dcterms:modified>
  <cp:revision>3</cp:revision>
  <dc:subject/>
  <dc:title>August 31, 1999</dc:title>
</cp:coreProperties>
</file>