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/>
      </w:pPr>
      <w:r>
        <w:rPr/>
        <w:t>Power Contracts Under Review</w:t>
      </w:r>
    </w:p>
    <w:p>
      <w:pPr>
        <w:pStyle w:val="Normal"/>
        <w:rPr/>
      </w:pPr>
      <w:r>
        <w:rPr/>
      </w:r>
    </w:p>
    <w:tbl>
      <w:tblPr>
        <w:tblW w:w="18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800"/>
        <w:gridCol w:w="1260"/>
        <w:gridCol w:w="6930"/>
        <w:gridCol w:w="2880"/>
        <w:gridCol w:w="3330"/>
      </w:tblGrid>
      <w:tr>
        <w:trPr>
          <w:tblHeader w:val="true"/>
        </w:trPr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Responsible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Attorney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MTM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08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</w:r>
          </w:p>
          <w:p>
            <w:pPr>
              <w:pStyle w:val="Normal"/>
              <w:ind w:end="-108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Current Trading Arrangements with Brief Explanation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Proposal to Improve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08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</w:r>
          </w:p>
          <w:p>
            <w:pPr>
              <w:pStyle w:val="Normal"/>
              <w:ind w:end="-108"/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>
              <w:rPr>
                <w:rFonts w:cs="Arial" w:ascii="Arial" w:hAnsi="Arial"/>
                <w:b/>
                <w:smallCaps/>
                <w:sz w:val="18"/>
              </w:rPr>
              <w:t>Status of Negotiation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American Electric Power Service Corporation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Elizabeth Sager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61,000,000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 EPMI sells power pursuant to a Power Sales Agreement dated September 1, 1997 (AEP's Paper)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 AEP sells power pursuant to a Wholesale Market Tariff (one page Market-Based Rate Tariff) with detailed Power Sales Service Agreement dated March 30, 1998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Major Issues Include</w:t>
            </w:r>
            <w:r>
              <w:rPr>
                <w:rFonts w:cs="Arial" w:ascii="Arial" w:hAnsi="Arial"/>
                <w:sz w:val="18"/>
              </w:rPr>
              <w:t>: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  No Netting/Events of Default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  No Credit</w:t>
            </w:r>
          </w:p>
          <w:p>
            <w:pPr>
              <w:pStyle w:val="BodyText"/>
              <w:ind w:end="-108"/>
              <w:rPr/>
            </w:pPr>
            <w:r>
              <w:rPr/>
              <w:t>3.  Broad performance outs coupled with no Force Majeure unless for curtailment of firm transmission when AEP sells to us; different F/M when we sell to AEP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4.  No cover in our sales to AEP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5.  AEP Service Company is our Counterparty; accordingly uncertainty as to which credit entity we can rely on.  No Guaranty given to date.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AEP has requested EPMI to execute a termination netting agreement. EPMI has not signed pending negotiations of Master. EPMI has requested AEP to negotiate a Master which would be filed at FERC as a new Service Agreement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Meeting scheduled for July 19, 1999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Bonneville Power Authority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Christian Yoder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The situation with this CP will be fully explained by 6/21/99.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Cinergy Services,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Kevin Leitao</w:t>
            </w:r>
          </w:p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(LaBoeuf)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39,000,000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 EPMI sells power pursuant to an Interchange Agreement dated June 1, 1994 (Cinergy Power) which agreement is bilateral.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 Cinergy has new cost-based tariff for its sales only; EPMI has not signed Service Agreement/Confirms as we try to negotiate better arrangement.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/>
            </w:pPr>
            <w:r>
              <w:rPr>
                <w:rFonts w:cs="Arial" w:ascii="Arial" w:hAnsi="Arial"/>
                <w:sz w:val="18"/>
              </w:rPr>
              <w:t>Cinergy has requested EPMI sign its new Tariff. EPMI has not signed in an attempt to negotiate a better agreement. Cinergy claims FERC will not allow it to use a Bilateral. Accordingly, providing comments on two documents which will be cross defaulted. Draft of comments to Cinergy week of June 14</w:t>
            </w:r>
            <w:r>
              <w:rPr>
                <w:rFonts w:cs="Arial" w:ascii="Arial" w:hAnsi="Arial"/>
                <w:sz w:val="18"/>
                <w:vertAlign w:val="superscript"/>
              </w:rPr>
              <w:t>th</w:t>
            </w:r>
            <w:r>
              <w:rPr>
                <w:rFonts w:cs="Arial" w:ascii="Arial" w:hAnsi="Arial"/>
                <w:sz w:val="18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Citizens Lehman Power Sales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Christian Yoder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The situation with this CP will be fully explained by 6/21/99.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CLECO Corporation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David Portz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Commonwealth Edison Corporation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Leslie Hansen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Major Issues Include</w:t>
            </w:r>
            <w:r>
              <w:rPr>
                <w:rFonts w:cs="Arial" w:ascii="Arial" w:hAnsi="Arial"/>
                <w:sz w:val="18"/>
              </w:rPr>
              <w:t>: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1.  No oral trades 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  Broad I/M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  No ECT D/Netting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`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Duke Energy Trading and Marketing L.L.C.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Christian Yoder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33,000,000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Major Issues Include</w:t>
            </w:r>
            <w:r>
              <w:rPr>
                <w:rFonts w:cs="Arial" w:ascii="Arial" w:hAnsi="Arial"/>
                <w:sz w:val="18"/>
              </w:rPr>
              <w:t>: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  No oral trades greater than 1 month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  No trades greater than a year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  Liability for non-firm deals (limited)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4.  Broad Force Majeure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5.  No netting/Events of Default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New Master Agreement.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Enron Master, complete with credit terms customized to address Duke’s unique “Funding Facility Agreement,” emailed to CP 6/9/99.  CP eager to blackline Master and negotiate to conclusion.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El Paso Power Services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Christian Yoder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The situation with this CP will be fully explained by 6/21/99.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Florida Power &amp; Light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Leslie Hansen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14,000,000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Negotiating with FPC for over 2 years. Detailed comments to be sent week of June 14</w:t>
            </w:r>
            <w:r>
              <w:rPr>
                <w:rFonts w:cs="Arial" w:ascii="Arial" w:hAnsi="Arial"/>
                <w:sz w:val="18"/>
                <w:vertAlign w:val="superscript"/>
              </w:rPr>
              <w:t>th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Illinois Power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Kevin Leitao</w:t>
            </w:r>
          </w:p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(LaBoeuf)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14,000,000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 EPMI sells power pursuant to an Unilateral Enabling Agreement dated June 12, 1995 (EPMI paper).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>. IPC sells under a detailed Tariff issued October 27, 1995 with signature Service Agreement.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Major Issues Include</w:t>
            </w:r>
            <w:r>
              <w:rPr>
                <w:rFonts w:cs="Arial" w:ascii="Arial" w:hAnsi="Arial"/>
                <w:sz w:val="18"/>
              </w:rPr>
              <w:t>: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  Nothing in Tariff; no Events of Default/Netting/Cover/Waiver of Consequential/Oral Trades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  Enabling Agreement; no oral trades greater than 1 month/Events of Default and netting for transactions under enabling (cherry picking)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Attempting to contact IPC, asking IPC to consider filed master approach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PECO Energy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Leslie Hansen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PP&amp;L,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David Portz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Pacificorp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Christian Yoder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The situation with this CP will be fully explained by 6/21/99.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Sonat Power Marketing,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Leslie Hansen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Virginia Electric and Power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David Portz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13,000,000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Sales</w:t>
            </w:r>
            <w:r>
              <w:rPr>
                <w:rFonts w:cs="Arial" w:ascii="Arial" w:hAnsi="Arial"/>
                <w:sz w:val="18"/>
              </w:rPr>
              <w:t>.</w:t>
            </w:r>
          </w:p>
          <w:p>
            <w:pPr>
              <w:pStyle w:val="Normal"/>
              <w:spacing w:before="80" w:after="0"/>
              <w:ind w:end="-108"/>
              <w:rPr/>
            </w:pPr>
            <w:r>
              <w:rPr>
                <w:rFonts w:cs="Arial" w:ascii="Arial" w:hAnsi="Arial"/>
                <w:b/>
                <w:sz w:val="18"/>
                <w:u w:val="single"/>
              </w:rPr>
              <w:t>Purchases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 No netting/Events of Default</w:t>
            </w:r>
          </w:p>
          <w:p>
            <w:pPr>
              <w:pStyle w:val="Normal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 Trade 2 agreements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ind w:end="-108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  <w:lang w:eastAsia="en-US"/>
      </w:rPr>
    </w:pPr>
    <w:r>
      <w:rPr>
        <w:rFonts w:cs="Arial" w:ascii="Arial" w:hAnsi="Arial"/>
        <w:sz w:val="12"/>
        <w:lang w:eastAsia="en-US"/>
      </w:rPr>
      <w:fldChar w:fldCharType="begin"/>
    </w:r>
    <w:r>
      <w:rPr>
        <w:sz w:val="12"/>
        <w:rFonts w:cs="Arial" w:ascii="Arial" w:hAnsi="Arial"/>
        <w:lang w:eastAsia="en-US"/>
      </w:rPr>
      <w:instrText xml:space="preserve"> FILENAME \p </w:instrText>
    </w:r>
    <w:r>
      <w:rPr>
        <w:sz w:val="12"/>
        <w:rFonts w:cs="Arial" w:ascii="Arial" w:hAnsi="Arial"/>
        <w:lang w:eastAsia="en-US"/>
      </w:rPr>
      <w:fldChar w:fldCharType="separate"/>
    </w:r>
    <w:r>
      <w:rPr>
        <w:sz w:val="12"/>
        <w:rFonts w:cs="Arial" w:ascii="Arial" w:hAnsi="Arial"/>
        <w:lang w:eastAsia="en-US"/>
      </w:rPr>
      <w:t>/mnt/main-storage/datasets/enron-docs/doc/990611_Contract_Review_Chart.doc</w:t>
    </w:r>
    <w:r>
      <w:rPr>
        <w:sz w:val="12"/>
        <w:rFonts w:cs="Arial" w:ascii="Arial" w:hAnsi="Arial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Attorney Client Privilege;</w:t>
    </w:r>
  </w:p>
  <w:p>
    <w:pPr>
      <w:pStyle w:val="Header"/>
      <w:jc w:val="end"/>
      <w:rPr>
        <w:b/>
      </w:rPr>
    </w:pPr>
    <w:r>
      <w:rPr>
        <w:b/>
      </w:rPr>
      <w:t>Attorney Work Product;</w:t>
    </w:r>
  </w:p>
  <w:p>
    <w:pPr>
      <w:pStyle w:val="Header"/>
      <w:jc w:val="end"/>
      <w:rPr>
        <w:b/>
      </w:rPr>
    </w:pPr>
    <w:r>
      <w:rPr>
        <w:b/>
      </w:rPr>
      <w:t>Not Discoverable</w:t>
    </w:r>
  </w:p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Attorney Client Privilege;</w:t>
    </w:r>
  </w:p>
  <w:p>
    <w:pPr>
      <w:pStyle w:val="Header"/>
      <w:jc w:val="end"/>
      <w:rPr>
        <w:b/>
      </w:rPr>
    </w:pPr>
    <w:r>
      <w:rPr>
        <w:b/>
      </w:rPr>
      <w:t>Attorney Work Product;</w:t>
    </w:r>
  </w:p>
  <w:p>
    <w:pPr>
      <w:pStyle w:val="Header"/>
      <w:jc w:val="end"/>
      <w:rPr>
        <w:b/>
      </w:rPr>
    </w:pPr>
    <w:r>
      <w:rPr>
        <w:b/>
      </w:rPr>
      <w:t>Not Discoverable</w:t>
    </w:r>
  </w:p>
  <w:p>
    <w:pPr>
      <w:pStyle w:val="Header"/>
      <w:jc w:val="end"/>
      <w:rPr>
        <w:b/>
      </w:rPr>
    </w:pPr>
    <w:r>
      <w:rPr>
        <w:b/>
      </w:rPr>
    </w:r>
  </w:p>
  <w:p>
    <w:pPr>
      <w:pStyle w:val="Header"/>
      <w:jc w:val="end"/>
      <w:rPr>
        <w:b/>
      </w:rPr>
    </w:pPr>
    <w:r>
      <w:rPr>
        <w:b/>
      </w:rPr>
      <w:fldChar w:fldCharType="begin"/>
    </w:r>
    <w:r>
      <w:rPr>
        <w:b/>
      </w:rPr>
      <w:instrText xml:space="preserve"> DATE \@"MM\/dd\/yy" </w:instrText>
    </w:r>
    <w:r>
      <w:rPr>
        <w:b/>
      </w:rPr>
      <w:fldChar w:fldCharType="separate"/>
    </w:r>
    <w:r>
      <w:rPr>
        <w:b/>
      </w:rPr>
      <w:t>09/28/25</w:t>
    </w:r>
    <w:r>
      <w:rPr>
        <w:b/>
      </w:rPr>
      <w:fldChar w:fldCharType="end"/>
    </w:r>
  </w:p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mallCaps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outlineLvl w:val="1"/>
    </w:pPr>
    <w:rPr>
      <w:rFonts w:ascii="Arial" w:hAnsi="Arial" w:cs="Arial"/>
      <w:b/>
      <w:smallCap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80" w:after="0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1999-06-11T18:06:00Z</dcterms:created>
  <dc:creator>Brenda Whitehead</dc:creator>
  <dc:description/>
  <dc:language>en-CA</dc:language>
  <cp:lastModifiedBy>Jan kING</cp:lastModifiedBy>
  <cp:lastPrinted>1999-06-11T15:19:00Z</cp:lastPrinted>
  <dcterms:modified xsi:type="dcterms:W3CDTF">1999-06-11T20:20:00Z</dcterms:modified>
  <cp:revision>4</cp:revision>
  <dc:subject/>
  <dc:title>I</dc:title>
</cp:coreProperties>
</file>