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styles.xml" ContentType="application/vnd.openxmlformats-officedocument.wordprocessingml.styles+xml"/>
  <Override PartName="/word/header7.xml" ContentType="application/vnd.openxmlformats-officedocument.wordprocessingml.header+xml"/>
  <Override PartName="/word/embeddings/oleObject1.bin" ContentType="application/vnd.openxmlformats-officedocument.oleObject"/>
  <Override PartName="/word/document.xml" ContentType="application/vnd.openxmlformats-officedocument.wordprocessingml.document.main+xml"/>
  <Override PartName="/word/media/image1.png" ContentType="image/png"/>
  <Override PartName="/word/media/image2.png" ContentType="image/png"/>
  <Override PartName="/word/footer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52" w:type="dxa"/>
        <w:jc w:val="start"/>
        <w:tblInd w:w="-180" w:type="dxa"/>
        <w:tblLayout w:type="fixed"/>
        <w:tblCellMar>
          <w:top w:w="0" w:type="dxa"/>
          <w:start w:w="108" w:type="dxa"/>
          <w:bottom w:w="0" w:type="dxa"/>
          <w:end w:w="108" w:type="dxa"/>
        </w:tblCellMar>
      </w:tblPr>
      <w:tblGrid>
        <w:gridCol w:w="2260"/>
        <w:gridCol w:w="4807"/>
        <w:gridCol w:w="2385"/>
      </w:tblGrid>
      <w:tr>
        <w:trPr>
          <w:trHeight w:val="1320" w:hRule="exact"/>
        </w:trPr>
        <w:tc>
          <w:tcPr>
            <w:tcW w:w="2260" w:type="dxa"/>
            <w:tcBorders/>
          </w:tcPr>
          <w:p>
            <w:pPr>
              <w:pStyle w:val="TOC2"/>
              <w:tabs>
                <w:tab w:val="clear" w:pos="9360"/>
              </w:tabs>
              <w:rPr>
                <w:caps w:val="false"/>
                <w:smallCaps w:val="false"/>
                <w:shadow w:val="false"/>
                <w:vanish/>
              </w:rPr>
            </w:pPr>
            <w:bookmarkStart w:id="0" w:name="cover"/>
            <w:bookmarkEnd w:id="0"/>
            <w:r>
              <w:rPr/>
              <w:object w:dxaOrig="4350" w:dyaOrig="35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2.85pt;height:64.7pt" filled="f" o:ole="">
                  <v:imagedata r:id="rId3" o:title=""/>
                </v:shape>
                <o:OLEObject Type="Embed" ProgID="" ShapeID="ole_rId2" DrawAspect="Content" ObjectID="_1131763457" r:id="rId2"/>
              </w:object>
            </w:r>
            <w:r>
              <w:rPr>
                <w:caps w:val="false"/>
                <w:smallCaps w:val="false"/>
                <w:shadow w:val="false"/>
                <w:vanish/>
              </w:rPr>
              <w:drawing>
                <wp:inline distT="0" distB="0" distL="0" distR="0">
                  <wp:extent cx="1061720" cy="831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tretch>
                            <a:fillRect/>
                          </a:stretch>
                        </pic:blipFill>
                        <pic:spPr bwMode="auto">
                          <a:xfrm>
                            <a:off x="0" y="0"/>
                            <a:ext cx="1061720" cy="831215"/>
                          </a:xfrm>
                          <a:prstGeom prst="rect">
                            <a:avLst/>
                          </a:prstGeom>
                        </pic:spPr>
                      </pic:pic>
                    </a:graphicData>
                  </a:graphic>
                </wp:inline>
              </w:drawing>
            </w:r>
          </w:p>
        </w:tc>
        <w:tc>
          <w:tcPr>
            <w:tcW w:w="4807" w:type="dxa"/>
            <w:tcBorders/>
          </w:tcPr>
          <w:p>
            <w:pPr>
              <w:pStyle w:val="Normal"/>
              <w:ind w:end="16"/>
              <w:jc w:val="end"/>
              <w:rPr>
                <w:b/>
                <w:sz w:val="32"/>
              </w:rPr>
            </w:pPr>
            <w:r>
              <w:rPr>
                <w:b/>
                <w:sz w:val="32"/>
              </w:rPr>
              <w:t>STATE OF CONNECTICUT</w:t>
            </w:r>
          </w:p>
        </w:tc>
        <w:tc>
          <w:tcPr>
            <w:tcW w:w="2385" w:type="dxa"/>
            <w:tcBorders/>
          </w:tcPr>
          <w:p>
            <w:pPr>
              <w:pStyle w:val="Normal"/>
              <w:snapToGrid w:val="false"/>
              <w:jc w:val="end"/>
              <w:rPr>
                <w:b/>
                <w:sz w:val="20"/>
              </w:rPr>
            </w:pPr>
            <w:r>
              <w:rPr>
                <w:b/>
                <w:sz w:val="20"/>
              </w:rPr>
            </w:r>
          </w:p>
        </w:tc>
      </w:tr>
    </w:tbl>
    <w:p>
      <w:pPr>
        <w:pStyle w:val="Normal"/>
        <w:spacing w:lineRule="atLeast" w:line="240"/>
        <w:jc w:val="center"/>
        <w:rPr>
          <w:b/>
        </w:rPr>
      </w:pPr>
      <w:r>
        <w:rPr>
          <w:b/>
        </w:rPr>
        <w:t>DEPARTMENT OF PUBLIC UTILITY CONTROL</w:t>
      </w:r>
    </w:p>
    <w:p>
      <w:pPr>
        <w:pStyle w:val="Normal"/>
        <w:spacing w:lineRule="atLeast" w:line="240"/>
        <w:jc w:val="center"/>
        <w:rPr>
          <w:b/>
        </w:rPr>
      </w:pPr>
      <w:r>
        <w:rPr>
          <w:b/>
        </w:rPr>
        <w:t>TEN FRANKLIN SQUARE</w:t>
      </w:r>
    </w:p>
    <w:p>
      <w:pPr>
        <w:pStyle w:val="Normal"/>
        <w:spacing w:lineRule="atLeast" w:line="240"/>
        <w:jc w:val="center"/>
        <w:rPr>
          <w:b/>
        </w:rPr>
      </w:pPr>
      <w:r>
        <w:rPr>
          <w:b/>
        </w:rPr>
        <w:t>NEW BRITAIN, CT 06051</w:t>
      </w:r>
    </w:p>
    <w:p>
      <w:pPr>
        <w:pStyle w:val="Normal"/>
        <w:spacing w:lineRule="atLeast" w:line="240"/>
        <w:jc w:val="center"/>
        <w:rPr>
          <w:b/>
        </w:rPr>
      </w:pPr>
      <w:r>
        <w:rPr>
          <w:b/>
        </w:rPr>
      </w:r>
    </w:p>
    <w:p>
      <w:pPr>
        <w:pStyle w:val="Normal"/>
        <w:spacing w:lineRule="atLeast" w:line="240"/>
        <w:jc w:val="center"/>
        <w:rPr>
          <w:b/>
        </w:rPr>
      </w:pPr>
      <w:r>
        <w:rPr>
          <w:b/>
        </w:rPr>
      </w:r>
    </w:p>
    <w:p>
      <w:pPr>
        <w:pStyle w:val="Normal"/>
        <w:spacing w:lineRule="atLeast" w:line="240"/>
        <w:jc w:val="center"/>
        <w:rPr>
          <w:b/>
        </w:rPr>
      </w:pPr>
      <w:r>
        <w:rPr>
          <w:b/>
        </w:rPr>
      </w:r>
    </w:p>
    <w:tbl>
      <w:tblPr>
        <w:tblW w:w="9523" w:type="dxa"/>
        <w:jc w:val="start"/>
        <w:tblInd w:w="0" w:type="dxa"/>
        <w:tblLayout w:type="fixed"/>
        <w:tblCellMar>
          <w:top w:w="0" w:type="dxa"/>
          <w:start w:w="108" w:type="dxa"/>
          <w:bottom w:w="0" w:type="dxa"/>
          <w:end w:w="108" w:type="dxa"/>
        </w:tblCellMar>
      </w:tblPr>
      <w:tblGrid>
        <w:gridCol w:w="2825"/>
        <w:gridCol w:w="6698"/>
      </w:tblGrid>
      <w:tr>
        <w:trPr/>
        <w:tc>
          <w:tcPr>
            <w:tcW w:w="2825" w:type="dxa"/>
            <w:tcBorders/>
          </w:tcPr>
          <w:p>
            <w:pPr>
              <w:pStyle w:val="Normal"/>
              <w:spacing w:lineRule="atLeast" w:line="240"/>
              <w:rPr/>
            </w:pPr>
            <w:r>
              <w:rPr>
                <w:b/>
                <w:caps/>
              </w:rPr>
              <w:t xml:space="preserve">Docket No. </w:t>
            </w:r>
            <w:bookmarkStart w:id="1" w:name="Docknum_Copy_1"/>
            <w:bookmarkStart w:id="2" w:name="Docknum"/>
            <w:r>
              <w:rPr>
                <w:b/>
                <w:caps/>
              </w:rPr>
              <w:fldChar w:fldCharType="begin"/>
            </w:r>
            <w:r>
              <w:rPr>
                <w:caps/>
                <w:b/>
              </w:rPr>
              <w:instrText xml:space="preserve"> ASK "Docknum" Enter the docket number of the case (i.e., 92-11-11) \d 99-03-35</w:instrText>
            </w:r>
            <w:r>
              <w:rPr>
                <w:caps/>
                <w:b/>
              </w:rPr>
              <w:fldChar w:fldCharType="separate"/>
            </w:r>
            <w:bookmarkStart w:id="3" w:name="Docknum"/>
            <w:r>
              <w:rPr>
                <w:caps/>
                <w:b/>
              </w:rPr>
            </w:r>
            <w:bookmarkEnd w:id="3"/>
            <w:r>
              <w:rPr>
                <w:caps/>
                <w:b/>
              </w:rPr>
              <w:fldChar w:fldCharType="end"/>
            </w:r>
            <w:bookmarkEnd w:id="1"/>
            <w:bookmarkEnd w:id="2"/>
            <w:r>
              <w:rPr>
                <w:b/>
                <w:caps/>
              </w:rPr>
              <w:fldChar w:fldCharType="begin"/>
            </w:r>
            <w:r>
              <w:rPr>
                <w:caps/>
                <w:b/>
              </w:rPr>
              <w:instrText xml:space="preserve"> REF "Docknum" </w:instrText>
            </w:r>
            <w:r>
              <w:rPr>
                <w:caps/>
                <w:b/>
              </w:rPr>
              <w:fldChar w:fldCharType="separate"/>
            </w:r>
            <w:r>
              <w:rPr>
                <w:caps/>
                <w:b/>
              </w:rPr>
              <w:t>99-03-35</w:t>
            </w:r>
            <w:r>
              <w:rPr>
                <w:caps/>
                <w:b/>
              </w:rPr>
              <w:fldChar w:fldCharType="end"/>
            </w:r>
          </w:p>
        </w:tc>
        <w:tc>
          <w:tcPr>
            <w:tcW w:w="6698" w:type="dxa"/>
            <w:tcBorders/>
          </w:tcPr>
          <w:p>
            <w:pPr>
              <w:pStyle w:val="Normal"/>
              <w:spacing w:lineRule="atLeast" w:line="240"/>
              <w:rPr>
                <w:b/>
                <w:caps/>
              </w:rPr>
            </w:pPr>
            <w:bookmarkStart w:id="4" w:name="title"/>
            <w:r>
              <w:rPr>
                <w:b/>
                <w:caps/>
              </w:rPr>
              <w:fldChar w:fldCharType="begin"/>
            </w:r>
            <w:r>
              <w:rPr>
                <w:caps/>
                <w:b/>
              </w:rPr>
              <w:instrText xml:space="preserve"> ASK "title" Enter the complete title \d DPUC Determination of The United Illuminating Company's Standard Offer</w:instrText>
            </w:r>
            <w:r>
              <w:rPr>
                <w:caps/>
                <w:b/>
              </w:rPr>
              <w:fldChar w:fldCharType="separate"/>
            </w:r>
            <w:bookmarkStart w:id="5" w:name="title"/>
            <w:r>
              <w:rPr>
                <w:caps/>
                <w:b/>
              </w:rPr>
            </w:r>
            <w:bookmarkEnd w:id="5"/>
            <w:r>
              <w:rPr>
                <w:caps/>
                <w:b/>
              </w:rPr>
              <w:fldChar w:fldCharType="end"/>
            </w:r>
            <w:bookmarkEnd w:id="4"/>
            <w:r>
              <w:rPr>
                <w:b/>
                <w:caps/>
              </w:rPr>
              <w:fldChar w:fldCharType="begin"/>
            </w:r>
            <w:r>
              <w:rPr>
                <w:caps/>
                <w:b/>
              </w:rPr>
              <w:instrText xml:space="preserve"> REF "title" </w:instrText>
            </w:r>
            <w:r>
              <w:rPr>
                <w:caps/>
                <w:b/>
              </w:rPr>
              <w:fldChar w:fldCharType="separate"/>
            </w:r>
            <w:r>
              <w:rPr>
                <w:caps/>
                <w:b/>
              </w:rPr>
              <w:t>DPUC Determination of The United Illuminating Company's Standard Offer</w:t>
            </w:r>
            <w:r>
              <w:rPr>
                <w:caps/>
                <w:b/>
              </w:rPr>
              <w:fldChar w:fldCharType="end"/>
            </w:r>
          </w:p>
        </w:tc>
      </w:tr>
    </w:tbl>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jc w:val="center"/>
        <w:rPr/>
      </w:pPr>
      <w:r>
        <w:rPr/>
      </w:r>
    </w:p>
    <w:p>
      <w:pPr>
        <w:pStyle w:val="Normal"/>
        <w:spacing w:lineRule="atLeast" w:line="240"/>
        <w:jc w:val="center"/>
        <w:rPr/>
      </w:pPr>
      <w:r>
        <w:rPr/>
        <w:fldChar w:fldCharType="begin"/>
      </w:r>
      <w:r>
        <w:rPr/>
        <w:instrText xml:space="preserve"> FILLIN "Enter the distribution date of the draft.  If exact date unknown, enter expected month and year.  i.e., February     , 1994"</w:instrText>
      </w:r>
      <w:r>
        <w:rPr/>
        <w:fldChar w:fldCharType="separate"/>
      </w:r>
      <w:r>
        <w:rPr/>
        <w:t>December 9, 1999</w:t>
      </w:r>
      <w:r>
        <w:rPr/>
        <w:fldChar w:fldCharType="end"/>
      </w:r>
    </w:p>
    <w:p>
      <w:pPr>
        <w:pStyle w:val="Normal"/>
        <w:spacing w:lineRule="atLeast" w:line="240"/>
        <w:jc w:val="center"/>
        <w:rPr/>
      </w:pPr>
      <w:r>
        <w:rPr/>
      </w:r>
    </w:p>
    <w:p>
      <w:pPr>
        <w:pStyle w:val="Normal"/>
        <w:spacing w:lineRule="atLeast" w:line="240"/>
        <w:jc w:val="center"/>
        <w:rPr/>
      </w:pPr>
      <w:r>
        <w:rPr/>
        <w:t>By the following Commissioners:</w:t>
      </w:r>
    </w:p>
    <w:p>
      <w:pPr>
        <w:pStyle w:val="Normal"/>
        <w:spacing w:lineRule="atLeast" w:line="240"/>
        <w:jc w:val="center"/>
        <w:rPr/>
      </w:pPr>
      <w:r>
        <w:rPr/>
      </w:r>
    </w:p>
    <w:p>
      <w:pPr>
        <w:pStyle w:val="Normal"/>
        <w:spacing w:lineRule="atLeast" w:line="240"/>
        <w:jc w:val="center"/>
        <w:rPr/>
      </w:pPr>
      <w:r>
        <w:rPr/>
      </w:r>
    </w:p>
    <w:tbl>
      <w:tblPr>
        <w:tblW w:w="6152" w:type="dxa"/>
        <w:jc w:val="start"/>
        <w:tblInd w:w="3682" w:type="dxa"/>
        <w:tblLayout w:type="fixed"/>
        <w:tblCellMar>
          <w:top w:w="0" w:type="dxa"/>
          <w:start w:w="108" w:type="dxa"/>
          <w:bottom w:w="0" w:type="dxa"/>
          <w:end w:w="108" w:type="dxa"/>
        </w:tblCellMar>
      </w:tblPr>
      <w:tblGrid>
        <w:gridCol w:w="6152"/>
      </w:tblGrid>
      <w:tr>
        <w:trPr/>
        <w:tc>
          <w:tcPr>
            <w:tcW w:w="6152" w:type="dxa"/>
            <w:tcBorders/>
          </w:tcPr>
          <w:p>
            <w:pPr>
              <w:pStyle w:val="Normal"/>
              <w:spacing w:lineRule="atLeast" w:line="240"/>
              <w:rPr/>
            </w:pPr>
            <w:r>
              <w:rPr/>
              <w:t xml:space="preserve">John W. Betkoski, III </w:t>
            </w:r>
          </w:p>
        </w:tc>
      </w:tr>
      <w:tr>
        <w:trPr/>
        <w:tc>
          <w:tcPr>
            <w:tcW w:w="6152" w:type="dxa"/>
            <w:tcBorders/>
          </w:tcPr>
          <w:p>
            <w:pPr>
              <w:pStyle w:val="Normal"/>
              <w:spacing w:lineRule="atLeast" w:line="240"/>
              <w:rPr/>
            </w:pPr>
            <w:bookmarkStart w:id="6" w:name="comm2"/>
            <w:bookmarkEnd w:id="6"/>
            <w:r>
              <w:rPr/>
              <w:t>Donald W. Downes</w:t>
            </w:r>
          </w:p>
        </w:tc>
      </w:tr>
      <w:tr>
        <w:trPr/>
        <w:tc>
          <w:tcPr>
            <w:tcW w:w="6152" w:type="dxa"/>
            <w:tcBorders/>
          </w:tcPr>
          <w:p>
            <w:pPr>
              <w:pStyle w:val="Normal"/>
              <w:spacing w:lineRule="atLeast" w:line="240"/>
              <w:rPr/>
            </w:pPr>
            <w:bookmarkStart w:id="7" w:name="comm3"/>
            <w:bookmarkEnd w:id="7"/>
            <w:r>
              <w:rPr/>
              <w:t>Jack R. Goldberg</w:t>
            </w:r>
          </w:p>
        </w:tc>
      </w:tr>
      <w:tr>
        <w:trPr/>
        <w:tc>
          <w:tcPr>
            <w:tcW w:w="6152" w:type="dxa"/>
            <w:tcBorders/>
          </w:tcPr>
          <w:p>
            <w:pPr>
              <w:pStyle w:val="Normal"/>
              <w:snapToGrid w:val="false"/>
              <w:spacing w:lineRule="atLeast" w:line="240"/>
              <w:rPr/>
            </w:pPr>
            <w:r>
              <w:rPr/>
            </w:r>
            <w:bookmarkStart w:id="8" w:name="four"/>
            <w:bookmarkStart w:id="9" w:name="comm4"/>
            <w:bookmarkStart w:id="10" w:name="four"/>
            <w:bookmarkStart w:id="11" w:name="comm4"/>
            <w:bookmarkEnd w:id="10"/>
            <w:bookmarkEnd w:id="11"/>
          </w:p>
        </w:tc>
      </w:tr>
      <w:tr>
        <w:trPr/>
        <w:tc>
          <w:tcPr>
            <w:tcW w:w="6152" w:type="dxa"/>
            <w:tcBorders/>
          </w:tcPr>
          <w:p>
            <w:pPr>
              <w:pStyle w:val="Normal"/>
              <w:snapToGrid w:val="false"/>
              <w:spacing w:lineRule="atLeast" w:line="240"/>
              <w:rPr/>
            </w:pPr>
            <w:r>
              <w:rPr/>
            </w:r>
            <w:bookmarkStart w:id="12" w:name="comm5"/>
            <w:bookmarkStart w:id="13" w:name="comm5"/>
            <w:bookmarkEnd w:id="13"/>
          </w:p>
        </w:tc>
      </w:tr>
    </w:tbl>
    <w:p>
      <w:pPr>
        <w:pStyle w:val="Normal"/>
        <w:spacing w:lineRule="atLeast" w:line="240"/>
        <w:jc w:val="center"/>
        <w:rPr/>
      </w:pPr>
      <w:r>
        <w:rPr/>
      </w:r>
    </w:p>
    <w:p>
      <w:pPr>
        <w:pStyle w:val="Normal"/>
        <w:spacing w:lineRule="atLeast" w:line="240"/>
        <w:jc w:val="center"/>
        <w:rPr/>
      </w:pPr>
      <w:r>
        <w:rPr/>
      </w:r>
      <w:bookmarkStart w:id="14" w:name="five"/>
      <w:bookmarkStart w:id="15" w:name="five"/>
      <w:bookmarkEnd w:id="15"/>
    </w:p>
    <w:p>
      <w:pPr>
        <w:pStyle w:val="Normal"/>
        <w:spacing w:lineRule="atLeast" w:line="240"/>
        <w:jc w:val="center"/>
        <w:rPr/>
      </w:pPr>
      <w:r>
        <w:rPr/>
      </w:r>
    </w:p>
    <w:p>
      <w:pPr>
        <w:pStyle w:val="Normal"/>
        <w:spacing w:lineRule="atLeast" w:line="240"/>
        <w:jc w:val="center"/>
        <w:rPr/>
      </w:pPr>
      <w:r>
        <w:rPr/>
      </w:r>
    </w:p>
    <w:p>
      <w:pPr>
        <w:pStyle w:val="Normal"/>
        <w:spacing w:lineRule="atLeast" w:line="240"/>
        <w:jc w:val="center"/>
        <w:rPr/>
      </w:pPr>
      <w:r>
        <w:rPr/>
      </w:r>
    </w:p>
    <w:p>
      <w:pPr>
        <w:pStyle w:val="Normal"/>
        <w:spacing w:lineRule="atLeast" w:line="240"/>
        <w:jc w:val="center"/>
        <w:rPr>
          <w:b/>
          <w:sz w:val="26"/>
          <w:u w:val="single"/>
        </w:rPr>
      </w:pPr>
      <w:r>
        <w:rPr>
          <w:b/>
          <w:sz w:val="26"/>
          <w:u w:val="single"/>
        </w:rPr>
        <w:t>DECISION</w:t>
      </w:r>
    </w:p>
    <w:p>
      <w:pPr>
        <w:pStyle w:val="Normal"/>
        <w:spacing w:lineRule="atLeast" w:line="240"/>
        <w:rPr>
          <w:b/>
          <w:sz w:val="26"/>
          <w:u w:val="single"/>
        </w:rPr>
      </w:pPr>
      <w:r>
        <w:rPr>
          <w:b/>
          <w:sz w:val="26"/>
          <w:u w:val="single"/>
        </w:rPr>
      </w:r>
    </w:p>
    <w:p>
      <w:pPr>
        <w:pStyle w:val="Normal"/>
        <w:spacing w:lineRule="atLeast" w:line="240"/>
        <w:rPr/>
      </w:pPr>
      <w:r>
        <w:rPr/>
      </w:r>
    </w:p>
    <w:p>
      <w:pPr>
        <w:pStyle w:val="Normal"/>
        <w:spacing w:lineRule="atLeast" w:line="240"/>
        <w:rPr>
          <w:b/>
          <w:sz w:val="20"/>
        </w:rPr>
      </w:pPr>
      <w:r>
        <w:rPr>
          <w:b/>
          <w:sz w:val="20"/>
        </w:rPr>
      </w:r>
    </w:p>
    <w:p>
      <w:pPr>
        <w:pStyle w:val="Normal"/>
        <w:spacing w:lineRule="atLeast" w:line="240"/>
        <w:rPr>
          <w:b/>
          <w:sz w:val="20"/>
        </w:rPr>
      </w:pPr>
      <w:r>
        <w:rPr>
          <w:b/>
          <w:sz w:val="20"/>
        </w:rPr>
      </w:r>
    </w:p>
    <w:p>
      <w:pPr>
        <w:sectPr>
          <w:headerReference w:type="default" r:id="rId5"/>
          <w:headerReference w:type="first" r:id="rId6"/>
          <w:footerReference w:type="default" r:id="rId7"/>
          <w:footerReference w:type="first" r:id="rId8"/>
          <w:type w:val="nextPage"/>
          <w:pgSz w:w="12240" w:h="15840"/>
          <w:pgMar w:left="1440" w:right="1440" w:gutter="0" w:header="432" w:top="1152" w:footer="288" w:bottom="1152"/>
          <w:pgNumType w:fmt="decimal"/>
          <w:formProt w:val="false"/>
          <w:titlePg/>
          <w:textDirection w:val="lrTb"/>
          <w:docGrid w:type="default" w:linePitch="360" w:charSpace="0"/>
        </w:sectPr>
        <w:pStyle w:val="Normal"/>
        <w:spacing w:lineRule="atLeast" w:line="240"/>
        <w:rPr/>
      </w:pPr>
      <w:r>
        <w:rPr/>
      </w:r>
    </w:p>
    <w:p>
      <w:pPr>
        <w:pStyle w:val="Normal"/>
        <w:spacing w:lineRule="atLeast" w:line="240"/>
        <w:jc w:val="center"/>
        <w:rPr>
          <w:caps w:val="false"/>
          <w:smallCaps w:val="false"/>
          <w:shadow w:val="false"/>
          <w:u w:val="double"/>
        </w:rPr>
      </w:pPr>
      <w:r>
        <w:rPr>
          <w:caps w:val="false"/>
          <w:smallCaps w:val="false"/>
          <w:shadow w:val="false"/>
          <w:u w:val="double"/>
        </w:rPr>
      </w:r>
      <w:bookmarkStart w:id="16" w:name="pend"/>
      <w:bookmarkStart w:id="17" w:name="pend"/>
      <w:bookmarkEnd w:id="17"/>
    </w:p>
    <w:p>
      <w:pPr>
        <w:pStyle w:val="Normal"/>
        <w:spacing w:lineRule="atLeast" w:line="240"/>
        <w:jc w:val="center"/>
        <w:rPr/>
      </w:pPr>
      <w:r>
        <w:rPr/>
        <w:t>CONTENTS</w:t>
      </w:r>
    </w:p>
    <w:sdt>
      <w:sdtPr>
        <w:docPartObj>
          <w:docPartGallery w:val="Table of Contents"/>
          <w:docPartUnique w:val="true"/>
        </w:docPartObj>
      </w:sdtPr>
      <w:sdtContent>
        <w:p>
          <w:pPr>
            <w:pStyle w:val="TOC1"/>
            <w:tabs>
              <w:tab w:val="left" w:pos="576" w:leader="none"/>
              <w:tab w:val="decimal" w:pos="9360" w:leader="dot"/>
            </w:tabs>
            <w:rPr>
              <w:lang w:val="en-CA"/>
            </w:rPr>
          </w:pPr>
          <w:r>
            <w:fldChar w:fldCharType="begin"/>
          </w:r>
          <w:r>
            <w:rPr>
              <w:lang w:val="en-CA"/>
            </w:rPr>
            <w:instrText xml:space="preserve"> TOC \o "1-3" </w:instrText>
          </w:r>
          <w:r>
            <w:rPr>
              <w:lang w:val="en-CA"/>
            </w:rPr>
            <w:fldChar w:fldCharType="separate"/>
          </w:r>
          <w:r>
            <w:rPr>
              <w:lang w:val="en-CA"/>
            </w:rPr>
            <w:t>I.</w:t>
            <w:tab/>
            <w:t>Introduction</w:t>
            <w:tab/>
          </w:r>
          <w:hyperlink w:anchor="__RefHeading___Toc469364234">
            <w:r>
              <w:rPr>
                <w:rStyle w:val="IndexLink"/>
                <w:lang w:val="en-CA"/>
              </w:rPr>
              <w:t>1</w:t>
            </w:r>
          </w:hyperlink>
        </w:p>
        <w:p>
          <w:pPr>
            <w:pStyle w:val="TOC2"/>
            <w:tabs>
              <w:tab w:val="left" w:pos="864" w:leader="none"/>
              <w:tab w:val="decimal" w:pos="9360" w:leader="dot"/>
            </w:tabs>
            <w:rPr>
              <w:lang w:val="en-CA"/>
            </w:rPr>
          </w:pPr>
          <w:r>
            <w:rPr>
              <w:lang w:val="en-CA"/>
            </w:rPr>
            <w:t>A.</w:t>
            <w:tab/>
            <w:t>Summary</w:t>
            <w:tab/>
          </w:r>
          <w:hyperlink w:anchor="__RefHeading___Toc469364235">
            <w:r>
              <w:rPr>
                <w:rStyle w:val="IndexLink"/>
                <w:lang w:val="en-CA"/>
              </w:rPr>
              <w:t>1</w:t>
            </w:r>
          </w:hyperlink>
        </w:p>
        <w:p>
          <w:pPr>
            <w:pStyle w:val="TOC2"/>
            <w:tabs>
              <w:tab w:val="left" w:pos="864" w:leader="none"/>
              <w:tab w:val="decimal" w:pos="9360" w:leader="dot"/>
            </w:tabs>
            <w:rPr>
              <w:lang w:val="en-CA"/>
            </w:rPr>
          </w:pPr>
          <w:r>
            <w:rPr>
              <w:lang w:val="en-CA"/>
            </w:rPr>
            <w:t>B.</w:t>
            <w:tab/>
            <w:t>Background</w:t>
            <w:tab/>
          </w:r>
          <w:hyperlink w:anchor="__RefHeading___Toc469364236">
            <w:r>
              <w:rPr>
                <w:rStyle w:val="IndexLink"/>
                <w:lang w:val="en-CA"/>
              </w:rPr>
              <w:t>1</w:t>
            </w:r>
          </w:hyperlink>
        </w:p>
        <w:p>
          <w:pPr>
            <w:pStyle w:val="TOC2"/>
            <w:tabs>
              <w:tab w:val="left" w:pos="864" w:leader="none"/>
              <w:tab w:val="decimal" w:pos="9360" w:leader="dot"/>
            </w:tabs>
            <w:rPr>
              <w:lang w:val="en-CA"/>
            </w:rPr>
          </w:pPr>
          <w:r>
            <w:rPr>
              <w:lang w:val="en-CA"/>
            </w:rPr>
            <w:t>C.</w:t>
            <w:tab/>
            <w:t>Conduct of the Proceeding</w:t>
            <w:tab/>
          </w:r>
          <w:hyperlink w:anchor="__RefHeading___Toc469364237">
            <w:r>
              <w:rPr>
                <w:rStyle w:val="IndexLink"/>
                <w:lang w:val="en-CA"/>
              </w:rPr>
              <w:t>1</w:t>
            </w:r>
          </w:hyperlink>
        </w:p>
        <w:p>
          <w:pPr>
            <w:pStyle w:val="TOC2"/>
            <w:tabs>
              <w:tab w:val="left" w:pos="864" w:leader="none"/>
              <w:tab w:val="decimal" w:pos="9360" w:leader="dot"/>
            </w:tabs>
            <w:rPr>
              <w:lang w:val="en-CA"/>
            </w:rPr>
          </w:pPr>
          <w:r>
            <w:rPr>
              <w:lang w:val="en-CA"/>
            </w:rPr>
            <w:t>D.</w:t>
            <w:tab/>
            <w:t>Parties and Intervenors</w:t>
            <w:tab/>
          </w:r>
          <w:hyperlink w:anchor="__RefHeading___Toc469364238">
            <w:r>
              <w:rPr>
                <w:rStyle w:val="IndexLink"/>
                <w:lang w:val="en-CA"/>
              </w:rPr>
              <w:t>2</w:t>
            </w:r>
          </w:hyperlink>
        </w:p>
        <w:p>
          <w:pPr>
            <w:pStyle w:val="TOC1"/>
            <w:tabs>
              <w:tab w:val="left" w:pos="576" w:leader="none"/>
              <w:tab w:val="decimal" w:pos="9360" w:leader="dot"/>
            </w:tabs>
            <w:rPr>
              <w:lang w:val="en-CA"/>
            </w:rPr>
          </w:pPr>
          <w:r>
            <w:rPr>
              <w:lang w:val="en-CA"/>
            </w:rPr>
            <w:t>II.</w:t>
            <w:tab/>
            <w:t>Department Analysis</w:t>
            <w:tab/>
          </w:r>
          <w:hyperlink w:anchor="__RefHeading___Toc469364239">
            <w:r>
              <w:rPr>
                <w:rStyle w:val="IndexLink"/>
                <w:lang w:val="en-CA"/>
              </w:rPr>
              <w:t>2</w:t>
            </w:r>
          </w:hyperlink>
        </w:p>
        <w:p>
          <w:pPr>
            <w:pStyle w:val="TOC2"/>
            <w:tabs>
              <w:tab w:val="left" w:pos="864" w:leader="none"/>
              <w:tab w:val="decimal" w:pos="9360" w:leader="dot"/>
            </w:tabs>
            <w:rPr>
              <w:lang w:val="en-CA"/>
            </w:rPr>
          </w:pPr>
          <w:r>
            <w:rPr>
              <w:lang w:val="en-CA"/>
            </w:rPr>
            <w:t>A.</w:t>
            <w:tab/>
            <w:t>General</w:t>
            <w:tab/>
          </w:r>
          <w:hyperlink w:anchor="__RefHeading___Toc469364240">
            <w:r>
              <w:rPr>
                <w:rStyle w:val="IndexLink"/>
                <w:lang w:val="en-CA"/>
              </w:rPr>
              <w:t>2</w:t>
            </w:r>
          </w:hyperlink>
        </w:p>
        <w:p>
          <w:pPr>
            <w:pStyle w:val="TOC2"/>
            <w:tabs>
              <w:tab w:val="left" w:pos="864" w:leader="none"/>
              <w:tab w:val="decimal" w:pos="9360" w:leader="dot"/>
            </w:tabs>
            <w:rPr>
              <w:lang w:val="en-CA"/>
            </w:rPr>
          </w:pPr>
          <w:r>
            <w:rPr>
              <w:lang w:val="en-CA"/>
            </w:rPr>
            <w:t>B.</w:t>
            <w:tab/>
            <w:t>Enron Settlement</w:t>
            <w:tab/>
          </w:r>
          <w:hyperlink w:anchor="__RefHeading___Toc469364241">
            <w:r>
              <w:rPr>
                <w:rStyle w:val="IndexLink"/>
                <w:lang w:val="en-CA"/>
              </w:rPr>
              <w:t>2</w:t>
            </w:r>
          </w:hyperlink>
        </w:p>
        <w:p>
          <w:pPr>
            <w:pStyle w:val="TOC3"/>
            <w:tabs>
              <w:tab w:val="left" w:pos="864" w:leader="none"/>
              <w:tab w:val="decimal" w:pos="9360" w:leader="dot"/>
            </w:tabs>
            <w:rPr>
              <w:lang w:val="en-CA"/>
            </w:rPr>
          </w:pPr>
          <w:r>
            <w:rPr>
              <w:lang w:val="en-CA"/>
            </w:rPr>
            <w:t>1.</w:t>
            <w:tab/>
            <w:t>Standard Offer Supply Price</w:t>
            <w:tab/>
          </w:r>
          <w:hyperlink w:anchor="__RefHeading___Toc469364242">
            <w:r>
              <w:rPr>
                <w:rStyle w:val="IndexLink"/>
                <w:lang w:val="en-CA"/>
              </w:rPr>
              <w:t>2</w:t>
            </w:r>
          </w:hyperlink>
        </w:p>
        <w:p>
          <w:pPr>
            <w:pStyle w:val="TOC3"/>
            <w:tabs>
              <w:tab w:val="left" w:pos="864" w:leader="none"/>
              <w:tab w:val="decimal" w:pos="9360" w:leader="dot"/>
            </w:tabs>
            <w:rPr>
              <w:lang w:val="en-CA"/>
            </w:rPr>
          </w:pPr>
          <w:r>
            <w:rPr>
              <w:lang w:val="en-CA"/>
            </w:rPr>
            <w:t>2.</w:t>
            <w:tab/>
            <w:t>SOS Cost Adjustment</w:t>
            <w:tab/>
          </w:r>
          <w:hyperlink w:anchor="__RefHeading___Toc469364243">
            <w:r>
              <w:rPr>
                <w:rStyle w:val="IndexLink"/>
                <w:lang w:val="en-CA"/>
              </w:rPr>
              <w:t>2</w:t>
            </w:r>
          </w:hyperlink>
        </w:p>
        <w:p>
          <w:pPr>
            <w:pStyle w:val="TOC2"/>
            <w:tabs>
              <w:tab w:val="left" w:pos="864" w:leader="none"/>
              <w:tab w:val="decimal" w:pos="9360" w:leader="dot"/>
            </w:tabs>
            <w:rPr>
              <w:lang w:val="en-CA"/>
            </w:rPr>
          </w:pPr>
          <w:r>
            <w:rPr>
              <w:lang w:val="en-CA"/>
            </w:rPr>
            <w:t>C.</w:t>
            <w:tab/>
            <w:t>Rates</w:t>
            <w:tab/>
          </w:r>
          <w:hyperlink w:anchor="__RefHeading___Toc469364244">
            <w:r>
              <w:rPr>
                <w:rStyle w:val="IndexLink"/>
                <w:lang w:val="en-CA"/>
              </w:rPr>
              <w:t>3</w:t>
            </w:r>
          </w:hyperlink>
        </w:p>
        <w:p>
          <w:pPr>
            <w:pStyle w:val="TOC3"/>
            <w:tabs>
              <w:tab w:val="left" w:pos="864" w:leader="none"/>
              <w:tab w:val="decimal" w:pos="9360" w:leader="dot"/>
            </w:tabs>
            <w:rPr>
              <w:lang w:val="en-CA"/>
            </w:rPr>
          </w:pPr>
          <w:r>
            <w:rPr>
              <w:lang w:val="en-CA"/>
            </w:rPr>
            <w:t>1.</w:t>
            <w:tab/>
            <w:t>General</w:t>
            <w:tab/>
          </w:r>
          <w:hyperlink w:anchor="__RefHeading___Toc469364245">
            <w:r>
              <w:rPr>
                <w:rStyle w:val="IndexLink"/>
                <w:lang w:val="en-CA"/>
              </w:rPr>
              <w:t>3</w:t>
            </w:r>
          </w:hyperlink>
        </w:p>
        <w:p>
          <w:pPr>
            <w:pStyle w:val="TOC3"/>
            <w:tabs>
              <w:tab w:val="left" w:pos="864" w:leader="none"/>
              <w:tab w:val="decimal" w:pos="9360" w:leader="dot"/>
            </w:tabs>
            <w:rPr>
              <w:lang w:val="en-CA"/>
            </w:rPr>
          </w:pPr>
          <w:r>
            <w:rPr>
              <w:lang w:val="en-CA"/>
            </w:rPr>
            <w:t>2.</w:t>
            <w:tab/>
            <w:t>Terms and Conditions</w:t>
            <w:tab/>
          </w:r>
          <w:hyperlink w:anchor="__RefHeading___Toc469364246">
            <w:r>
              <w:rPr>
                <w:rStyle w:val="IndexLink"/>
                <w:lang w:val="en-CA"/>
              </w:rPr>
              <w:t>4</w:t>
            </w:r>
          </w:hyperlink>
        </w:p>
        <w:p>
          <w:pPr>
            <w:pStyle w:val="TOC3"/>
            <w:tabs>
              <w:tab w:val="left" w:pos="864" w:leader="none"/>
              <w:tab w:val="decimal" w:pos="9360" w:leader="dot"/>
            </w:tabs>
            <w:rPr>
              <w:lang w:val="en-CA"/>
            </w:rPr>
          </w:pPr>
          <w:r>
            <w:rPr>
              <w:lang w:val="en-CA"/>
            </w:rPr>
            <w:t>3.</w:t>
            <w:tab/>
            <w:t>Residential Rates R, A, and RT</w:t>
            <w:tab/>
          </w:r>
          <w:hyperlink w:anchor="__RefHeading___Toc469364247">
            <w:r>
              <w:rPr>
                <w:rStyle w:val="IndexLink"/>
                <w:lang w:val="en-CA"/>
              </w:rPr>
              <w:t>4</w:t>
            </w:r>
          </w:hyperlink>
        </w:p>
        <w:p>
          <w:pPr>
            <w:pStyle w:val="TOC3"/>
            <w:tabs>
              <w:tab w:val="left" w:pos="864" w:leader="none"/>
              <w:tab w:val="decimal" w:pos="9360" w:leader="dot"/>
            </w:tabs>
            <w:rPr>
              <w:lang w:val="en-CA"/>
            </w:rPr>
          </w:pPr>
          <w:r>
            <w:rPr>
              <w:lang w:val="en-CA"/>
            </w:rPr>
            <w:t>4.</w:t>
            <w:tab/>
            <w:t>Residential Heat Pump Rate RHP</w:t>
            <w:tab/>
          </w:r>
          <w:hyperlink w:anchor="__RefHeading___Toc469364248">
            <w:r>
              <w:rPr>
                <w:rStyle w:val="IndexLink"/>
                <w:lang w:val="en-CA"/>
              </w:rPr>
              <w:t>4</w:t>
            </w:r>
          </w:hyperlink>
        </w:p>
        <w:p>
          <w:pPr>
            <w:pStyle w:val="TOC3"/>
            <w:tabs>
              <w:tab w:val="left" w:pos="864" w:leader="none"/>
              <w:tab w:val="decimal" w:pos="9360" w:leader="dot"/>
            </w:tabs>
            <w:rPr>
              <w:lang w:val="en-CA"/>
            </w:rPr>
          </w:pPr>
          <w:r>
            <w:rPr>
              <w:lang w:val="en-CA"/>
            </w:rPr>
            <w:t>5.</w:t>
            <w:tab/>
            <w:t>Commercial and Industrial Heat Pump Rider CHIP</w:t>
            <w:tab/>
          </w:r>
          <w:hyperlink w:anchor="__RefHeading___Toc469364249">
            <w:r>
              <w:rPr>
                <w:rStyle w:val="IndexLink"/>
                <w:lang w:val="en-CA"/>
              </w:rPr>
              <w:t>5</w:t>
            </w:r>
          </w:hyperlink>
        </w:p>
        <w:p>
          <w:pPr>
            <w:pStyle w:val="TOC3"/>
            <w:tabs>
              <w:tab w:val="left" w:pos="864" w:leader="none"/>
              <w:tab w:val="decimal" w:pos="9360" w:leader="dot"/>
            </w:tabs>
            <w:rPr>
              <w:lang w:val="en-CA"/>
            </w:rPr>
          </w:pPr>
          <w:r>
            <w:rPr>
              <w:lang w:val="en-CA"/>
            </w:rPr>
            <w:t>6.</w:t>
            <w:tab/>
            <w:t>General Service Rate GS and General Service Time</w:t>
            <w:noBreakHyphen/>
            <w:t>of</w:t>
            <w:noBreakHyphen/>
            <w:t>Use Rate GST</w:t>
            <w:tab/>
          </w:r>
          <w:hyperlink w:anchor="__RefHeading___Toc469364250">
            <w:r>
              <w:rPr>
                <w:rStyle w:val="IndexLink"/>
                <w:lang w:val="en-CA"/>
              </w:rPr>
              <w:t>5</w:t>
            </w:r>
          </w:hyperlink>
        </w:p>
        <w:p>
          <w:pPr>
            <w:pStyle w:val="TOC3"/>
            <w:tabs>
              <w:tab w:val="left" w:pos="864" w:leader="none"/>
              <w:tab w:val="decimal" w:pos="9360" w:leader="dot"/>
            </w:tabs>
            <w:rPr>
              <w:lang w:val="en-CA"/>
            </w:rPr>
          </w:pPr>
          <w:r>
            <w:rPr>
              <w:lang w:val="en-CA"/>
            </w:rPr>
            <w:t>7.</w:t>
            <w:tab/>
            <w:t>General Service Heating Rate TE</w:t>
            <w:tab/>
          </w:r>
          <w:hyperlink w:anchor="__RefHeading___Toc469364251">
            <w:r>
              <w:rPr>
                <w:rStyle w:val="IndexLink"/>
                <w:lang w:val="en-CA"/>
              </w:rPr>
              <w:t>6</w:t>
            </w:r>
          </w:hyperlink>
        </w:p>
        <w:p>
          <w:pPr>
            <w:pStyle w:val="TOC3"/>
            <w:tabs>
              <w:tab w:val="left" w:pos="864" w:leader="none"/>
              <w:tab w:val="decimal" w:pos="9360" w:leader="dot"/>
            </w:tabs>
            <w:rPr>
              <w:lang w:val="en-CA"/>
            </w:rPr>
          </w:pPr>
          <w:r>
            <w:rPr>
              <w:lang w:val="en-CA"/>
            </w:rPr>
            <w:t>8.</w:t>
            <w:tab/>
            <w:t>Large Power Time</w:t>
            <w:noBreakHyphen/>
            <w:t>of</w:t>
            <w:noBreakHyphen/>
            <w:t>Use Rate LPT</w:t>
            <w:tab/>
          </w:r>
          <w:hyperlink w:anchor="__RefHeading___Toc469364252">
            <w:r>
              <w:rPr>
                <w:rStyle w:val="IndexLink"/>
                <w:lang w:val="en-CA"/>
              </w:rPr>
              <w:t>6</w:t>
            </w:r>
          </w:hyperlink>
        </w:p>
        <w:p>
          <w:pPr>
            <w:pStyle w:val="TOC3"/>
            <w:tabs>
              <w:tab w:val="left" w:pos="864" w:leader="none"/>
              <w:tab w:val="decimal" w:pos="9360" w:leader="dot"/>
            </w:tabs>
            <w:rPr>
              <w:lang w:val="en-CA"/>
            </w:rPr>
          </w:pPr>
          <w:r>
            <w:rPr>
              <w:lang w:val="en-CA"/>
            </w:rPr>
            <w:t>9.</w:t>
            <w:tab/>
            <w:t>Real</w:t>
            <w:noBreakHyphen/>
            <w:t>Time Pricing Rate RTP</w:t>
            <w:tab/>
          </w:r>
          <w:hyperlink w:anchor="__RefHeading___Toc469364253">
            <w:r>
              <w:rPr>
                <w:rStyle w:val="IndexLink"/>
                <w:lang w:val="en-CA"/>
              </w:rPr>
              <w:t>7</w:t>
            </w:r>
          </w:hyperlink>
        </w:p>
        <w:p>
          <w:pPr>
            <w:pStyle w:val="TOC3"/>
            <w:tabs>
              <w:tab w:val="left" w:pos="864" w:leader="none"/>
              <w:tab w:val="decimal" w:pos="9360" w:leader="dot"/>
            </w:tabs>
            <w:rPr>
              <w:lang w:val="en-CA"/>
            </w:rPr>
          </w:pPr>
          <w:r>
            <w:rPr>
              <w:lang w:val="en-CA"/>
            </w:rPr>
            <w:t>10.</w:t>
            <w:tab/>
            <w:t>Non</w:t>
            <w:noBreakHyphen/>
            <w:t>Utility Generating Facility Standby Rate NUS</w:t>
            <w:tab/>
          </w:r>
          <w:hyperlink w:anchor="__RefHeading___Toc469364254">
            <w:r>
              <w:rPr>
                <w:rStyle w:val="IndexLink"/>
                <w:lang w:val="en-CA"/>
              </w:rPr>
              <w:t>7</w:t>
            </w:r>
          </w:hyperlink>
        </w:p>
        <w:p>
          <w:pPr>
            <w:pStyle w:val="TOC3"/>
            <w:tabs>
              <w:tab w:val="left" w:pos="864" w:leader="none"/>
              <w:tab w:val="decimal" w:pos="9360" w:leader="dot"/>
            </w:tabs>
            <w:rPr>
              <w:lang w:val="en-CA"/>
            </w:rPr>
          </w:pPr>
          <w:r>
            <w:rPr>
              <w:lang w:val="en-CA"/>
            </w:rPr>
            <w:t>11.</w:t>
            <w:tab/>
            <w:t>Self Generator Rates SG1 and SG2</w:t>
            <w:tab/>
          </w:r>
          <w:hyperlink w:anchor="__RefHeading___Toc469364255">
            <w:r>
              <w:rPr>
                <w:rStyle w:val="IndexLink"/>
                <w:lang w:val="en-CA"/>
              </w:rPr>
              <w:t>8</w:t>
            </w:r>
          </w:hyperlink>
        </w:p>
        <w:p>
          <w:pPr>
            <w:pStyle w:val="TOC3"/>
            <w:tabs>
              <w:tab w:val="left" w:pos="864" w:leader="none"/>
              <w:tab w:val="decimal" w:pos="9360" w:leader="dot"/>
            </w:tabs>
            <w:rPr>
              <w:lang w:val="en-CA"/>
            </w:rPr>
          </w:pPr>
          <w:r>
            <w:rPr>
              <w:lang w:val="en-CA"/>
            </w:rPr>
            <w:t>12.</w:t>
            <w:tab/>
            <w:t>Interruptible Rates</w:t>
            <w:tab/>
          </w:r>
          <w:hyperlink w:anchor="__RefHeading___Toc469364256">
            <w:r>
              <w:rPr>
                <w:rStyle w:val="IndexLink"/>
                <w:lang w:val="en-CA"/>
              </w:rPr>
              <w:t>10</w:t>
            </w:r>
          </w:hyperlink>
        </w:p>
        <w:p>
          <w:pPr>
            <w:pStyle w:val="TOC3"/>
            <w:tabs>
              <w:tab w:val="left" w:pos="864" w:leader="none"/>
              <w:tab w:val="decimal" w:pos="9360" w:leader="dot"/>
            </w:tabs>
            <w:rPr>
              <w:lang w:val="en-CA"/>
            </w:rPr>
          </w:pPr>
          <w:r>
            <w:rPr>
              <w:lang w:val="en-CA"/>
            </w:rPr>
            <w:t>13.</w:t>
            <w:tab/>
            <w:t>Large Light and Power Rate LLP</w:t>
            <w:tab/>
          </w:r>
          <w:hyperlink w:anchor="__RefHeading___Toc469364257">
            <w:r>
              <w:rPr>
                <w:rStyle w:val="IndexLink"/>
                <w:lang w:val="en-CA"/>
              </w:rPr>
              <w:t>10</w:t>
            </w:r>
          </w:hyperlink>
        </w:p>
        <w:p>
          <w:pPr>
            <w:pStyle w:val="TOC3"/>
            <w:tabs>
              <w:tab w:val="left" w:pos="864" w:leader="none"/>
              <w:tab w:val="decimal" w:pos="9360" w:leader="dot"/>
            </w:tabs>
            <w:rPr>
              <w:lang w:val="en-CA"/>
            </w:rPr>
          </w:pPr>
          <w:r>
            <w:rPr>
              <w:lang w:val="en-CA"/>
            </w:rPr>
            <w:t>14.</w:t>
            <w:tab/>
            <w:t>Manufacturers Gross Earning Tax Credit Rider MFG</w:t>
            <w:tab/>
          </w:r>
          <w:hyperlink w:anchor="__RefHeading___Toc469364258">
            <w:r>
              <w:rPr>
                <w:rStyle w:val="IndexLink"/>
                <w:lang w:val="en-CA"/>
              </w:rPr>
              <w:t>11</w:t>
            </w:r>
          </w:hyperlink>
        </w:p>
        <w:p>
          <w:pPr>
            <w:pStyle w:val="TOC3"/>
            <w:tabs>
              <w:tab w:val="left" w:pos="864" w:leader="none"/>
              <w:tab w:val="decimal" w:pos="9360" w:leader="dot"/>
            </w:tabs>
            <w:rPr>
              <w:lang w:val="en-CA"/>
            </w:rPr>
          </w:pPr>
          <w:r>
            <w:rPr>
              <w:lang w:val="en-CA"/>
            </w:rPr>
            <w:t>15.</w:t>
            <w:tab/>
            <w:t>Streetlighting Rates S and E</w:t>
            <w:noBreakHyphen/>
            <w:t>11</w:t>
            <w:tab/>
          </w:r>
          <w:hyperlink w:anchor="__RefHeading___Toc469364259">
            <w:r>
              <w:rPr>
                <w:rStyle w:val="IndexLink"/>
                <w:lang w:val="en-CA"/>
              </w:rPr>
              <w:t>11</w:t>
            </w:r>
          </w:hyperlink>
        </w:p>
        <w:p>
          <w:pPr>
            <w:pStyle w:val="TOC3"/>
            <w:tabs>
              <w:tab w:val="left" w:pos="864" w:leader="none"/>
              <w:tab w:val="decimal" w:pos="9360" w:leader="dot"/>
            </w:tabs>
            <w:rPr>
              <w:lang w:val="en-CA"/>
            </w:rPr>
          </w:pPr>
          <w:r>
            <w:rPr>
              <w:lang w:val="en-CA"/>
            </w:rPr>
            <w:t>16.</w:t>
            <w:tab/>
            <w:t>Economic Development Rider ED</w:t>
            <w:tab/>
          </w:r>
          <w:hyperlink w:anchor="__RefHeading___Toc469364260">
            <w:r>
              <w:rPr>
                <w:rStyle w:val="IndexLink"/>
                <w:lang w:val="en-CA"/>
              </w:rPr>
              <w:t>11</w:t>
            </w:r>
          </w:hyperlink>
        </w:p>
        <w:p>
          <w:pPr>
            <w:pStyle w:val="TOC3"/>
            <w:tabs>
              <w:tab w:val="left" w:pos="864" w:leader="none"/>
              <w:tab w:val="decimal" w:pos="9360" w:leader="dot"/>
            </w:tabs>
            <w:rPr>
              <w:lang w:val="en-CA"/>
            </w:rPr>
          </w:pPr>
          <w:r>
            <w:rPr>
              <w:lang w:val="en-CA"/>
            </w:rPr>
            <w:t>17.</w:t>
            <w:tab/>
            <w:t>Competitive Energy Rate CE</w:t>
            <w:tab/>
          </w:r>
          <w:hyperlink w:anchor="__RefHeading___Toc469364261">
            <w:r>
              <w:rPr>
                <w:rStyle w:val="IndexLink"/>
                <w:lang w:val="en-CA"/>
              </w:rPr>
              <w:t>13</w:t>
            </w:r>
          </w:hyperlink>
        </w:p>
        <w:p>
          <w:pPr>
            <w:pStyle w:val="TOC3"/>
            <w:tabs>
              <w:tab w:val="left" w:pos="864" w:leader="none"/>
              <w:tab w:val="decimal" w:pos="9360" w:leader="dot"/>
            </w:tabs>
            <w:rPr>
              <w:lang w:val="en-CA"/>
            </w:rPr>
          </w:pPr>
          <w:r>
            <w:rPr>
              <w:lang w:val="en-CA"/>
            </w:rPr>
            <w:t>18.</w:t>
            <w:tab/>
            <w:t>Business Recovery Rider BR</w:t>
            <w:tab/>
          </w:r>
          <w:hyperlink w:anchor="__RefHeading___Toc469364262">
            <w:r>
              <w:rPr>
                <w:rStyle w:val="IndexLink"/>
                <w:lang w:val="en-CA"/>
              </w:rPr>
              <w:t>13</w:t>
            </w:r>
          </w:hyperlink>
        </w:p>
        <w:p>
          <w:pPr>
            <w:pStyle w:val="TOC3"/>
            <w:tabs>
              <w:tab w:val="left" w:pos="864" w:leader="none"/>
              <w:tab w:val="decimal" w:pos="9360" w:leader="dot"/>
            </w:tabs>
            <w:rPr>
              <w:lang w:val="en-CA"/>
            </w:rPr>
          </w:pPr>
          <w:r>
            <w:rPr>
              <w:lang w:val="en-CA"/>
            </w:rPr>
            <w:t>19.</w:t>
            <w:tab/>
            <w:t>Special Contracts</w:t>
            <w:tab/>
          </w:r>
          <w:hyperlink w:anchor="__RefHeading___Toc469364263">
            <w:r>
              <w:rPr>
                <w:rStyle w:val="IndexLink"/>
                <w:lang w:val="en-CA"/>
              </w:rPr>
              <w:t>14</w:t>
            </w:r>
          </w:hyperlink>
        </w:p>
        <w:p>
          <w:pPr>
            <w:pStyle w:val="TOC3"/>
            <w:tabs>
              <w:tab w:val="left" w:pos="864" w:leader="none"/>
              <w:tab w:val="decimal" w:pos="9360" w:leader="dot"/>
            </w:tabs>
            <w:rPr>
              <w:lang w:val="en-CA"/>
            </w:rPr>
          </w:pPr>
          <w:r>
            <w:rPr>
              <w:lang w:val="en-CA"/>
            </w:rPr>
            <w:t>20.</w:t>
            <w:tab/>
            <w:t>Purchased Power Adjustment Clause</w:t>
            <w:tab/>
          </w:r>
          <w:hyperlink w:anchor="__RefHeading___Toc469364264">
            <w:r>
              <w:rPr>
                <w:rStyle w:val="IndexLink"/>
                <w:lang w:val="en-CA"/>
              </w:rPr>
              <w:t>15</w:t>
            </w:r>
          </w:hyperlink>
        </w:p>
        <w:p>
          <w:pPr>
            <w:pStyle w:val="TOC3"/>
            <w:tabs>
              <w:tab w:val="left" w:pos="864" w:leader="none"/>
              <w:tab w:val="decimal" w:pos="9360" w:leader="dot"/>
            </w:tabs>
            <w:rPr>
              <w:lang w:val="en-CA"/>
            </w:rPr>
          </w:pPr>
          <w:r>
            <w:rPr>
              <w:lang w:val="en-CA"/>
            </w:rPr>
            <w:t>21.</w:t>
            <w:tab/>
            <w:t>Transmission Rate</w:t>
            <w:tab/>
          </w:r>
          <w:hyperlink w:anchor="__RefHeading___Toc469364265">
            <w:r>
              <w:rPr>
                <w:rStyle w:val="IndexLink"/>
                <w:lang w:val="en-CA"/>
              </w:rPr>
              <w:t>16</w:t>
            </w:r>
          </w:hyperlink>
        </w:p>
        <w:p>
          <w:pPr>
            <w:pStyle w:val="TOC3"/>
            <w:tabs>
              <w:tab w:val="left" w:pos="864" w:leader="none"/>
              <w:tab w:val="decimal" w:pos="9360" w:leader="dot"/>
            </w:tabs>
            <w:rPr>
              <w:lang w:val="en-CA"/>
            </w:rPr>
          </w:pPr>
          <w:r>
            <w:rPr>
              <w:lang w:val="en-CA"/>
            </w:rPr>
            <w:t>22.</w:t>
            <w:tab/>
            <w:t>Revised CTA Calculation</w:t>
            <w:tab/>
          </w:r>
          <w:hyperlink w:anchor="__RefHeading___Toc469364266">
            <w:r>
              <w:rPr>
                <w:rStyle w:val="IndexLink"/>
                <w:lang w:val="en-CA"/>
              </w:rPr>
              <w:t>18</w:t>
            </w:r>
          </w:hyperlink>
        </w:p>
        <w:p>
          <w:pPr>
            <w:pStyle w:val="TOC3"/>
            <w:tabs>
              <w:tab w:val="left" w:pos="864" w:leader="none"/>
              <w:tab w:val="decimal" w:pos="9360" w:leader="dot"/>
            </w:tabs>
            <w:rPr>
              <w:lang w:val="en-CA"/>
            </w:rPr>
          </w:pPr>
          <w:r>
            <w:rPr>
              <w:lang w:val="en-CA"/>
            </w:rPr>
            <w:t>23.</w:t>
            <w:tab/>
            <w:t>Revised SBC Calculation</w:t>
            <w:tab/>
          </w:r>
          <w:hyperlink w:anchor="__RefHeading___Toc469364267">
            <w:r>
              <w:rPr>
                <w:rStyle w:val="IndexLink"/>
                <w:lang w:val="en-CA"/>
              </w:rPr>
              <w:t>18</w:t>
            </w:r>
          </w:hyperlink>
        </w:p>
        <w:p>
          <w:pPr>
            <w:pStyle w:val="TOC1"/>
            <w:tabs>
              <w:tab w:val="left" w:pos="576" w:leader="none"/>
              <w:tab w:val="decimal" w:pos="9360" w:leader="dot"/>
            </w:tabs>
            <w:rPr>
              <w:lang w:val="en-CA"/>
            </w:rPr>
          </w:pPr>
          <w:r>
            <w:rPr>
              <w:lang w:val="en-CA"/>
            </w:rPr>
            <w:t>III.</w:t>
            <w:tab/>
            <w:t>Findings of Fact</w:t>
            <w:tab/>
          </w:r>
          <w:hyperlink w:anchor="__RefHeading___Toc469364268">
            <w:r>
              <w:rPr>
                <w:rStyle w:val="IndexLink"/>
                <w:lang w:val="en-CA"/>
              </w:rPr>
              <w:t>19</w:t>
            </w:r>
          </w:hyperlink>
        </w:p>
        <w:p>
          <w:pPr>
            <w:pStyle w:val="TOC1"/>
            <w:tabs>
              <w:tab w:val="left" w:pos="576" w:leader="none"/>
              <w:tab w:val="decimal" w:pos="9360" w:leader="dot"/>
            </w:tabs>
            <w:rPr>
              <w:lang w:val="en-CA"/>
            </w:rPr>
          </w:pPr>
          <w:r>
            <w:rPr>
              <w:lang w:val="en-CA"/>
            </w:rPr>
            <w:t>IV.</w:t>
            <w:tab/>
            <w:t>Conclusion and orders</w:t>
            <w:tab/>
          </w:r>
          <w:hyperlink w:anchor="__RefHeading___Toc469364269">
            <w:r>
              <w:rPr>
                <w:rStyle w:val="IndexLink"/>
                <w:lang w:val="en-CA"/>
              </w:rPr>
              <w:t>19</w:t>
            </w:r>
          </w:hyperlink>
        </w:p>
        <w:p>
          <w:pPr>
            <w:pStyle w:val="TOC2"/>
            <w:tabs>
              <w:tab w:val="left" w:pos="864" w:leader="none"/>
              <w:tab w:val="decimal" w:pos="9360" w:leader="dot"/>
            </w:tabs>
            <w:rPr>
              <w:lang w:val="en-CA"/>
            </w:rPr>
          </w:pPr>
          <w:r>
            <w:rPr>
              <w:lang w:val="en-CA"/>
            </w:rPr>
            <w:t>A.</w:t>
            <w:tab/>
            <w:t>Conclusion</w:t>
            <w:tab/>
          </w:r>
          <w:hyperlink w:anchor="__RefHeading___Toc469364270">
            <w:r>
              <w:rPr>
                <w:rStyle w:val="IndexLink"/>
                <w:lang w:val="en-CA"/>
              </w:rPr>
              <w:t>19</w:t>
            </w:r>
          </w:hyperlink>
        </w:p>
        <w:p>
          <w:pPr>
            <w:pStyle w:val="TOC2"/>
            <w:tabs>
              <w:tab w:val="left" w:pos="864" w:leader="none"/>
              <w:tab w:val="decimal" w:pos="9360" w:leader="dot"/>
            </w:tabs>
            <w:rPr>
              <w:lang w:val="en-CA"/>
            </w:rPr>
          </w:pPr>
          <w:r>
            <w:rPr>
              <w:lang w:val="en-CA"/>
            </w:rPr>
            <w:t>B.</w:t>
            <w:tab/>
            <w:t>Orders</w:t>
            <w:tab/>
          </w:r>
          <w:hyperlink w:anchor="__RefHeading___Toc469364271">
            <w:r>
              <w:rPr>
                <w:rStyle w:val="IndexLink"/>
                <w:lang w:val="en-CA"/>
              </w:rPr>
              <w:t>20</w:t>
            </w:r>
          </w:hyperlink>
          <w:r>
            <w:rPr>
              <w:rStyle w:val="IndexLink"/>
              <w:lang w:val="en-CA"/>
            </w:rPr>
            <w:fldChar w:fldCharType="end"/>
          </w:r>
        </w:p>
      </w:sdtContent>
    </w:sdt>
    <w:p>
      <w:pPr>
        <w:pStyle w:val="Normal"/>
        <w:spacing w:lineRule="atLeast" w:line="240"/>
        <w:rPr>
          <w:u w:val="double"/>
          <w:lang w:val="en-CA"/>
        </w:rPr>
      </w:pPr>
      <w:r>
        <w:rPr>
          <w:u w:val="double"/>
          <w:lang w:val="en-CA"/>
        </w:rPr>
      </w:r>
    </w:p>
    <w:p>
      <w:pPr>
        <w:pStyle w:val="Normal"/>
        <w:spacing w:lineRule="atLeast" w:line="240"/>
        <w:rPr>
          <w:u w:val="double"/>
        </w:rPr>
      </w:pPr>
      <w:r>
        <w:rPr>
          <w:u w:val="double"/>
        </w:rPr>
      </w:r>
    </w:p>
    <w:p>
      <w:pPr>
        <w:sectPr>
          <w:headerReference w:type="default" r:id="rId9"/>
          <w:headerReference w:type="first" r:id="rId10"/>
          <w:footerReference w:type="default" r:id="rId11"/>
          <w:footerReference w:type="first" r:id="rId12"/>
          <w:type w:val="nextPage"/>
          <w:pgSz w:w="12240" w:h="15840"/>
          <w:pgMar w:left="1440" w:right="1440" w:gutter="0" w:header="432" w:top="1152" w:footer="288" w:bottom="1152"/>
          <w:pgNumType w:start="1" w:fmt="decimal"/>
          <w:formProt w:val="false"/>
          <w:titlePg/>
          <w:textDirection w:val="lrTb"/>
          <w:docGrid w:type="default" w:linePitch="360" w:charSpace="0"/>
        </w:sectPr>
        <w:pStyle w:val="Normal"/>
        <w:spacing w:lineRule="atLeast" w:line="240"/>
        <w:rPr>
          <w:u w:val="double"/>
        </w:rPr>
      </w:pPr>
      <w:r>
        <w:rPr>
          <w:u w:val="double"/>
        </w:rPr>
      </w:r>
    </w:p>
    <w:p>
      <w:pPr>
        <w:pStyle w:val="Normal"/>
        <w:spacing w:lineRule="atLeast" w:line="240"/>
        <w:jc w:val="center"/>
        <w:rPr>
          <w:b/>
          <w:sz w:val="26"/>
          <w:u w:val="double"/>
        </w:rPr>
      </w:pPr>
      <w:r>
        <w:rPr>
          <w:b/>
          <w:sz w:val="26"/>
          <w:u w:val="double"/>
        </w:rPr>
      </w:r>
    </w:p>
    <w:p>
      <w:pPr>
        <w:pStyle w:val="Normal"/>
        <w:spacing w:lineRule="atLeast" w:line="240"/>
        <w:jc w:val="center"/>
        <w:rPr>
          <w:b/>
          <w:sz w:val="26"/>
          <w:u w:val="single"/>
        </w:rPr>
      </w:pPr>
      <w:r>
        <w:rPr>
          <w:b/>
          <w:sz w:val="26"/>
          <w:u w:val="single"/>
        </w:rPr>
        <w:t>DECISION</w:t>
      </w:r>
    </w:p>
    <w:p>
      <w:pPr>
        <w:pStyle w:val="Normal"/>
        <w:rPr>
          <w:b/>
          <w:sz w:val="26"/>
          <w:u w:val="single"/>
        </w:rPr>
      </w:pPr>
      <w:r>
        <w:rPr>
          <w:b/>
          <w:sz w:val="26"/>
          <w:u w:val="single"/>
        </w:rPr>
      </w:r>
    </w:p>
    <w:p>
      <w:pPr>
        <w:pStyle w:val="Heading1"/>
        <w:keepNext w:val="true"/>
        <w:ind w:hanging="0" w:start="0"/>
        <w:rPr/>
      </w:pPr>
      <w:bookmarkStart w:id="18" w:name="__RefHeading___Toc469364234"/>
      <w:bookmarkStart w:id="19" w:name="begindoc"/>
      <w:bookmarkStart w:id="20" w:name="StartPage"/>
      <w:bookmarkEnd w:id="18"/>
      <w:bookmarkEnd w:id="19"/>
      <w:bookmarkEnd w:id="20"/>
      <w:r>
        <w:rPr/>
        <w:t>I.</w:t>
        <w:tab/>
        <w:t>Introduction</w:t>
      </w:r>
    </w:p>
    <w:p>
      <w:pPr>
        <w:pStyle w:val="Normal"/>
        <w:keepNext w:val="true"/>
        <w:spacing w:lineRule="atLeast" w:line="240"/>
        <w:rPr/>
      </w:pPr>
      <w:r>
        <w:rPr/>
      </w:r>
    </w:p>
    <w:p>
      <w:pPr>
        <w:pStyle w:val="Heading2"/>
        <w:keepNext w:val="true"/>
        <w:ind w:hanging="0" w:start="0"/>
        <w:rPr/>
      </w:pPr>
      <w:bookmarkStart w:id="21" w:name="__RefHeading___Toc469364235"/>
      <w:bookmarkEnd w:id="21"/>
      <w:r>
        <w:rPr/>
        <w:t>A.</w:t>
        <w:tab/>
        <w:t>Summary</w:t>
      </w:r>
    </w:p>
    <w:p>
      <w:pPr>
        <w:pStyle w:val="TOC2"/>
        <w:keepNext w:val="true"/>
        <w:tabs>
          <w:tab w:val="clear" w:pos="9360"/>
        </w:tabs>
        <w:spacing w:lineRule="atLeast" w:line="240"/>
        <w:rPr>
          <w:caps w:val="false"/>
          <w:smallCaps w:val="false"/>
          <w:shadow w:val="false"/>
        </w:rPr>
      </w:pPr>
      <w:r>
        <w:rPr>
          <w:caps w:val="false"/>
          <w:smallCaps w:val="false"/>
          <w:shadow w:val="false"/>
        </w:rPr>
      </w:r>
    </w:p>
    <w:p>
      <w:pPr>
        <w:pStyle w:val="Normal"/>
        <w:ind w:firstLine="720" w:end="0"/>
        <w:rPr/>
      </w:pPr>
      <w:r>
        <w:rPr/>
        <w:t>In this Decision, the Department of Public Utility Control (Department) approves the final components of The United Illuminating Company’s (UI) standard offer service (SOS).  This SOS is available to all customers in UI’s service area beginning January 1, 2000, and is available to all customers who affirmatively choose to receive this full-service electricity offering, or who do not, or are unable to, arrange for or maintain electric generation services with a licensed electric supplier.  The SOS extends through December 31, 2003, and is priced 10% below the fully bundled price for electricity at year-end 1996.</w:t>
      </w:r>
    </w:p>
    <w:p>
      <w:pPr>
        <w:pStyle w:val="Normal"/>
        <w:ind w:firstLine="720" w:end="0"/>
        <w:rPr/>
      </w:pPr>
      <w:r>
        <w:rPr/>
      </w:r>
    </w:p>
    <w:p>
      <w:pPr>
        <w:pStyle w:val="Index1"/>
        <w:rPr/>
      </w:pPr>
      <w:r>
        <w:rPr/>
        <w:tab/>
        <w:t>Enron Capital and Trade Resources, Inc. (Enron) will provide the electricity supply for the four-year SOS period at a fixed price.  In this Decision, the Department approves the pricing; however, the Department specifically reserves the right to adjust the GSC over the four-year period in the interest of stimulating competition.  Further, UI will be allowed to adjust its supply cost if it can demonstrate that the supply costs following Department adjustments to the GSC rates have increased as a result of customer migration from the SOS to competitive offerings.  This Decision also approves a Competitive Transition Assessment (CTA).</w:t>
      </w:r>
    </w:p>
    <w:p>
      <w:pPr>
        <w:pStyle w:val="Normal"/>
        <w:rPr/>
      </w:pPr>
      <w:r>
        <w:rPr/>
      </w:r>
    </w:p>
    <w:p>
      <w:pPr>
        <w:pStyle w:val="Heading2"/>
        <w:keepNext w:val="true"/>
        <w:ind w:hanging="0" w:start="0"/>
        <w:rPr/>
      </w:pPr>
      <w:bookmarkStart w:id="22" w:name="__RefHeading___Toc469364236"/>
      <w:bookmarkEnd w:id="22"/>
      <w:r>
        <w:rPr/>
        <w:t>B.</w:t>
        <w:tab/>
        <w:t>Background</w:t>
      </w:r>
    </w:p>
    <w:p>
      <w:pPr>
        <w:pStyle w:val="TOC2"/>
        <w:keepNext w:val="true"/>
        <w:tabs>
          <w:tab w:val="clear" w:pos="9360"/>
        </w:tabs>
        <w:spacing w:lineRule="atLeast" w:line="240"/>
        <w:rPr>
          <w:caps w:val="false"/>
          <w:smallCaps w:val="false"/>
          <w:shadow w:val="false"/>
        </w:rPr>
      </w:pPr>
      <w:r>
        <w:rPr>
          <w:caps w:val="false"/>
          <w:smallCaps w:val="false"/>
          <w:shadow w:val="false"/>
        </w:rPr>
      </w:r>
    </w:p>
    <w:p>
      <w:pPr>
        <w:pStyle w:val="Normal"/>
        <w:spacing w:lineRule="atLeast" w:line="240"/>
        <w:rPr/>
      </w:pPr>
      <w:r>
        <w:rPr/>
        <w:tab/>
        <w:t xml:space="preserve">By compliance filing dated October 14, 1999, pursuant to the Department of Public Utility Control’s (Department) Decision dated October 1, 1999, The United Illuminating Company requests the Department’s approval of its revised Competitive Transition Assessment calculation, revised tariffs, revised Generation Service Charge customer bill insert, the latest estimate of accelerated amortizations it will make in 1999 as ordered in the December 31, 1996 Decision in Docket No. 96-03-29, </w:t>
      </w:r>
      <w:r>
        <w:rPr>
          <w:color w:val="000000"/>
          <w:u w:val="single"/>
          <w:lang w:eastAsia="en-US"/>
        </w:rPr>
        <w:t>DPUC Financial and Operations Review of The United Illuminating Company</w:t>
      </w:r>
      <w:r>
        <w:rPr/>
        <w:t>, recalculated System Benefits Charge and, with Enron Capital and Trade Resources, Inc., revised Settlement costs for Standard Offer Service.  On October 29, 1999, UI submitted an additional filing containing certain modifications to its previous filing.</w:t>
      </w:r>
    </w:p>
    <w:p>
      <w:pPr>
        <w:pStyle w:val="Normal"/>
        <w:spacing w:lineRule="atLeast" w:line="240"/>
        <w:rPr/>
      </w:pPr>
      <w:r>
        <w:rPr/>
      </w:r>
    </w:p>
    <w:p>
      <w:pPr>
        <w:pStyle w:val="Heading2"/>
        <w:keepNext w:val="true"/>
        <w:ind w:hanging="0" w:start="0"/>
        <w:rPr/>
      </w:pPr>
      <w:bookmarkStart w:id="23" w:name="__RefHeading___Toc469364237"/>
      <w:bookmarkEnd w:id="23"/>
      <w:r>
        <w:rPr/>
        <w:t>C.</w:t>
        <w:tab/>
        <w:t>Conduct of the Proceeding</w:t>
      </w:r>
    </w:p>
    <w:p>
      <w:pPr>
        <w:pStyle w:val="Normal"/>
        <w:spacing w:lineRule="atLeast" w:line="240"/>
        <w:rPr/>
      </w:pPr>
      <w:r>
        <w:rPr/>
      </w:r>
    </w:p>
    <w:p>
      <w:pPr>
        <w:pStyle w:val="Normal"/>
        <w:spacing w:lineRule="atLeast" w:line="240"/>
        <w:rPr/>
      </w:pPr>
      <w:r>
        <w:rPr/>
        <w:tab/>
        <w:t>Pursuant to a Notice of Supplemental Hearing dated November 4, 1999, the Department held a public hearing in this matter in its offices, Ten Franklin Square, New Britain, CT 06051, on November 17, and 23, 1999.  At the November 23, 1999, hearing the presiding Hearing Officer closed the hearing.</w:t>
      </w:r>
    </w:p>
    <w:p>
      <w:pPr>
        <w:pStyle w:val="Normal"/>
        <w:spacing w:lineRule="atLeast" w:line="240"/>
        <w:rPr/>
      </w:pPr>
      <w:r>
        <w:rPr/>
      </w:r>
    </w:p>
    <w:p>
      <w:pPr>
        <w:pStyle w:val="Normal"/>
        <w:spacing w:lineRule="atLeast" w:line="240"/>
        <w:rPr/>
      </w:pPr>
      <w:r>
        <w:rPr/>
        <w:tab/>
        <w:t>The Department issued a draft Decision in this matter on December 2, 1999, and a revised draft Decision on December 3, 1999.  All parties and intervenors were provided an opportunity to file written exceptions on the draft Decisions.</w:t>
      </w:r>
    </w:p>
    <w:p>
      <w:pPr>
        <w:pStyle w:val="Normal"/>
        <w:spacing w:lineRule="atLeast" w:line="240"/>
        <w:rPr/>
      </w:pPr>
      <w:r>
        <w:rPr/>
      </w:r>
    </w:p>
    <w:p>
      <w:pPr>
        <w:pStyle w:val="Heading2"/>
        <w:keepNext w:val="true"/>
        <w:ind w:hanging="0" w:start="0"/>
        <w:rPr/>
      </w:pPr>
      <w:bookmarkStart w:id="24" w:name="__RefHeading___Toc469364238"/>
      <w:bookmarkEnd w:id="24"/>
      <w:r>
        <w:rPr/>
        <w:t>D.</w:t>
        <w:tab/>
        <w:t>Parties and Intervenors</w:t>
      </w:r>
    </w:p>
    <w:p>
      <w:pPr>
        <w:pStyle w:val="Normal"/>
        <w:spacing w:lineRule="atLeast" w:line="240"/>
        <w:rPr/>
      </w:pPr>
      <w:r>
        <w:rPr/>
      </w:r>
    </w:p>
    <w:p>
      <w:pPr>
        <w:pStyle w:val="Normal"/>
        <w:spacing w:lineRule="atLeast" w:line="240"/>
        <w:rPr/>
      </w:pPr>
      <w:r>
        <w:rPr/>
        <w:tab/>
        <w:t>The parties and intervenors to the initial proceeding maintained their status in this supplemental proceeding.</w:t>
      </w:r>
    </w:p>
    <w:p>
      <w:pPr>
        <w:pStyle w:val="Normal"/>
        <w:spacing w:lineRule="atLeast" w:line="240"/>
        <w:rPr/>
      </w:pPr>
      <w:r>
        <w:rPr/>
      </w:r>
    </w:p>
    <w:p>
      <w:pPr>
        <w:pStyle w:val="Heading1"/>
        <w:keepNext w:val="true"/>
        <w:ind w:hanging="0" w:start="0"/>
        <w:rPr/>
      </w:pPr>
      <w:bookmarkStart w:id="25" w:name="__RefHeading___Toc469364239"/>
      <w:bookmarkEnd w:id="25"/>
      <w:r>
        <w:rPr/>
        <w:t>II.</w:t>
        <w:tab/>
        <w:t>Department Analysis</w:t>
      </w:r>
    </w:p>
    <w:p>
      <w:pPr>
        <w:pStyle w:val="TOC2"/>
        <w:tabs>
          <w:tab w:val="clear" w:pos="9360"/>
        </w:tabs>
        <w:spacing w:lineRule="atLeast" w:line="240"/>
        <w:rPr>
          <w:caps w:val="false"/>
          <w:smallCaps w:val="false"/>
          <w:shadow w:val="false"/>
        </w:rPr>
      </w:pPr>
      <w:r>
        <w:rPr>
          <w:caps w:val="false"/>
          <w:smallCaps w:val="false"/>
          <w:shadow w:val="false"/>
        </w:rPr>
      </w:r>
      <w:bookmarkStart w:id="26" w:name="loc2"/>
      <w:bookmarkStart w:id="27" w:name="loc2"/>
      <w:bookmarkEnd w:id="27"/>
    </w:p>
    <w:p>
      <w:pPr>
        <w:pStyle w:val="Heading2"/>
        <w:numPr>
          <w:ilvl w:val="0"/>
          <w:numId w:val="3"/>
        </w:numPr>
        <w:rPr/>
      </w:pPr>
      <w:bookmarkStart w:id="28" w:name="__RefHeading___Toc469364240"/>
      <w:bookmarkEnd w:id="28"/>
      <w:r>
        <w:rPr/>
        <w:t>General</w:t>
      </w:r>
    </w:p>
    <w:p>
      <w:pPr>
        <w:pStyle w:val="TOC2"/>
        <w:tabs>
          <w:tab w:val="clear" w:pos="9360"/>
        </w:tabs>
        <w:rPr>
          <w:caps w:val="false"/>
          <w:smallCaps w:val="false"/>
          <w:shadow w:val="false"/>
        </w:rPr>
      </w:pPr>
      <w:r>
        <w:rPr>
          <w:caps w:val="false"/>
          <w:smallCaps w:val="false"/>
          <w:shadow w:val="false"/>
        </w:rPr>
      </w:r>
    </w:p>
    <w:p>
      <w:pPr>
        <w:pStyle w:val="Normal"/>
        <w:ind w:firstLine="720" w:end="0"/>
        <w:rPr/>
      </w:pPr>
      <w:r>
        <w:rPr/>
        <w:t>As discussed below, the Department accepts as filed certain portions of UI’s compliance filings, accepts others with some adjustments, and rejects some.  To the extent a submission is not discussed below, it is accepted as filed.</w:t>
      </w:r>
    </w:p>
    <w:p>
      <w:pPr>
        <w:pStyle w:val="Normal"/>
        <w:ind w:start="720" w:end="0"/>
        <w:rPr/>
      </w:pPr>
      <w:r>
        <w:rPr/>
      </w:r>
    </w:p>
    <w:p>
      <w:pPr>
        <w:pStyle w:val="Heading2"/>
        <w:keepNext w:val="true"/>
        <w:numPr>
          <w:ilvl w:val="0"/>
          <w:numId w:val="3"/>
        </w:numPr>
        <w:rPr/>
      </w:pPr>
      <w:bookmarkStart w:id="29" w:name="__RefHeading___Toc469364241"/>
      <w:bookmarkEnd w:id="29"/>
      <w:r>
        <w:rPr/>
        <w:t>Enron Settlement</w:t>
      </w:r>
    </w:p>
    <w:p>
      <w:pPr>
        <w:pStyle w:val="Heading2"/>
        <w:keepNext w:val="true"/>
        <w:ind w:hanging="0" w:start="0"/>
        <w:rPr/>
      </w:pPr>
      <w:r>
        <w:rPr/>
      </w:r>
    </w:p>
    <w:p>
      <w:pPr>
        <w:pStyle w:val="Heading3"/>
        <w:keepNext w:val="true"/>
        <w:rPr/>
      </w:pPr>
      <w:bookmarkStart w:id="30" w:name="__RefHeading___Toc469364242"/>
      <w:bookmarkEnd w:id="30"/>
      <w:r>
        <w:rPr/>
        <w:t>1.</w:t>
        <w:tab/>
        <w:t>Standard Offer Supply Price</w:t>
      </w:r>
    </w:p>
    <w:p>
      <w:pPr>
        <w:pStyle w:val="Normal"/>
        <w:keepNext w:val="true"/>
        <w:rPr/>
      </w:pPr>
      <w:r>
        <w:rPr/>
      </w:r>
    </w:p>
    <w:p>
      <w:pPr>
        <w:pStyle w:val="BodyText"/>
        <w:rPr/>
      </w:pPr>
      <w:r>
        <w:rPr/>
        <w:tab/>
        <w:t>Pursuant to Order No. 2, in the Decision dated October 1, 1999, in the instant proceeding (Initial Decision), UI was required to submit revised Settlement Costs for SOS for Department approval.  The Company submitted its compliance with Order No. 2 under Protective Order on October 15, 1999.  According to UI, the revised Settlement Costs reflect updated estimates for customer migration from SOS, an allowance for retail adders and current and forecasted market power conditions.  UI fully supports the revised Settlement Pricing.  Tr. 11/17/99, pp. 1358</w:t>
        <w:noBreakHyphen/>
        <w:t>1366; Compliance Filing, Order No. 2, p. 1.</w:t>
      </w:r>
    </w:p>
    <w:p>
      <w:pPr>
        <w:pStyle w:val="Normal"/>
        <w:rPr/>
      </w:pPr>
      <w:r>
        <w:rPr/>
      </w:r>
    </w:p>
    <w:p>
      <w:pPr>
        <w:pStyle w:val="Normal"/>
        <w:rPr/>
      </w:pPr>
      <w:r>
        <w:rPr/>
        <w:tab/>
        <w:t>The Department has reviewed the revised Settlement Pricing and finds it to be reasonable.</w:t>
      </w:r>
    </w:p>
    <w:p>
      <w:pPr>
        <w:pStyle w:val="BodyText2"/>
        <w:tabs>
          <w:tab w:val="clear" w:pos="2880"/>
          <w:tab w:val="clear" w:pos="3240"/>
          <w:tab w:val="clear" w:pos="4320"/>
          <w:tab w:val="clear" w:pos="4680"/>
          <w:tab w:val="clear" w:pos="9360"/>
          <w:tab w:val="left" w:pos="-2430" w:leader="none"/>
          <w:tab w:val="left" w:pos="-2250" w:leader="none"/>
          <w:tab w:val="left" w:pos="-2160" w:leader="none"/>
        </w:tabs>
        <w:rPr/>
      </w:pPr>
      <w:r>
        <w:rPr/>
      </w:r>
    </w:p>
    <w:p>
      <w:pPr>
        <w:pStyle w:val="Heading3"/>
        <w:keepNext w:val="true"/>
        <w:rPr/>
      </w:pPr>
      <w:bookmarkStart w:id="31" w:name="__RefHeading___Toc469364243"/>
      <w:bookmarkEnd w:id="31"/>
      <w:r>
        <w:rPr/>
        <w:t>2.</w:t>
        <w:tab/>
        <w:t>SOS Cost Adjustment</w:t>
      </w:r>
    </w:p>
    <w:p>
      <w:pPr>
        <w:pStyle w:val="Normal"/>
        <w:keepNext w:val="true"/>
        <w:rPr/>
      </w:pPr>
      <w:r>
        <w:rPr/>
      </w:r>
    </w:p>
    <w:p>
      <w:pPr>
        <w:pStyle w:val="BodyText2"/>
        <w:tabs>
          <w:tab w:val="clear" w:pos="2880"/>
          <w:tab w:val="clear" w:pos="3240"/>
          <w:tab w:val="clear" w:pos="4320"/>
          <w:tab w:val="clear" w:pos="4680"/>
          <w:tab w:val="clear" w:pos="9360"/>
          <w:tab w:val="left" w:pos="-2430" w:leader="none"/>
          <w:tab w:val="left" w:pos="-2250" w:leader="none"/>
          <w:tab w:val="left" w:pos="-2160" w:leader="none"/>
        </w:tabs>
        <w:rPr/>
      </w:pPr>
      <w:r>
        <w:rPr/>
        <w:tab/>
        <w:t>UI and Enron prefer that the Generation Services Charges (GSC) established by the Department's Initial Decision in this proceeding remain unchanged for the four-year standard offer period.  Response to Interrogatory EL</w:t>
        <w:noBreakHyphen/>
        <w:t>89.  However, the Department indicated that it desires flexibility in adjusting the GSC to increase migration from standard offer service if necessary.  Initial Decision, pp. 17</w:t>
        <w:noBreakHyphen/>
        <w:t>19.  Due to this requirement, the contract between UI and Enron includes a provision that will automatically increase the wholesale price from Enron on a one-for-one basis (SOS Cost Adjustment) for any increase in the GSC over the current levels.  From UI’s standpoint, such increase in its wholesale cost would need to be passed through the purchased power adjustment clause on a one-for-one basis.  Response to Interrogatory EL</w:t>
        <w:noBreakHyphen/>
        <w:t>89; Tr. 11/17/99, p. 1479.</w:t>
      </w:r>
    </w:p>
    <w:p>
      <w:pPr>
        <w:pStyle w:val="BodyText2"/>
        <w:tabs>
          <w:tab w:val="clear" w:pos="2880"/>
          <w:tab w:val="clear" w:pos="3240"/>
          <w:tab w:val="clear" w:pos="4320"/>
          <w:tab w:val="clear" w:pos="4680"/>
          <w:tab w:val="clear" w:pos="9360"/>
          <w:tab w:val="left" w:pos="-2430" w:leader="none"/>
          <w:tab w:val="left" w:pos="-2250" w:leader="none"/>
          <w:tab w:val="left" w:pos="-2160" w:leader="none"/>
        </w:tabs>
        <w:rPr/>
      </w:pPr>
      <w:r>
        <w:rPr/>
      </w:r>
    </w:p>
    <w:p>
      <w:pPr>
        <w:pStyle w:val="BodyText2"/>
        <w:tabs>
          <w:tab w:val="clear" w:pos="2880"/>
          <w:tab w:val="clear" w:pos="3240"/>
          <w:tab w:val="clear" w:pos="4320"/>
          <w:tab w:val="clear" w:pos="4680"/>
          <w:tab w:val="clear" w:pos="9360"/>
          <w:tab w:val="left" w:pos="-2430" w:leader="none"/>
          <w:tab w:val="left" w:pos="-2250" w:leader="none"/>
          <w:tab w:val="left" w:pos="-2160" w:leader="none"/>
        </w:tabs>
        <w:rPr/>
      </w:pPr>
      <w:r>
        <w:rPr/>
        <w:tab/>
        <w:t>Enron testified that if the Department increases the GSC, resulting in increased migration from standard offer service, Enron would lose a portion of its revenue stream without a concomitant reduction in costs.  This would essentially increase Enron’s cost to serve the remaining standard offer customers.  Although Enron speculates that increased migration will increase its cost of SOS and considered this issue in setting its costs, Enron has not analyzed migration “because there is no way to actually do a detailed analysis.  It is more chaos theory than it is linear math.”  Protected Tr. 11/17/99, p. 1397 and 1411.</w:t>
      </w:r>
    </w:p>
    <w:p>
      <w:pPr>
        <w:pStyle w:val="BodyText2"/>
        <w:tabs>
          <w:tab w:val="clear" w:pos="2880"/>
          <w:tab w:val="clear" w:pos="3240"/>
          <w:tab w:val="clear" w:pos="4320"/>
          <w:tab w:val="clear" w:pos="4680"/>
          <w:tab w:val="clear" w:pos="9360"/>
          <w:tab w:val="left" w:pos="-2430" w:leader="none"/>
          <w:tab w:val="left" w:pos="-2250" w:leader="none"/>
          <w:tab w:val="left" w:pos="-2160" w:leader="none"/>
        </w:tabs>
        <w:rPr/>
      </w:pPr>
      <w:r>
        <w:rPr/>
      </w:r>
    </w:p>
    <w:p>
      <w:pPr>
        <w:pStyle w:val="BodyText2"/>
        <w:tabs>
          <w:tab w:val="clear" w:pos="2880"/>
          <w:tab w:val="clear" w:pos="3240"/>
          <w:tab w:val="clear" w:pos="4320"/>
          <w:tab w:val="clear" w:pos="4680"/>
          <w:tab w:val="clear" w:pos="9360"/>
          <w:tab w:val="left" w:pos="-2430" w:leader="none"/>
          <w:tab w:val="left" w:pos="-2250" w:leader="none"/>
          <w:tab w:val="left" w:pos="-2160" w:leader="none"/>
        </w:tabs>
        <w:rPr/>
      </w:pPr>
      <w:r>
        <w:rPr/>
        <w:tab/>
        <w:t>The Department agrees that if customer migration resulting from an increased GSC exceeds the level that Enron assumed when it negotiated the wholesale rates with UI, Enron’s cost to provide SOS could increase.  However, there is no way to predict that increasing the GSC will increase customer migration above levels originally estimated or that the resulting level of migration will increase Enron’s cost of SOS.  Therefore, it is not in the best interests of UI’s ratepayers to approve an automatic increase to Enron’s cost.  The Department, however, is sensitive to the concerns expressed by UI and Enron in this regard.  Therefore, UI will be allowed to apply for an adjustment to its SOS cost following an adjustment to GSC rates.  UI will be required to demonstrate the level of migration that resulted from changing GSC rates as well as demonstrating that the cost of SOS increased as a result of the change.  In any case, the cost of SOS supply shall not increase above the increase to the GSC.</w:t>
      </w:r>
    </w:p>
    <w:p>
      <w:pPr>
        <w:pStyle w:val="Normal"/>
        <w:spacing w:lineRule="atLeast" w:line="240"/>
        <w:rPr/>
      </w:pPr>
      <w:r>
        <w:rPr/>
      </w:r>
    </w:p>
    <w:p>
      <w:pPr>
        <w:pStyle w:val="Heading2"/>
        <w:keepNext w:val="true"/>
        <w:ind w:hanging="0" w:start="0"/>
        <w:rPr/>
      </w:pPr>
      <w:bookmarkStart w:id="32" w:name="__RefHeading___Toc469364244"/>
      <w:bookmarkEnd w:id="32"/>
      <w:r>
        <w:rPr/>
        <w:t>C.</w:t>
        <w:tab/>
        <w:t>Rates</w:t>
      </w:r>
    </w:p>
    <w:p>
      <w:pPr>
        <w:pStyle w:val="TOC2"/>
        <w:keepNext w:val="true"/>
        <w:tabs>
          <w:tab w:val="clear" w:pos="9360"/>
        </w:tabs>
        <w:rPr>
          <w:caps w:val="false"/>
          <w:smallCaps w:val="false"/>
          <w:shadow w:val="false"/>
        </w:rPr>
      </w:pPr>
      <w:r>
        <w:rPr>
          <w:caps w:val="false"/>
          <w:smallCaps w:val="false"/>
          <w:shadow w:val="false"/>
        </w:rPr>
      </w:r>
    </w:p>
    <w:p>
      <w:pPr>
        <w:pStyle w:val="Heading3"/>
        <w:keepNext w:val="true"/>
        <w:rPr/>
      </w:pPr>
      <w:bookmarkStart w:id="33" w:name="__RefHeading___Toc469364245"/>
      <w:bookmarkEnd w:id="33"/>
      <w:r>
        <w:rPr/>
        <w:t>1.</w:t>
        <w:tab/>
        <w:t>General</w:t>
      </w:r>
    </w:p>
    <w:p>
      <w:pPr>
        <w:pStyle w:val="Normal"/>
        <w:keepNext w:val="true"/>
        <w:rPr/>
      </w:pPr>
      <w:r>
        <w:rPr/>
      </w:r>
    </w:p>
    <w:p>
      <w:pPr>
        <w:pStyle w:val="Normal"/>
        <w:rPr/>
      </w:pPr>
      <w:r>
        <w:rPr/>
        <w:tab/>
        <w:t>Orders No. 5 and 6 in the Initial Decision required UI to submit tariffs in compliance with that Decision.  On October 15, 1999, UI filed proposed unbundled tariffs in compliance with those orders (Compliance Tariffs).  On October 29, 1999, UI submitted an additional filing, either to correct errors found in or to modify the Compliance Tariffs (Modified Tariffs) further.</w:t>
      </w:r>
    </w:p>
    <w:p>
      <w:pPr>
        <w:pStyle w:val="Normal"/>
        <w:rPr/>
      </w:pPr>
      <w:r>
        <w:rPr/>
      </w:r>
    </w:p>
    <w:p>
      <w:pPr>
        <w:pStyle w:val="Normal"/>
        <w:ind w:firstLine="720" w:end="0"/>
        <w:rPr/>
      </w:pPr>
      <w:r>
        <w:rPr/>
        <w:t>In general, in proceedings such as these, the first phase consists of a full review of the Company’s filing and proposals, followed by a Decision based on that review.  The second phase consists of a compliance filing based on that Decision.  Traditionally, the Department’s review of a compliance filing was limited to assuring that the requirements of the initial Decision were being met.  The Department did not allow the introduction of new evidence nor did it entertain modifications to the rates approved in the initial phase of the proceeding.</w:t>
      </w:r>
    </w:p>
    <w:p>
      <w:pPr>
        <w:pStyle w:val="Normal"/>
        <w:rPr/>
      </w:pPr>
      <w:r>
        <w:rPr/>
      </w:r>
    </w:p>
    <w:p>
      <w:pPr>
        <w:pStyle w:val="Normal"/>
        <w:ind w:firstLine="720" w:end="0"/>
        <w:rPr/>
      </w:pPr>
      <w:r>
        <w:rPr/>
        <w:t>The Initial Decision states:</w:t>
      </w:r>
    </w:p>
    <w:p>
      <w:pPr>
        <w:pStyle w:val="Normal"/>
        <w:ind w:firstLine="720" w:end="0"/>
        <w:rPr/>
      </w:pPr>
      <w:r>
        <w:rPr/>
      </w:r>
    </w:p>
    <w:p>
      <w:pPr>
        <w:pStyle w:val="Quote"/>
        <w:rPr/>
      </w:pPr>
      <w:r>
        <w:rPr/>
        <w:t>simplifying recovery of the CTA is in the best interest of ratepayers.  The Company will be required to submit final unbundled rates that recover CTA revenues as proposed in the Company’s Application.  This issue will be addressed in the compliance hearing.  Initial Decision, p. 75.</w:t>
      </w:r>
    </w:p>
    <w:p>
      <w:pPr>
        <w:pStyle w:val="Normal"/>
        <w:rPr/>
      </w:pPr>
      <w:r>
        <w:rPr/>
      </w:r>
    </w:p>
    <w:p>
      <w:pPr>
        <w:pStyle w:val="Normal"/>
        <w:ind w:firstLine="720" w:end="0"/>
        <w:rPr/>
      </w:pPr>
      <w:r>
        <w:rPr/>
        <w:t>To address the Department’s directive to simplify CTA rates, UI modified some of the tariffs that were reviewed in the initial phase of this proceeding.  The Department does not view the modifications to most tariffs as substantive nor as new evidence.  However, some tariffs have been changed significantly or in some cases have been submitted for the first time in these proceedings.  Response to Interrogatory EL-108; Modified Tariffs, Rates SG1, SG2, and Rate NUS.  In addition, given the unique nature of this proceeding, the final step in UI’s unbundling process, the Department believes that it is in the best interest of ratepayers for the Department to review the Compliance Tariffs and the Modified Tariffs fully to assure that unbundled rates are properly set.  Where applicable, these matters are discussed below.</w:t>
      </w:r>
    </w:p>
    <w:p>
      <w:pPr>
        <w:pStyle w:val="Normal"/>
        <w:rPr/>
      </w:pPr>
      <w:r>
        <w:rPr/>
      </w:r>
    </w:p>
    <w:p>
      <w:pPr>
        <w:pStyle w:val="Heading3"/>
        <w:keepNext w:val="true"/>
        <w:rPr/>
      </w:pPr>
      <w:bookmarkStart w:id="34" w:name="__RefHeading___Toc469364246"/>
      <w:bookmarkEnd w:id="34"/>
      <w:r>
        <w:rPr/>
        <w:t>2.</w:t>
        <w:tab/>
        <w:t>Terms and Conditions</w:t>
      </w:r>
    </w:p>
    <w:p>
      <w:pPr>
        <w:pStyle w:val="TOC2"/>
        <w:keepNext w:val="true"/>
        <w:tabs>
          <w:tab w:val="clear" w:pos="9360"/>
        </w:tabs>
        <w:rPr>
          <w:caps w:val="false"/>
          <w:smallCaps w:val="false"/>
          <w:shadow w:val="false"/>
        </w:rPr>
      </w:pPr>
      <w:r>
        <w:rPr>
          <w:caps w:val="false"/>
          <w:smallCaps w:val="false"/>
          <w:shadow w:val="false"/>
        </w:rPr>
      </w:r>
    </w:p>
    <w:p>
      <w:pPr>
        <w:pStyle w:val="Normal"/>
        <w:rPr/>
      </w:pPr>
      <w:r>
        <w:rPr/>
        <w:tab/>
        <w:t>Department review of the proposed Terms and Conditions finds them to be in compliance with the directives contained in the Initial Decision.  UI will be directed to submit final Terms and Conditions.</w:t>
      </w:r>
    </w:p>
    <w:p>
      <w:pPr>
        <w:pStyle w:val="Normal"/>
        <w:rPr/>
      </w:pPr>
      <w:r>
        <w:rPr/>
      </w:r>
    </w:p>
    <w:p>
      <w:pPr>
        <w:pStyle w:val="Heading3"/>
        <w:keepNext w:val="true"/>
        <w:rPr/>
      </w:pPr>
      <w:bookmarkStart w:id="35" w:name="__RefHeading___Toc469364247"/>
      <w:bookmarkEnd w:id="35"/>
      <w:r>
        <w:rPr/>
        <w:t>3.</w:t>
        <w:tab/>
        <w:t>Residential Rates R, A, and RT</w:t>
      </w:r>
    </w:p>
    <w:p>
      <w:pPr>
        <w:pStyle w:val="Normal"/>
        <w:keepNext w:val="true"/>
        <w:rPr/>
      </w:pPr>
      <w:r>
        <w:rPr/>
      </w:r>
    </w:p>
    <w:p>
      <w:pPr>
        <w:pStyle w:val="Normal"/>
        <w:rPr/>
      </w:pPr>
      <w:r>
        <w:rPr/>
        <w:tab/>
        <w:t>UI proposes to establish per kWh assessments for all unbundled charges for residential Rates R, A and RT.  Department review of the proposed rates finds them to be reasonable and in compliance with the directives contained in the Initial Decision.  UI will be required to submit final tariffs for these rates.</w:t>
      </w:r>
    </w:p>
    <w:p>
      <w:pPr>
        <w:pStyle w:val="Normal"/>
        <w:rPr/>
      </w:pPr>
      <w:r>
        <w:rPr/>
      </w:r>
    </w:p>
    <w:p>
      <w:pPr>
        <w:pStyle w:val="Heading3"/>
        <w:rPr/>
      </w:pPr>
      <w:bookmarkStart w:id="36" w:name="__RefHeading___Toc469364248"/>
      <w:bookmarkEnd w:id="36"/>
      <w:r>
        <w:rPr/>
        <w:t>4.</w:t>
        <w:tab/>
        <w:t>Residential Heat Pump Rate RHP</w:t>
      </w:r>
    </w:p>
    <w:p>
      <w:pPr>
        <w:pStyle w:val="Normal"/>
        <w:rPr/>
      </w:pPr>
      <w:r>
        <w:rPr/>
      </w:r>
    </w:p>
    <w:p>
      <w:pPr>
        <w:pStyle w:val="Normal"/>
        <w:rPr/>
      </w:pPr>
      <w:r>
        <w:rPr/>
        <w:tab/>
        <w:t>During the late filed hearing, members of the public testified in support of the continuation of Rate RHP.  Under cross-examination, the Company testified that it always thought the tariff would continue but the rate might change from time to time.  Tr. 11/17/99, pp. 1368</w:t>
        <w:noBreakHyphen/>
        <w:t>1377.</w:t>
      </w:r>
    </w:p>
    <w:p>
      <w:pPr>
        <w:pStyle w:val="Normal"/>
        <w:rPr/>
      </w:pPr>
      <w:r>
        <w:rPr/>
      </w:r>
    </w:p>
    <w:p>
      <w:pPr>
        <w:pStyle w:val="Normal"/>
        <w:rPr/>
      </w:pPr>
      <w:r>
        <w:rPr/>
        <w:tab/>
        <w:t>Thirty years after electric heating rates were first promoted, it is still difficult to change them because customers made investments based on these promotional rates.  The Department was concerned that Rate RHP customers would become dependent on this promotional rate when it was first approved in the Decision dated January 17, 1996, in Docket No. 95</w:t>
        <w:noBreakHyphen/>
        <w:t>07</w:t>
        <w:noBreakHyphen/>
        <w:t xml:space="preserve">13, </w:t>
      </w:r>
      <w:r>
        <w:rPr>
          <w:u w:val="single"/>
        </w:rPr>
        <w:t>Application of The United Illuminating Company for Expedited Approval of Residential Heat Pump Rate RHP</w:t>
      </w:r>
      <w:r>
        <w:rPr/>
        <w:t>.  In that Decision, the Department required  the Company to include language with its promotional material that “the rates are not fixed or guaranteed.”  Decision, p. 9.  The Department intended to inform customers that the rate could be discontinued or changed, not simply adjusted, as the Company testified.</w:t>
      </w:r>
    </w:p>
    <w:p>
      <w:pPr>
        <w:pStyle w:val="Normal"/>
        <w:rPr/>
      </w:pPr>
      <w:r>
        <w:rPr/>
      </w:r>
    </w:p>
    <w:p>
      <w:pPr>
        <w:pStyle w:val="Normal"/>
        <w:ind w:firstLine="720" w:end="0"/>
        <w:rPr/>
      </w:pPr>
      <w:r>
        <w:rPr/>
        <w:t>Standard Offer generation service supplied by UI is scheduled to end for all customers on December 31, 2003.  The only exception is for customers that have special contracts or flex riders with contract terms that extend beyond that time.  Section 58 of the Act requires that no new special contract or flex rider discounts be offered after July 1, 2000.  Customers receiving discounts during the standard offer period will return to their otherwise applicable full requirements rate if their contract ends between July 1, 2000, and December 31, 2003, or choose a competitive supplier if their contract ends after December 31, 2003.  This phases UI out of the generation business without modifying the existing contractual obligations for special contract or flex rider customers.  RHP, which has been designated a special contract rate, does not have a term of contract.  As such, discounts can no longer be offered to new customers after July 1, 2000.  However, the Department will allow UI to honor current rates for current Rate RHP customers through December 31, 2003.</w:t>
      </w:r>
    </w:p>
    <w:p>
      <w:pPr>
        <w:pStyle w:val="Normal"/>
        <w:ind w:firstLine="720" w:end="0"/>
        <w:rPr/>
      </w:pPr>
      <w:r>
        <w:rPr/>
      </w:r>
    </w:p>
    <w:p>
      <w:pPr>
        <w:pStyle w:val="Normal"/>
        <w:ind w:firstLine="720" w:end="0"/>
        <w:rPr/>
      </w:pPr>
      <w:r>
        <w:rPr/>
        <w:t xml:space="preserve">The Department has no choice at this time given the changes to the electric industry and Public Act 98-28, </w:t>
      </w:r>
      <w:r>
        <w:rPr>
          <w:u w:val="single"/>
        </w:rPr>
        <w:t>An Act Concerning Electric Restructuring</w:t>
      </w:r>
      <w:r>
        <w:rPr/>
        <w:t xml:space="preserve"> (Act).  Section 58 of the Act essentially ends new special contracts and flexible rates after July 1, 2000, by requiring the collection of CTA and SBC charges.  The Standard Offer is scheduled to end December 31, 2003.  The Company could not offer a discount on generation unless it continued to offer generation service, which is contrary to the goal to divest and end generation service.  The Company stated that it would discount distribution rates; however, this is inconsistent with the Act and the Company has not justified such discounts on a cost basis.</w:t>
      </w:r>
    </w:p>
    <w:p>
      <w:pPr>
        <w:pStyle w:val="Normal"/>
        <w:rPr/>
      </w:pPr>
      <w:r>
        <w:rPr/>
      </w:r>
    </w:p>
    <w:p>
      <w:pPr>
        <w:pStyle w:val="Normal"/>
        <w:rPr/>
      </w:pPr>
      <w:r>
        <w:rPr/>
        <w:tab/>
        <w:t>The Department believes that a four-year notice is adequate for Rate RHP customers and will avoid problems later.  Most Rate RHP customers will have received the benefit of this rate for five or more years by the time it ends.  In addition, many have received rebates for the purchases of their hearing equipment through the Company’s conservation program.  All customers will be able to shop for generation service by July 1, 2000.  If this load is favorable and a lower cost to serve, as the Company maintains, then competitive suppliers may offer lower rates to these customers in the future.</w:t>
      </w:r>
    </w:p>
    <w:p>
      <w:pPr>
        <w:pStyle w:val="Normal"/>
        <w:rPr/>
      </w:pPr>
      <w:r>
        <w:rPr/>
      </w:r>
    </w:p>
    <w:p>
      <w:pPr>
        <w:pStyle w:val="Heading3"/>
        <w:keepNext w:val="true"/>
        <w:rPr/>
      </w:pPr>
      <w:bookmarkStart w:id="37" w:name="__RefHeading___Toc469364249"/>
      <w:bookmarkEnd w:id="37"/>
      <w:r>
        <w:rPr/>
        <w:t>5.</w:t>
        <w:tab/>
        <w:t>Commercial and Industrial Heat Pump Rider CHIP</w:t>
      </w:r>
    </w:p>
    <w:p>
      <w:pPr>
        <w:pStyle w:val="TOC2"/>
        <w:keepNext w:val="true"/>
        <w:tabs>
          <w:tab w:val="clear" w:pos="9360"/>
        </w:tabs>
        <w:rPr>
          <w:caps w:val="false"/>
          <w:smallCaps w:val="false"/>
          <w:shadow w:val="false"/>
        </w:rPr>
      </w:pPr>
      <w:r>
        <w:rPr>
          <w:caps w:val="false"/>
          <w:smallCaps w:val="false"/>
          <w:shadow w:val="false"/>
        </w:rPr>
      </w:r>
    </w:p>
    <w:p>
      <w:pPr>
        <w:pStyle w:val="Normal"/>
        <w:rPr/>
      </w:pPr>
      <w:r>
        <w:rPr/>
        <w:tab/>
        <w:t>The Company proposes to retain Rider CHIP and to modify the discount offered under it.  The credit will change from $8.50 per kW to “equal the applicable demand charge off of the customer’s Distribution demand charge.”  Order 6, Attachments.</w:t>
      </w:r>
    </w:p>
    <w:p>
      <w:pPr>
        <w:pStyle w:val="Normal"/>
        <w:rPr/>
      </w:pPr>
      <w:r>
        <w:rPr/>
      </w:r>
    </w:p>
    <w:p>
      <w:pPr>
        <w:pStyle w:val="Normal"/>
        <w:rPr/>
      </w:pPr>
      <w:r>
        <w:rPr/>
        <w:tab/>
        <w:t>Rider CHIP is a flexible rate because its discount is based on a published tariff.  As such it must be treated as all other flex rider tariffs.  As such, service under the rate does not qualify for a 10% reduction and the rate for that portion of the load served under the rider cannot increase.  Therefore, UI must continue to offer discounts based on current tariffs and recover the full amount of the SBC, CTA, Conservation and Renewables charges and appropriate CTA.  See Section II.C.16.  In addition, unlike Rider ED, Rider CHIP does not have a contractual term.  Therefore, pursuant to Section 58 of the Act, this rider must end on July 1, 2000.  UI will be required to submit Rider CHIP based on the foregoing and to retain appropriate tariffs to serve these customers.</w:t>
      </w:r>
    </w:p>
    <w:p>
      <w:pPr>
        <w:pStyle w:val="Normal"/>
        <w:rPr/>
      </w:pPr>
      <w:r>
        <w:rPr/>
      </w:r>
    </w:p>
    <w:p>
      <w:pPr>
        <w:pStyle w:val="Heading3"/>
        <w:keepNext w:val="true"/>
        <w:rPr/>
      </w:pPr>
      <w:bookmarkStart w:id="38" w:name="__RefHeading___Toc469364250"/>
      <w:bookmarkEnd w:id="38"/>
      <w:r>
        <w:rPr/>
        <w:t>6.</w:t>
        <w:tab/>
        <w:t>General Service Rate GS and General Service Time</w:t>
        <w:noBreakHyphen/>
        <w:t>of</w:t>
        <w:noBreakHyphen/>
        <w:t>Use Rate GST</w:t>
      </w:r>
    </w:p>
    <w:p>
      <w:pPr>
        <w:pStyle w:val="Normal"/>
        <w:keepNext w:val="true"/>
        <w:rPr/>
      </w:pPr>
      <w:r>
        <w:rPr/>
      </w:r>
    </w:p>
    <w:p>
      <w:pPr>
        <w:pStyle w:val="Normal"/>
        <w:rPr/>
      </w:pPr>
      <w:r>
        <w:rPr/>
        <w:tab/>
        <w:t>Customers served under Rate GS can be billed under non</w:t>
        <w:noBreakHyphen/>
        <w:t>demand or demand</w:t>
        <w:noBreakHyphen/>
        <w:t>based rates, depending on their usage.  For Rate GS Non</w:t>
        <w:noBreakHyphen/>
        <w:t>Demand, UI proposes to establish per kWh assessments for all unbundled charges.  For Rate GS Demand, UI will maintain demand</w:t>
        <w:noBreakHyphen/>
        <w:t>based distribution charges and proposes to establish demand and energy</w:t>
        <w:noBreakHyphen/>
        <w:t>based Competitive Transition Assessment (CTA) rates.  UI believes that if the recovery of the CTA from these customers were based solely on a kWh assessment, higher load factor customers would subsidize CTA recovery from customers with lower load factors.  Responses to Interrogatories EL</w:t>
        <w:noBreakHyphen/>
        <w:t>107 and 118.  UI states that the rates are designed to comply with the mandatory 10% reduction required by the Act.  Order No. 5 Attachments; Response to Interrogatory EL</w:t>
        <w:noBreakHyphen/>
        <w:t>118.</w:t>
      </w:r>
    </w:p>
    <w:p>
      <w:pPr>
        <w:pStyle w:val="Normal"/>
        <w:ind w:firstLine="720" w:end="0"/>
        <w:rPr/>
      </w:pPr>
      <w:r>
        <w:rPr/>
      </w:r>
    </w:p>
    <w:p>
      <w:pPr>
        <w:pStyle w:val="Normal"/>
        <w:ind w:firstLine="720" w:end="0"/>
        <w:rPr/>
      </w:pPr>
      <w:r>
        <w:rPr/>
        <w:t>The Department agrees that for Rate GS Demand, a straight kWh based charge would be inequitable and would tend to penalize higher load factor customers.  Therefore, for these customers recovery of the CTA through a combination of demand and energy based rates is appropriate.</w:t>
      </w:r>
    </w:p>
    <w:p>
      <w:pPr>
        <w:pStyle w:val="Normal"/>
        <w:ind w:firstLine="720" w:end="0"/>
        <w:rPr/>
      </w:pPr>
      <w:r>
        <w:rPr/>
      </w:r>
    </w:p>
    <w:p>
      <w:pPr>
        <w:pStyle w:val="Normal"/>
        <w:ind w:firstLine="720" w:end="0"/>
        <w:rPr/>
      </w:pPr>
      <w:r>
        <w:rPr/>
        <w:t>Department review of the proposed Rates GS Demand and GS Non</w:t>
        <w:noBreakHyphen/>
        <w:t>Demand finds them to be in compliance with the directives contained in the Initial Decision.  UI will be directed to submit final tariffs for these rates.</w:t>
      </w:r>
    </w:p>
    <w:p>
      <w:pPr>
        <w:pStyle w:val="Normal"/>
        <w:ind w:firstLine="720" w:end="0"/>
        <w:rPr/>
      </w:pPr>
      <w:r>
        <w:rPr/>
      </w:r>
    </w:p>
    <w:p>
      <w:pPr>
        <w:pStyle w:val="Heading3"/>
        <w:keepNext w:val="true"/>
        <w:rPr/>
      </w:pPr>
      <w:bookmarkStart w:id="39" w:name="__RefHeading___Toc469364251"/>
      <w:bookmarkEnd w:id="39"/>
      <w:r>
        <w:rPr/>
        <w:t>7.</w:t>
        <w:tab/>
        <w:t>General Service Heating Rate TE</w:t>
      </w:r>
    </w:p>
    <w:p>
      <w:pPr>
        <w:pStyle w:val="Normal"/>
        <w:keepNext w:val="true"/>
        <w:rPr/>
      </w:pPr>
      <w:r>
        <w:rPr/>
      </w:r>
    </w:p>
    <w:p>
      <w:pPr>
        <w:pStyle w:val="Normal"/>
        <w:rPr/>
      </w:pPr>
      <w:r>
        <w:rPr/>
        <w:tab/>
        <w:t>Similar to Rate GS, customers served under Rate TE are billed under non</w:t>
        <w:noBreakHyphen/>
        <w:t>demand or demand</w:t>
        <w:noBreakHyphen/>
        <w:t>based rates, depending on their usage.  For Rate TE Non</w:t>
        <w:noBreakHyphen/>
        <w:t>Demand, UI proposes to establish per kWh assessments for all unbundled charges.  However, contrary to the rate design for Rate GS Demand, UI proposes a straight energy assessment of the CTA.  In support of this rate design, UI cites the “homogenous” consumption patterns of these customers as well as the relative size of the rate class, only 297 customers.  Although UI could have set the CTA as either a demand, energy or combination rate, its preference was the straight energy charge.  Response to Interrogatory EL</w:t>
        <w:noBreakHyphen/>
        <w:t>107.</w:t>
      </w:r>
    </w:p>
    <w:p>
      <w:pPr>
        <w:pStyle w:val="Normal"/>
        <w:rPr/>
      </w:pPr>
      <w:r>
        <w:rPr/>
      </w:r>
    </w:p>
    <w:p>
      <w:pPr>
        <w:pStyle w:val="Normal"/>
        <w:rPr/>
      </w:pPr>
      <w:r>
        <w:rPr/>
        <w:tab/>
        <w:t>Department review of the proposed Rate TE finds it to be reasonable and in compliance with the directives contained in the Initial Decision.  UI will be directed to submit a final tariff for this rate.</w:t>
      </w:r>
    </w:p>
    <w:p>
      <w:pPr>
        <w:pStyle w:val="Normal"/>
        <w:spacing w:lineRule="atLeast" w:line="240"/>
        <w:rPr/>
      </w:pPr>
      <w:r>
        <w:rPr/>
      </w:r>
    </w:p>
    <w:p>
      <w:pPr>
        <w:pStyle w:val="Heading3"/>
        <w:keepNext w:val="true"/>
        <w:rPr/>
      </w:pPr>
      <w:bookmarkStart w:id="40" w:name="__RefHeading___Toc469364252"/>
      <w:bookmarkEnd w:id="40"/>
      <w:r>
        <w:rPr/>
        <w:t>8.</w:t>
        <w:tab/>
        <w:t>Large Power Time</w:t>
        <w:noBreakHyphen/>
        <w:t>of</w:t>
        <w:noBreakHyphen/>
        <w:t>Use Rate LPT</w:t>
      </w:r>
    </w:p>
    <w:p>
      <w:pPr>
        <w:pStyle w:val="Normal"/>
        <w:keepNext w:val="true"/>
        <w:rPr/>
      </w:pPr>
      <w:r>
        <w:rPr/>
      </w:r>
    </w:p>
    <w:p>
      <w:pPr>
        <w:pStyle w:val="Normal"/>
        <w:rPr/>
      </w:pPr>
      <w:r>
        <w:rPr/>
        <w:tab/>
        <w:t>For Rate LPT, UI proposes to recover CTA revenues through a single, demand based charge assessed against the on-peak demands for this rate.  Order No. 6, Attachments.  UI states that, just as with Rate TE, Rate LPT customers demonstrate ‘homogenous’ load characteristics, supporting the assessment of a single CTA charge.  UI also proposes to recover its distribution revenue through on</w:t>
        <w:noBreakHyphen/>
        <w:t>peak, shoulder and off</w:t>
        <w:noBreakHyphen/>
        <w:t>peak demand</w:t>
        <w:noBreakHyphen/>
        <w:t xml:space="preserve">based charges.  </w:t>
      </w:r>
      <w:r>
        <w:rPr>
          <w:u w:val="single"/>
        </w:rPr>
        <w:t>Id</w:t>
      </w:r>
      <w:r>
        <w:rPr/>
        <w:t>.  The Company states that its proposal complies with the Department’s directives in the Initial Decision that rates should be designed to simplify the transition to competition.  Response to Interrogatory EL</w:t>
        <w:noBreakHyphen/>
        <w:t>122.  In addition, UI submitted a correction to Rate LPT, adjusting the distribution rates to correct a typographical error.  Modified Tariffs.</w:t>
      </w:r>
    </w:p>
    <w:p>
      <w:pPr>
        <w:pStyle w:val="Normal"/>
        <w:rPr/>
      </w:pPr>
      <w:r>
        <w:rPr/>
      </w:r>
    </w:p>
    <w:p>
      <w:pPr>
        <w:pStyle w:val="Normal"/>
        <w:rPr/>
      </w:pPr>
      <w:r>
        <w:rPr/>
        <w:tab/>
        <w:t>In the initial phase of this proceeding, UI proposed recovery of the CTA through 12 separate charges:  6 KW and 6 kWh</w:t>
        <w:noBreakHyphen/>
        <w:t>based rates.  Filing dated June 2, 1999, Exhibit No. 11, pp. 26</w:t>
        <w:noBreakHyphen/>
        <w:t>31.  To accommodate the Department’s directive to simplify rates, UI modified Rate LPT, combining the demand and energy</w:t>
        <w:noBreakHyphen/>
        <w:t>based CTA rates into a single, demand</w:t>
        <w:noBreakHyphen/>
        <w:t>based charge.  Order No. 6, Attachments.</w:t>
      </w:r>
    </w:p>
    <w:p>
      <w:pPr>
        <w:pStyle w:val="Normal"/>
        <w:rPr/>
      </w:pPr>
      <w:r>
        <w:rPr/>
      </w:r>
    </w:p>
    <w:p>
      <w:pPr>
        <w:pStyle w:val="Normal"/>
        <w:rPr/>
      </w:pPr>
      <w:r>
        <w:rPr/>
        <w:tab/>
        <w:t>Department review of the Company’s Rate LPT as submitted in its Modified Tariffs finds it to be reasonable and in compliance with the directives contained in the Initial Decision.  The Company will be required to submit a final tariff for this rate.</w:t>
      </w:r>
    </w:p>
    <w:p>
      <w:pPr>
        <w:pStyle w:val="Normal"/>
        <w:rPr/>
      </w:pPr>
      <w:r>
        <w:rPr/>
      </w:r>
    </w:p>
    <w:p>
      <w:pPr>
        <w:pStyle w:val="Heading3"/>
        <w:keepNext w:val="true"/>
        <w:rPr/>
      </w:pPr>
      <w:bookmarkStart w:id="41" w:name="__RefHeading___Toc469364253"/>
      <w:bookmarkEnd w:id="41"/>
      <w:r>
        <w:rPr/>
        <w:t>9.</w:t>
        <w:tab/>
        <w:t>Real</w:t>
        <w:noBreakHyphen/>
        <w:t>Time Pricing Rate RTP</w:t>
      </w:r>
    </w:p>
    <w:p>
      <w:pPr>
        <w:pStyle w:val="Normal"/>
        <w:keepNext w:val="true"/>
        <w:rPr/>
      </w:pPr>
      <w:r>
        <w:rPr/>
      </w:r>
    </w:p>
    <w:p>
      <w:pPr>
        <w:pStyle w:val="Normal"/>
        <w:rPr/>
      </w:pPr>
      <w:r>
        <w:rPr/>
        <w:tab/>
        <w:t>UI proposes to cancel Rate RTP because there are no customers being served under it at this time.  Order No. 6, Attachments; Response to Interrogatory EL</w:t>
        <w:noBreakHyphen/>
        <w:t>109.</w:t>
      </w:r>
    </w:p>
    <w:p>
      <w:pPr>
        <w:pStyle w:val="TOC2"/>
        <w:tabs>
          <w:tab w:val="clear" w:pos="9360"/>
        </w:tabs>
        <w:rPr>
          <w:caps w:val="false"/>
          <w:smallCaps w:val="false"/>
          <w:shadow w:val="false"/>
        </w:rPr>
      </w:pPr>
      <w:r>
        <w:rPr>
          <w:caps w:val="false"/>
          <w:smallCaps w:val="false"/>
          <w:shadow w:val="false"/>
        </w:rPr>
      </w:r>
    </w:p>
    <w:p>
      <w:pPr>
        <w:pStyle w:val="Normal"/>
        <w:rPr/>
      </w:pPr>
      <w:r>
        <w:rPr/>
        <w:tab/>
        <w:t>In the May 21,1999 Filing Order, issued in the initial phase of the proceeding, the Department ruled that the instant docket was not a rate case proceeding and that matters generally addressed in rate proceedings, such as the elimination of a tariff, would not be entertained.  However, the Department notes that this rate was offered on an “experimental” basis and that the rates under this tariff are based on UI’s marginal cost of generation.  As such, the rate is effectively inoperable because, with the approval of the Enron Settlement, UI will have divested all of its generation assets.  Further, since there are no customers taking service under this tariff, there are no rate issues to be addressed.  Based on the foregoing the Company’s request to cancel Rate RTP is approved.</w:t>
      </w:r>
    </w:p>
    <w:p>
      <w:pPr>
        <w:pStyle w:val="Normal"/>
        <w:rPr/>
      </w:pPr>
      <w:r>
        <w:rPr/>
      </w:r>
    </w:p>
    <w:p>
      <w:pPr>
        <w:pStyle w:val="Heading3"/>
        <w:keepNext w:val="true"/>
        <w:rPr/>
      </w:pPr>
      <w:bookmarkStart w:id="42" w:name="__RefHeading___Toc469364254"/>
      <w:bookmarkEnd w:id="42"/>
      <w:r>
        <w:rPr/>
        <w:t>10.</w:t>
        <w:tab/>
        <w:t>Non</w:t>
        <w:noBreakHyphen/>
        <w:t>Utility Generating Facility Standby Rate NUS</w:t>
      </w:r>
    </w:p>
    <w:p>
      <w:pPr>
        <w:pStyle w:val="Normal"/>
        <w:keepNext w:val="true"/>
        <w:rPr/>
      </w:pPr>
      <w:r>
        <w:rPr/>
      </w:r>
    </w:p>
    <w:p>
      <w:pPr>
        <w:pStyle w:val="Normal"/>
        <w:rPr/>
      </w:pPr>
      <w:r>
        <w:rPr/>
        <w:tab/>
        <w:t>In its Compliance Tariffs, UI proposed changes to the Rate NUS tariff that was submitted in the initial phase of this proceeding.  Exhibit 5, dated May 21, 1999.  For example, the Compliance Tariff proposes to collect the CTA by means of a kWh assessment instead of the demand</w:t>
        <w:noBreakHyphen/>
        <w:t>based charge initially proposed.  Order No. 6, Attachments.</w:t>
      </w:r>
    </w:p>
    <w:p>
      <w:pPr>
        <w:pStyle w:val="Normal"/>
        <w:rPr/>
      </w:pPr>
      <w:r>
        <w:rPr/>
      </w:r>
    </w:p>
    <w:p>
      <w:pPr>
        <w:pStyle w:val="Normal"/>
        <w:ind w:firstLine="720" w:end="0"/>
        <w:rPr/>
      </w:pPr>
      <w:r>
        <w:rPr/>
        <w:t>In its Modified Tariffs UI proposed to further amend Rate NUS by replacing the kWh</w:t>
        <w:noBreakHyphen/>
        <w:t>based CTA with a demand</w:t>
        <w:noBreakHyphen/>
        <w:t>based assessment.  Pursuant to that filing the CTA would be “$1.01/kW of either contract demand or if no present contract demand then contract demand prior to January 1, 2000.”  UI would recover its distribution revenues using energy and demand</w:t>
        <w:noBreakHyphen/>
        <w:t>based charges.  Exhibit No. 5; Response to Interrogatory EL</w:t>
        <w:noBreakHyphen/>
        <w:t>111.  UI states that if the CTA is recovered through a kWh charge, and the customer does not use energy, the customer will be “getting a free ride on the CTA, which other customers will have to pick up, and that just isn’t fair.”  Tr. 11/17/99, p. 1536.</w:t>
      </w:r>
    </w:p>
    <w:p>
      <w:pPr>
        <w:pStyle w:val="Normal"/>
        <w:ind w:firstLine="720" w:end="0"/>
        <w:rPr/>
      </w:pPr>
      <w:r>
        <w:rPr/>
      </w:r>
    </w:p>
    <w:p>
      <w:pPr>
        <w:pStyle w:val="Normal"/>
        <w:rPr/>
      </w:pPr>
      <w:r>
        <w:rPr/>
        <w:tab/>
        <w:t>Wisvest objects to the rate design for Rate NUS submitted with the Modified Tariffs, stating:</w:t>
      </w:r>
    </w:p>
    <w:p>
      <w:pPr>
        <w:pStyle w:val="Normal"/>
        <w:rPr/>
      </w:pPr>
      <w:r>
        <w:rPr/>
      </w:r>
    </w:p>
    <w:p>
      <w:pPr>
        <w:pStyle w:val="Quote"/>
        <w:rPr/>
      </w:pPr>
      <w:r>
        <w:rPr/>
        <w:t>UI has proposed language which has no legal or record basis and which attempts to fix the contract demand at that prior to January 1, 2000.  Although the intent of this tariff language is not clear, it appears to be a very broad form of an exit fee, which was certainly not an issue in this docket.  Wisvest Letter dated November 15, 1999.</w:t>
      </w:r>
    </w:p>
    <w:p>
      <w:pPr>
        <w:pStyle w:val="Normal"/>
        <w:rPr/>
      </w:pPr>
      <w:r>
        <w:rPr/>
      </w:r>
    </w:p>
    <w:p>
      <w:pPr>
        <w:pStyle w:val="Normal"/>
        <w:ind w:firstLine="720" w:end="0"/>
        <w:rPr/>
      </w:pPr>
      <w:r>
        <w:rPr/>
        <w:t>Wisvest believes that the CTA rate design submitted with the Compliance Tariff, a straight energy</w:t>
        <w:noBreakHyphen/>
        <w:t xml:space="preserve">based charge, complies with the directives contained in the Initial Decision and should be approved.  </w:t>
      </w:r>
      <w:r>
        <w:rPr>
          <w:u w:val="single"/>
        </w:rPr>
        <w:t>Id</w:t>
      </w:r>
      <w:r>
        <w:rPr/>
        <w:t xml:space="preserve">.; Wisvest Brief, pp. 1 and 2.  Wisvest cites the Initial Decision, p. 75, in support of its position regarding the use of kWh charges for this rate.  </w:t>
      </w:r>
      <w:r>
        <w:rPr>
          <w:u w:val="single"/>
        </w:rPr>
        <w:t>Id</w:t>
      </w:r>
      <w:r>
        <w:rPr/>
        <w:t>.</w:t>
      </w:r>
    </w:p>
    <w:p>
      <w:pPr>
        <w:pStyle w:val="Normal"/>
        <w:rPr/>
      </w:pPr>
      <w:r>
        <w:rPr/>
      </w:r>
    </w:p>
    <w:p>
      <w:pPr>
        <w:pStyle w:val="Normal"/>
        <w:rPr/>
      </w:pPr>
      <w:r>
        <w:rPr/>
        <w:tab/>
        <w:t>Rate NUS, a stand</w:t>
        <w:noBreakHyphen/>
        <w:t>by rate, is unique among UI’s tariffs.  Unlike UI’s full service rates, under Rate NUS, UI stands ready to serve the customer when necessary, but does not provide energy on a regular basis.  Under a straight kWh</w:t>
        <w:noBreakHyphen/>
        <w:t>based tariff, a customer taking service under this rate would pay nothing unless it used energy.  Therefore, UI would receive no CTA or distribution revenue while standing ready to provide service to the customer.  This type of rate structure is inappropriate.</w:t>
      </w:r>
    </w:p>
    <w:p>
      <w:pPr>
        <w:pStyle w:val="Normal"/>
        <w:rPr/>
      </w:pPr>
      <w:r>
        <w:rPr/>
      </w:r>
    </w:p>
    <w:p>
      <w:pPr>
        <w:pStyle w:val="Normal"/>
        <w:ind w:firstLine="720" w:end="0"/>
        <w:rPr/>
      </w:pPr>
      <w:r>
        <w:rPr/>
        <w:t xml:space="preserve">In the Initial Decision, the Department directed UI to “submit final unbundled rates that recover CTA revenues as proposed in the Company’s Application.”  Decision, p. 75.  In addition, the Company was directed to simplify rates.  </w:t>
      </w:r>
      <w:r>
        <w:rPr>
          <w:u w:val="single"/>
        </w:rPr>
        <w:t>Id</w:t>
      </w:r>
      <w:r>
        <w:rPr/>
        <w:t>.  Although the Department expected some changes, such as those proposed for Rate GS, see Section II.C.5, it did not anticipate the elimination of demand</w:t>
        <w:noBreakHyphen/>
        <w:t>based charges for Rate NUS.  As noted by UI, if the CTA for Rate NUS is recovered through an energy</w:t>
        <w:noBreakHyphen/>
        <w:t>only rate, these customers would avoid these costs, shifting recovery of the costs to other ratepayers.  Therefore, the Department believes that demand</w:t>
        <w:noBreakHyphen/>
        <w:t>based charges must be retained for Rate NUS.</w:t>
      </w:r>
    </w:p>
    <w:p>
      <w:pPr>
        <w:pStyle w:val="TOC2"/>
        <w:tabs>
          <w:tab w:val="clear" w:pos="9360"/>
        </w:tabs>
        <w:rPr>
          <w:caps w:val="false"/>
          <w:smallCaps w:val="false"/>
          <w:shadow w:val="false"/>
        </w:rPr>
      </w:pPr>
      <w:r>
        <w:rPr>
          <w:caps w:val="false"/>
          <w:smallCaps w:val="false"/>
          <w:shadow w:val="false"/>
        </w:rPr>
      </w:r>
    </w:p>
    <w:p>
      <w:pPr>
        <w:pStyle w:val="Normal"/>
        <w:rPr/>
      </w:pPr>
      <w:r>
        <w:rPr/>
        <w:tab/>
        <w:t>The Department believes that Rate NUS submitted with the Modified Tariffs satisfies the requirement of recovering CTA on a demand basis while unbundling rates.  However, that tariff modified the current language for this rate and increased the current Backup Service Charge from $.70/kW to $1.01/kW.  These changes are inappropriate in the context of this proceeding.  Therefore, UI will be directed to revise Rate NUS to reflect the Compliance Tariff and a modified demand charge.</w:t>
      </w:r>
    </w:p>
    <w:p>
      <w:pPr>
        <w:pStyle w:val="Normal"/>
        <w:rPr/>
      </w:pPr>
      <w:r>
        <w:rPr/>
      </w:r>
    </w:p>
    <w:p>
      <w:pPr>
        <w:pStyle w:val="Normal"/>
        <w:ind w:firstLine="720" w:end="0"/>
        <w:rPr/>
      </w:pPr>
      <w:r>
        <w:rPr/>
        <w:t>Section 10 of the Act states that in establishing the CTA the Department must consider the effect on all customer rates and other factors relevant to reducing rates in determining the amount of the assessment and the manner in which it will be imposed.  The Department has done so in this case.</w:t>
      </w:r>
    </w:p>
    <w:p>
      <w:pPr>
        <w:pStyle w:val="Normal"/>
        <w:rPr/>
      </w:pPr>
      <w:r>
        <w:rPr/>
      </w:r>
    </w:p>
    <w:p>
      <w:pPr>
        <w:pStyle w:val="Heading3"/>
        <w:keepNext w:val="true"/>
        <w:rPr/>
      </w:pPr>
      <w:bookmarkStart w:id="43" w:name="__RefHeading___Toc469364255"/>
      <w:bookmarkEnd w:id="43"/>
      <w:r>
        <w:rPr/>
        <w:t>11.</w:t>
        <w:tab/>
        <w:t>Self Generator Rates SG1 and SG2</w:t>
      </w:r>
    </w:p>
    <w:p>
      <w:pPr>
        <w:pStyle w:val="Normal"/>
        <w:keepNext w:val="true"/>
        <w:rPr/>
      </w:pPr>
      <w:r>
        <w:rPr/>
      </w:r>
    </w:p>
    <w:p>
      <w:pPr>
        <w:pStyle w:val="Normal"/>
        <w:rPr/>
      </w:pPr>
      <w:r>
        <w:rPr/>
        <w:tab/>
        <w:t>Rates SG1 and SG2 are used to calculate the energy cost avoided by UI when the Company purchases non</w:t>
        <w:noBreakHyphen/>
        <w:t>firm energy, as required under contract, from a non</w:t>
        <w:noBreakHyphen/>
        <w:t>utility generation source rather than generating the energy from its own facilities.  The current rates use the Company’s average fossil fuel cost, times a multiplier, to calculate the marginal cost payment during on and off</w:t>
        <w:noBreakHyphen/>
        <w:t>peak periods.  UI proposes to replace its average fossil fuel cost with the “NEPOOL average fossil fuel” cost in the calculation for these rates.  Order No. 6, Attachments.</w:t>
      </w:r>
      <w:r>
        <w:rPr>
          <w:rStyle w:val="FootnoteCharacters"/>
          <w:rStyle w:val="FootnoteReference"/>
        </w:rPr>
        <w:footnoteReference w:id="2"/>
      </w:r>
    </w:p>
    <w:p>
      <w:pPr>
        <w:pStyle w:val="Normal"/>
        <w:rPr/>
      </w:pPr>
      <w:r>
        <w:rPr/>
      </w:r>
    </w:p>
    <w:p>
      <w:pPr>
        <w:pStyle w:val="Normal"/>
        <w:ind w:firstLine="720" w:end="0"/>
        <w:rPr/>
      </w:pPr>
      <w:r>
        <w:rPr/>
        <w:t>Under the SG rates, UI purchases non</w:t>
        <w:noBreakHyphen/>
        <w:t>firm energy at a rate equivalent to its avoided cost.</w:t>
      </w:r>
      <w:r>
        <w:rPr>
          <w:rStyle w:val="FootnoteCharacters"/>
          <w:rStyle w:val="FootnoteReference"/>
        </w:rPr>
        <w:footnoteReference w:id="3"/>
      </w:r>
      <w:r>
        <w:rPr/>
        <w:t xml:space="preserve">  In recent years UI’s avoided cost has equaled its avoided cost of fuel.  As a result, UI’s calculation of the payment for non</w:t>
        <w:noBreakHyphen/>
        <w:t>firm energy was based on its average fossil fuel cost per kWh, the basis of Rates SG1 and SG2.  UI has divested its generation assets; therefore, it no longer calculates an average fossil fuel cost for producing energy.  As a result, UI proposes to replace the use of its average fossil fuel cost with the NEPOOL average fossil fuel cost per kWh to calculate Non</w:t>
        <w:noBreakHyphen/>
        <w:t>Firm Energy purchase rates under Rates SG1 and SG2.</w:t>
      </w:r>
    </w:p>
    <w:p>
      <w:pPr>
        <w:pStyle w:val="Normal"/>
        <w:rPr/>
      </w:pPr>
      <w:r>
        <w:rPr/>
      </w:r>
    </w:p>
    <w:p>
      <w:pPr>
        <w:pStyle w:val="Normal"/>
        <w:rPr/>
      </w:pPr>
      <w:r>
        <w:rPr/>
        <w:tab/>
        <w:t>UI states that having Rate SG2 prices that are artificially high will encourage self</w:t>
        <w:noBreakHyphen/>
        <w:t>generators to sell to UI rather than to the market, thereby keeping UI in the generation purchase business despite the Act’s clear guidance for the Company to exit the generation business.  In addition, UI states that it would be inappropriate to use the average cost of SOS supply, the Enron Settlement cost, to determine payments under the SG tariffs because the current SG tariffs calculate an “energy only” cost, while the cost of SOS supply comprises the cost of energy plus adders.  Tr. 11/23/99, pp. 1590</w:t>
        <w:noBreakHyphen/>
        <w:t>1597; UI Brief, pp. 5 and 6.  UI argues that the use of the Enron Settlement cost could result in customers with self generation facilities gaming the system by selling into the market during peak periods when prices are high and then requiring UI to purchase energy during off</w:t>
        <w:noBreakHyphen/>
        <w:t>peak periods when prices are low.  UI goes on to state:</w:t>
      </w:r>
    </w:p>
    <w:p>
      <w:pPr>
        <w:pStyle w:val="Normal"/>
        <w:rPr/>
      </w:pPr>
      <w:r>
        <w:rPr/>
      </w:r>
    </w:p>
    <w:p>
      <w:pPr>
        <w:pStyle w:val="Quote"/>
        <w:rPr/>
      </w:pPr>
      <w:r>
        <w:rPr/>
        <w:t>The result would be that UI would be paying well above market prices to the self</w:t>
        <w:noBreakHyphen/>
        <w:t>generator, in effect paying a retail price for bundled service to the self</w:t>
        <w:noBreakHyphen/>
        <w:t>generator but receiving a wholesale energy commodity.  Other UI customers would be subsidizing the self</w:t>
        <w:noBreakHyphen/>
        <w:t>generator.  Notable, a self</w:t>
        <w:noBreakHyphen/>
        <w:t>generator could include the owner(s) of the fossil generation units formerly owned by UI.  In addition, having Rate SG2 prices that are artificially high will encourage self</w:t>
        <w:noBreakHyphen/>
        <w:t>generators to sell to UI rather than to the market, thereby keeping UI in the generation purchase business despite the Act’s clear guidance for the Company to exit the generation business.  Brief, p. 6.</w:t>
      </w:r>
    </w:p>
    <w:p>
      <w:pPr>
        <w:pStyle w:val="Normal"/>
        <w:rPr/>
      </w:pPr>
      <w:r>
        <w:rPr/>
      </w:r>
    </w:p>
    <w:p>
      <w:pPr>
        <w:pStyle w:val="Normal"/>
        <w:ind w:firstLine="720" w:end="0"/>
        <w:rPr/>
      </w:pPr>
      <w:r>
        <w:rPr/>
        <w:t>For purposes of this analysis, the Department assumes that purchases under the SG rates are used at UI’s discretion either to supply SOS load, thereby displacing purchases under the Enron Settlement, or are resold in the market.  Avoided cost may include energy and capacity.  See Conn. Gen. Stat. 16-243a(a).  Contrary to UI’s above stated position, the Act requires the Company to remain in the generation purchase business throughout the standard offer period.  The NEPOOL average fossil fuel cost is not representative of UI’s avoided cost of energy and capacity; it is simply an average price for fuel.  In addition, the data are stale, reflecting NEPOOL fuel prices that are nearly two years old.  Protected Late Filed Exhibit No. 40; Tr. 11/23/99, p. 1580.  Although the price of fuel once represented UI’s avoided cost, it no longer does so.  Therefore, the use of the NEPOOL average fossil fuel cost is inappropriate for use in SG rates.</w:t>
      </w:r>
    </w:p>
    <w:p>
      <w:pPr>
        <w:pStyle w:val="Normal"/>
        <w:rPr/>
      </w:pPr>
      <w:r>
        <w:rPr/>
      </w:r>
    </w:p>
    <w:p>
      <w:pPr>
        <w:pStyle w:val="Normal"/>
        <w:ind w:firstLine="720" w:end="0"/>
        <w:rPr/>
      </w:pPr>
      <w:r>
        <w:rPr/>
        <w:t>The NEPOOL market clearing price represents the marginal price of generation (i.e., the price for energy and capacity) sold in the New England market for non</w:t>
        <w:noBreakHyphen/>
        <w:t>firm power.  Therefore, it is appropriate to establish Rate SG energy purchase rates based on this price, because it is now non</w:t>
        <w:noBreakHyphen/>
        <w:t>firm power.  Rate SG pricing should be based on the hourly NEPOOL market clearing price if time differentiated metering is available or the average NEPOOL market clearing price over the billing period if this metering is unavailable.  In addition, the Department will allow UI to reduce the NEPOOL clearing price by 5% to recover the administrative costs associated with these transactions.</w:t>
      </w:r>
    </w:p>
    <w:p>
      <w:pPr>
        <w:pStyle w:val="Normal"/>
        <w:ind w:firstLine="720" w:end="0"/>
        <w:rPr/>
      </w:pPr>
      <w:r>
        <w:rPr/>
      </w:r>
    </w:p>
    <w:p>
      <w:pPr>
        <w:pStyle w:val="Normal"/>
        <w:ind w:firstLine="720" w:end="0"/>
        <w:rPr/>
      </w:pPr>
      <w:r>
        <w:rPr/>
        <w:t>Despite the change to Rates SG1 and SG2, UI will continue to account for its SOS supply at the Enron Settlement costs.  Combined with the revised SG pricing, this provides UI an opportunity to benefit from SG purchases by using them to displace SOS supply purchases when it is economic to do so or to resell this non</w:t>
        <w:noBreakHyphen/>
        <w:t>firm energy when market prices are greater than SOS supply costs.  This should address UI’s gaming concerns.</w:t>
      </w:r>
    </w:p>
    <w:p>
      <w:pPr>
        <w:pStyle w:val="Normal"/>
        <w:ind w:firstLine="720" w:end="0"/>
        <w:rPr/>
      </w:pPr>
      <w:r>
        <w:rPr/>
      </w:r>
    </w:p>
    <w:p>
      <w:pPr>
        <w:pStyle w:val="Normal"/>
        <w:ind w:firstLine="720" w:end="0"/>
        <w:rPr/>
      </w:pPr>
      <w:r>
        <w:rPr/>
        <w:t>The SG rates pay a generator based on UI’s avoided cost.  On January 1, 2000, a reasonable proxy for that cost is the NEPOOL market clearing price.  Therefore, it is reasonable to use this price for determining payments under SG rates less some administrative costs.  Based on the foregoing, UI’s proposed Rates SG1 and SG2 are denied.  UI will be required to calculate the payment under the SG rates based on 95% of the NEPOOL market clearing price as discussed above and to submit revised tariffs in compliance with this directive.</w:t>
      </w:r>
    </w:p>
    <w:p>
      <w:pPr>
        <w:pStyle w:val="Normal"/>
        <w:rPr/>
      </w:pPr>
      <w:r>
        <w:rPr/>
      </w:r>
    </w:p>
    <w:p>
      <w:pPr>
        <w:pStyle w:val="Heading3"/>
        <w:keepNext w:val="true"/>
        <w:rPr/>
      </w:pPr>
      <w:bookmarkStart w:id="44" w:name="__RefHeading___Toc469364256"/>
      <w:bookmarkEnd w:id="44"/>
      <w:r>
        <w:rPr/>
        <w:t>12.</w:t>
        <w:tab/>
        <w:t>Interruptible Rates</w:t>
      </w:r>
    </w:p>
    <w:p>
      <w:pPr>
        <w:pStyle w:val="Normal"/>
        <w:keepNext w:val="true"/>
        <w:rPr/>
      </w:pPr>
      <w:r>
        <w:rPr/>
      </w:r>
    </w:p>
    <w:p>
      <w:pPr>
        <w:pStyle w:val="Normal"/>
        <w:rPr/>
      </w:pPr>
      <w:r>
        <w:rPr/>
        <w:tab/>
        <w:t>The Company proposes to eliminate its Contract Interruptible Load Riders CI Block A and B, Interruptible Standby Dispatch Riders ISD Block A and B and Scheduled Non</w:t>
        <w:noBreakHyphen/>
        <w:t>Firm Load Rider NF.  UI proposes to retain Load Control Rider LC.  The Company states that the Riders it proposes to eliminate require monthly payments whether the customer interrupts or not, while payments under Rider LC are based on actual interruptions.  In addition, Rider LC is being retained because it may be beneficial to the distribution company to have an interruptible rate in place in the future.  UI adjusted the payments under Rider LC to reflect an appropriate distribution company cost.  Order No. 6, Attachments; Tr. 11/23/99, 1566.</w:t>
      </w:r>
    </w:p>
    <w:p>
      <w:pPr>
        <w:pStyle w:val="Normal"/>
        <w:rPr/>
      </w:pPr>
      <w:r>
        <w:rPr/>
      </w:r>
    </w:p>
    <w:p>
      <w:pPr>
        <w:pStyle w:val="Normal"/>
        <w:rPr/>
      </w:pPr>
      <w:r>
        <w:rPr/>
        <w:tab/>
        <w:t>No party objected to the Company’s proposal and Department review finds UI’s proposal to be reasonable.  However, the minimum interruption for the rates that are being cancelled is 30 kW, while the minimum interruption under Rider LC is 100 kW.  Therefore, it appears that some customers that were able to access UI’s interruptible rates in the past would no longer be able to do so because the minimum interruption may be greater than the customer’s demand.  Therefore, UI will be required to reduce the minimum interruption under Rider LC to 30 kW.  The Department approves UI’s proposal for its interruptible rates subject to this revision.  UI will be required to submit a final tariff for this rate.</w:t>
      </w:r>
    </w:p>
    <w:p>
      <w:pPr>
        <w:pStyle w:val="Normal"/>
        <w:rPr/>
      </w:pPr>
      <w:r>
        <w:rPr/>
      </w:r>
    </w:p>
    <w:p>
      <w:pPr>
        <w:pStyle w:val="Heading3"/>
        <w:keepNext w:val="true"/>
        <w:rPr/>
      </w:pPr>
      <w:bookmarkStart w:id="45" w:name="__RefHeading___Toc469364257"/>
      <w:bookmarkEnd w:id="45"/>
      <w:r>
        <w:rPr/>
        <w:t>13.</w:t>
        <w:tab/>
        <w:t>Large Light and Power Rate LLP</w:t>
      </w:r>
    </w:p>
    <w:p>
      <w:pPr>
        <w:pStyle w:val="Normal"/>
        <w:keepNext w:val="true"/>
        <w:ind w:firstLine="720" w:end="0"/>
        <w:rPr/>
      </w:pPr>
      <w:r>
        <w:rPr/>
      </w:r>
    </w:p>
    <w:p>
      <w:pPr>
        <w:pStyle w:val="Normal"/>
        <w:ind w:firstLine="720" w:end="0"/>
        <w:rPr/>
      </w:pPr>
      <w:r>
        <w:rPr/>
        <w:t>UI proposes to cancel Rate LLP.  Order No. 6, Attachments.</w:t>
      </w:r>
    </w:p>
    <w:p>
      <w:pPr>
        <w:pStyle w:val="Normal"/>
        <w:ind w:firstLine="720" w:end="0"/>
        <w:rPr/>
      </w:pPr>
      <w:r>
        <w:rPr/>
      </w:r>
    </w:p>
    <w:p>
      <w:pPr>
        <w:pStyle w:val="Normal"/>
        <w:ind w:firstLine="720" w:end="0"/>
        <w:rPr/>
      </w:pPr>
      <w:r>
        <w:rPr/>
        <w:t>There are no customers taking service under Rate LLP.  Response to Interrogatory EL</w:t>
        <w:noBreakHyphen/>
        <w:t>110.  As discussed in Section II.C.7, the Department will allow the Company to eliminate tariffs if no customers are receiving service under the rate.  Therefore, UI’s proposal to eliminate Rate LLP is approved.</w:t>
      </w:r>
    </w:p>
    <w:p>
      <w:pPr>
        <w:pStyle w:val="Normal"/>
        <w:ind w:firstLine="720" w:end="0"/>
        <w:rPr/>
      </w:pPr>
      <w:r>
        <w:rPr/>
      </w:r>
    </w:p>
    <w:p>
      <w:pPr>
        <w:pStyle w:val="Heading3"/>
        <w:keepNext w:val="true"/>
        <w:rPr/>
      </w:pPr>
      <w:bookmarkStart w:id="46" w:name="__RefHeading___Toc469364258"/>
      <w:bookmarkEnd w:id="46"/>
      <w:r>
        <w:rPr/>
        <w:t>14.</w:t>
        <w:tab/>
        <w:t>Manufacturers Gross Earning Tax Credit Rider MFG</w:t>
      </w:r>
    </w:p>
    <w:p>
      <w:pPr>
        <w:pStyle w:val="Normal"/>
        <w:keepNext w:val="true"/>
        <w:ind w:firstLine="720" w:end="0"/>
        <w:rPr/>
      </w:pPr>
      <w:r>
        <w:rPr/>
      </w:r>
    </w:p>
    <w:p>
      <w:pPr>
        <w:pStyle w:val="Normal"/>
        <w:ind w:firstLine="720" w:end="0"/>
        <w:rPr/>
      </w:pPr>
      <w:r>
        <w:rPr/>
        <w:t>The Company proposes to modify the Rider MFG tax credit for non</w:t>
        <w:noBreakHyphen/>
        <w:t>special contract customers to reflect the Gross Earnings Tax (GET) percentage used to calculate the rate.  Special contract customers will continue to receive the current 5% GET credit.  Response to Interrogatory EL</w:t>
        <w:noBreakHyphen/>
        <w:t>114.</w:t>
      </w:r>
    </w:p>
    <w:p>
      <w:pPr>
        <w:pStyle w:val="Normal"/>
        <w:ind w:firstLine="720" w:end="0"/>
        <w:rPr/>
      </w:pPr>
      <w:r>
        <w:rPr/>
      </w:r>
    </w:p>
    <w:p>
      <w:pPr>
        <w:pStyle w:val="Normal"/>
        <w:ind w:firstLine="720" w:end="0"/>
        <w:rPr/>
      </w:pPr>
      <w:r>
        <w:rPr/>
        <w:t>Department review of UI’s proposed Rider MFG finds it to be reasonable.  UI will be required to submit a final tariff for this rate.</w:t>
      </w:r>
    </w:p>
    <w:p>
      <w:pPr>
        <w:pStyle w:val="Normal"/>
        <w:ind w:firstLine="720" w:end="0"/>
        <w:rPr/>
      </w:pPr>
      <w:r>
        <w:rPr/>
      </w:r>
    </w:p>
    <w:p>
      <w:pPr>
        <w:pStyle w:val="Heading3"/>
        <w:keepNext w:val="true"/>
        <w:rPr/>
      </w:pPr>
      <w:bookmarkStart w:id="47" w:name="__RefHeading___Toc469364259"/>
      <w:bookmarkEnd w:id="47"/>
      <w:r>
        <w:rPr/>
        <w:t>15.</w:t>
        <w:tab/>
        <w:t>Streetlighting Rates S and E</w:t>
        <w:noBreakHyphen/>
        <w:t>11</w:t>
      </w:r>
    </w:p>
    <w:p>
      <w:pPr>
        <w:pStyle w:val="Normal"/>
        <w:keepNext w:val="true"/>
        <w:rPr/>
      </w:pPr>
      <w:r>
        <w:rPr/>
      </w:r>
    </w:p>
    <w:p>
      <w:pPr>
        <w:pStyle w:val="Normal"/>
        <w:ind w:firstLine="720" w:end="0"/>
        <w:rPr/>
      </w:pPr>
      <w:r>
        <w:rPr/>
        <w:t>UI proposes to eliminate Rates S and E</w:t>
        <w:noBreakHyphen/>
        <w:t>11.  Order No. 6, Attachments.</w:t>
      </w:r>
    </w:p>
    <w:p>
      <w:pPr>
        <w:pStyle w:val="Normal"/>
        <w:ind w:firstLine="720" w:end="0"/>
        <w:rPr/>
      </w:pPr>
      <w:r>
        <w:rPr/>
      </w:r>
    </w:p>
    <w:p>
      <w:pPr>
        <w:pStyle w:val="Normal"/>
        <w:ind w:firstLine="720" w:end="0"/>
        <w:rPr/>
      </w:pPr>
      <w:r>
        <w:rPr/>
        <w:t>There are no customers taking service under these rates.  Lundrigan PFT dated May 21, 1999, p. 4; UI Written Exceptions, p. 18.  Therefore, as discussed in Section II.C.9, it is reasonable to eliminate these tariffs.</w:t>
      </w:r>
    </w:p>
    <w:p>
      <w:pPr>
        <w:pStyle w:val="Normal"/>
        <w:ind w:firstLine="720" w:end="0"/>
        <w:rPr/>
      </w:pPr>
      <w:r>
        <w:rPr/>
      </w:r>
    </w:p>
    <w:p>
      <w:pPr>
        <w:pStyle w:val="Heading3"/>
        <w:keepNext w:val="true"/>
        <w:rPr/>
      </w:pPr>
      <w:bookmarkStart w:id="48" w:name="__RefHeading___Toc469364260"/>
      <w:bookmarkEnd w:id="48"/>
      <w:r>
        <w:rPr/>
        <w:t>16.</w:t>
        <w:tab/>
        <w:t>Economic Development Rider ED</w:t>
      </w:r>
    </w:p>
    <w:p>
      <w:pPr>
        <w:pStyle w:val="Normal"/>
        <w:keepNext w:val="true"/>
        <w:rPr/>
      </w:pPr>
      <w:r>
        <w:rPr/>
        <w:tab/>
      </w:r>
    </w:p>
    <w:p>
      <w:pPr>
        <w:pStyle w:val="Normal"/>
        <w:ind w:firstLine="720" w:end="0"/>
        <w:rPr/>
      </w:pPr>
      <w:r>
        <w:rPr/>
        <w:t>The Company proposes to modify this tariff by inserting the following language:</w:t>
      </w:r>
    </w:p>
    <w:p>
      <w:pPr>
        <w:pStyle w:val="Normal"/>
        <w:rPr/>
      </w:pPr>
      <w:r>
        <w:rPr/>
      </w:r>
    </w:p>
    <w:p>
      <w:pPr>
        <w:pStyle w:val="Quote"/>
        <w:rPr/>
      </w:pPr>
      <w:r>
        <w:rPr>
          <w:rStyle w:val="LineNumber"/>
        </w:rPr>
        <w:t>This Rider will no longer be available to new customers after January 1, 2000.  Any customer on this Rider as of December 31, 1999, will continue to receive applicable credits until the normal termination of the Rider, however, these credits will only apply to the Distribution Charge portion of the bill.</w:t>
      </w:r>
    </w:p>
    <w:p>
      <w:pPr>
        <w:pStyle w:val="Normal"/>
        <w:rPr>
          <w:rStyle w:val="LineNumber"/>
        </w:rPr>
      </w:pPr>
      <w:r>
        <w:rPr/>
      </w:r>
    </w:p>
    <w:p>
      <w:pPr>
        <w:pStyle w:val="Normal"/>
        <w:rPr/>
      </w:pPr>
      <w:r>
        <w:rPr/>
        <w:tab/>
        <w:t>In the Decision dated April 30, 1999, in Docket No. 97</w:t>
        <w:noBreakHyphen/>
        <w:t>01</w:t>
        <w:noBreakHyphen/>
        <w:t xml:space="preserve">15RE01, </w:t>
      </w:r>
      <w:r>
        <w:rPr>
          <w:u w:val="single"/>
        </w:rPr>
        <w:t>DPUC Review of Electric Companies Cost of Service and Unbundled Tariffs – Unbundled Bills and SBC</w:t>
      </w:r>
      <w:r>
        <w:rPr/>
        <w:t xml:space="preserve"> (SBC Decision), the Department stated:</w:t>
      </w:r>
    </w:p>
    <w:p>
      <w:pPr>
        <w:pStyle w:val="Normal"/>
        <w:rPr/>
      </w:pPr>
      <w:r>
        <w:rPr/>
      </w:r>
    </w:p>
    <w:p>
      <w:pPr>
        <w:pStyle w:val="Quote"/>
        <w:rPr/>
      </w:pPr>
      <w:r>
        <w:rPr/>
        <w:t>On January 1, 2000, flexible rate tariff customers will continue to receive service at a discounted, flexible rate, and will be assessed the SBC and CTA.  The Department will allocate the costs for these customers in such a manner that, taking into account separate charges for the electric generation services, CTA and SBC, the resulting charges will not result in a rate increase.  When retail choice begins, these customers will be able to choose to continue receiving service at the flexible tariff rate or to return to their otherwise applicable firm service rate less 10%, whichever they determine to be more beneficial.</w:t>
      </w:r>
    </w:p>
    <w:p>
      <w:pPr>
        <w:pStyle w:val="Normal"/>
        <w:rPr/>
      </w:pPr>
      <w:r>
        <w:rPr/>
      </w:r>
    </w:p>
    <w:p>
      <w:pPr>
        <w:pStyle w:val="Quote"/>
        <w:rPr/>
      </w:pPr>
      <w:r>
        <w:rPr/>
        <w:t>Regarding UI’s plan to continue to offer discounts beyond January 1, 2000, Sections 57 and 58 of the Act speak to the continued offering of discounted rates.  In summary, the Act allows a utility to honor contracts that were in place on April 29, 1998, and exempts these contracts from certain unbundled charges, such as the SBC and CTA.  As noted above, these contracts are not eligible for the mandatory 10% rate reduction.  However, the Act requires that for any of these contracts that expire, are renewed or extended, that language be included in said contracts to recover all unbundled charges.  In addition, the Act requires that contracts entered into subsequent to April 29, 1998, recover all unbundled charges.  Further, Section 58, which becomes effective July 1, 2000, eliminates the requirement that electric companies offer economic development rates.  Based on the foregoing, the Companies are at risk for all unbundled revenues, such as the CTA, where revenue discounts have been offered that are not in compliance with the Act.  SBC Decision, p. 18.</w:t>
      </w:r>
    </w:p>
    <w:p>
      <w:pPr>
        <w:pStyle w:val="Normal"/>
        <w:rPr/>
      </w:pPr>
      <w:r>
        <w:rPr/>
      </w:r>
    </w:p>
    <w:p>
      <w:pPr>
        <w:pStyle w:val="BodyTextIndent"/>
        <w:rPr/>
      </w:pPr>
      <w:r>
        <w:rPr/>
        <w:t>Pursuant to the SBC Decision, the Department defined flexible rate tariff customers as those receiving electric service at a rate that is less than the customer’s otherwise applicable firm service tariff and that is based on a published tariff.  In addition, the Department concluded that flexible rate tariffs do not qualify for the 10% rate reduction.  In addition, as discussed in Section II.C.16, rates cannot increase for any customer.  SBC Decision, p. 18.  Rate ED discounts are based on published tariffs, therefore, it is a flexible rate.</w:t>
      </w:r>
    </w:p>
    <w:p>
      <w:pPr>
        <w:pStyle w:val="Normal"/>
        <w:rPr/>
      </w:pPr>
      <w:r>
        <w:rPr/>
      </w:r>
    </w:p>
    <w:p>
      <w:pPr>
        <w:pStyle w:val="Normal"/>
        <w:tabs>
          <w:tab w:val="clear" w:pos="720"/>
          <w:tab w:val="left" w:pos="-1530" w:leader="none"/>
          <w:tab w:val="left" w:pos="-1080" w:leader="none"/>
        </w:tabs>
        <w:rPr/>
      </w:pPr>
      <w:r>
        <w:rPr/>
        <w:tab/>
        <w:t>Based on the proposed tariff, the rates for these customers will increase because the percentage discount is being applied to distribution rates, a value that is less than the customer’s current bundled rate.  In addition, the Company proposes to add Conservation and Renewables charges, increasing the rates further.  This is contrary to the intent of the Act.  Flexible rate tariff discounts should be based on the current tariffs.  These tariffs should be retained for purposes of calculating discounts to assure that the rates do not increase for these customers.  See Section II.C.19.  Flexible rider customers are responsible for the full assessment of the SBC, Conservation and Renewables charges at the customer’s otherwise applicable full service tariff rate, but the CTA has been reduced for these customers.  The Company indicated that it would not unbundle the rates for these customers, but would account for these assessments from the revenue provided by each customer.  Initial Decision, pp. 33-34.  Therefore, the Department will allow UI to account for these assessments from flexible rider revenues instead of itemizing them on customer bills as proposed.  UI will be directed to submit a revised Rider ED based on the foregoing.  In addition, UI must retain current tariffs for purposes of determining ED discounts going forward and must submit the final retained tariffs.</w:t>
      </w:r>
    </w:p>
    <w:p>
      <w:pPr>
        <w:pStyle w:val="Normal"/>
        <w:rPr/>
      </w:pPr>
      <w:r>
        <w:rPr/>
      </w:r>
    </w:p>
    <w:p>
      <w:pPr>
        <w:pStyle w:val="Normal"/>
        <w:rPr/>
      </w:pPr>
      <w:r>
        <w:rPr/>
        <w:tab/>
        <w:t>As noted above, the Act allowed the Company to honor contracts that were in place on April 29, 1998.  In addition, the Act allowed the Company to enter into special contracts or flexible rate agreements after that date.  However, the Act intended those discounted rates to recover the full value of the SBC, CTA, Conservation and Renewables charges.  For contracts entered into subsequent to the passage of the Act, UI must honor the contractual term of those agreements and provide revenue in compliance with the above discussion.</w:t>
      </w:r>
    </w:p>
    <w:p>
      <w:pPr>
        <w:pStyle w:val="Normal"/>
        <w:rPr/>
      </w:pPr>
      <w:r>
        <w:rPr/>
      </w:r>
    </w:p>
    <w:p>
      <w:pPr>
        <w:pStyle w:val="Normal"/>
        <w:rPr/>
      </w:pPr>
      <w:r>
        <w:rPr/>
        <w:tab/>
        <w:t xml:space="preserve">In the initial phase of the proceeding, UI proposed to account for the assessments noted above based on the revenues provided from special contract and flexible rider customers.  This proposal was based on the original cost of SOS supply.  The Department notes that under the revised SOS supply pricing, the cost to serve these customers declined from that originally proposed, resulting in additional margin from these customers, margin that can be assigned to the assessments. </w:t>
      </w:r>
    </w:p>
    <w:p>
      <w:pPr>
        <w:pStyle w:val="Normal"/>
        <w:rPr/>
      </w:pPr>
      <w:r>
        <w:rPr/>
      </w:r>
    </w:p>
    <w:p>
      <w:pPr>
        <w:pStyle w:val="Normal"/>
        <w:rPr/>
      </w:pPr>
      <w:r>
        <w:rPr/>
        <w:tab/>
        <w:t>Further, the Company argues that the Department cannot modify the buyout provisions of its contracts.  UI Written Exceptions, pp. 1</w:t>
        <w:noBreakHyphen/>
        <w:t>13.  For the reasons cited by UI in support of that argument, the Department does not believe the Company can modify the existing contractual payment arrangements it has with these customers, including the buyout provisions.</w:t>
      </w:r>
    </w:p>
    <w:p>
      <w:pPr>
        <w:pStyle w:val="Normal"/>
        <w:rPr/>
      </w:pPr>
      <w:r>
        <w:rPr/>
      </w:r>
    </w:p>
    <w:p>
      <w:pPr>
        <w:pStyle w:val="Heading3"/>
        <w:keepNext w:val="true"/>
        <w:rPr/>
      </w:pPr>
      <w:bookmarkStart w:id="49" w:name="__RefHeading___Toc469364261"/>
      <w:bookmarkEnd w:id="49"/>
      <w:r>
        <w:rPr/>
        <w:t>17.</w:t>
        <w:tab/>
        <w:t>Competitive Energy Rate CE</w:t>
      </w:r>
    </w:p>
    <w:p>
      <w:pPr>
        <w:pStyle w:val="Normal"/>
        <w:keepNext w:val="true"/>
        <w:rPr/>
      </w:pPr>
      <w:r>
        <w:rPr/>
      </w:r>
    </w:p>
    <w:p>
      <w:pPr>
        <w:pStyle w:val="Normal"/>
        <w:rPr/>
      </w:pPr>
      <w:r>
        <w:rPr/>
        <w:tab/>
        <w:t>The Company proposes to continue offering Rate CE but to modify the rate per month.  Under the revised rate, UI would recover the customer’s otherwise applicable, unbundled, firm service SBC, CTA, Conservation, Renewables and Transmission charges, plus a $.01/kWh contribution to distribution costs.  Order No. 6, Attachments.</w:t>
      </w:r>
    </w:p>
    <w:p>
      <w:pPr>
        <w:pStyle w:val="Normal"/>
        <w:rPr/>
      </w:pPr>
      <w:r>
        <w:rPr/>
      </w:r>
    </w:p>
    <w:p>
      <w:pPr>
        <w:pStyle w:val="Normal"/>
        <w:rPr/>
      </w:pPr>
      <w:r>
        <w:rPr/>
        <w:tab/>
        <w:t>Qualifications for Rate CE include the customer’s ability to demonstrate that it has a realistic competitive alternative to UI’s electric service.  In addition, the customer must agree not to install self</w:t>
        <w:noBreakHyphen/>
        <w:t>generation of cogeneration equipment and that any increase in its electric service requirements will be purchased from UI.</w:t>
      </w:r>
    </w:p>
    <w:p>
      <w:pPr>
        <w:pStyle w:val="Normal"/>
        <w:rPr/>
      </w:pPr>
      <w:r>
        <w:rPr/>
      </w:r>
    </w:p>
    <w:p>
      <w:pPr>
        <w:pStyle w:val="Normal"/>
        <w:rPr/>
      </w:pPr>
      <w:r>
        <w:rPr/>
        <w:tab/>
        <w:t>This tariff is inappropriate in a restructured electric industry in which every customer can demonstrate that it has a realistic competitive alternative to UI’s electric service.  Therefore, UI will be required to cancel this rate for new customers effective January 1, 2000.</w:t>
      </w:r>
    </w:p>
    <w:p>
      <w:pPr>
        <w:pStyle w:val="Normal"/>
        <w:rPr/>
      </w:pPr>
      <w:r>
        <w:rPr/>
      </w:r>
    </w:p>
    <w:p>
      <w:pPr>
        <w:pStyle w:val="Normal"/>
        <w:tabs>
          <w:tab w:val="clear" w:pos="720"/>
          <w:tab w:val="left" w:pos="5724" w:leader="none"/>
        </w:tabs>
        <w:ind w:firstLine="720" w:end="0"/>
        <w:rPr/>
      </w:pPr>
      <w:r>
        <w:rPr/>
        <w:t>Rate CE calculates a discount based on a filed tariff; therefore, it is a flexible rate tariff.  As such, the Company must honor current arrangements as discussed in Section II.C.16.</w:t>
      </w:r>
    </w:p>
    <w:p>
      <w:pPr>
        <w:pStyle w:val="Normal"/>
        <w:ind w:firstLine="720" w:end="0"/>
        <w:rPr/>
      </w:pPr>
      <w:r>
        <w:rPr/>
      </w:r>
    </w:p>
    <w:p>
      <w:pPr>
        <w:pStyle w:val="Heading3"/>
        <w:keepNext w:val="true"/>
        <w:rPr/>
      </w:pPr>
      <w:bookmarkStart w:id="50" w:name="__RefHeading___Toc469364262"/>
      <w:bookmarkEnd w:id="50"/>
      <w:r>
        <w:rPr/>
        <w:t>18.</w:t>
        <w:tab/>
        <w:t>Business Recovery Rider BR</w:t>
      </w:r>
    </w:p>
    <w:p>
      <w:pPr>
        <w:pStyle w:val="Normal"/>
        <w:keepNext w:val="true"/>
        <w:ind w:firstLine="720" w:end="0"/>
        <w:rPr/>
      </w:pPr>
      <w:r>
        <w:rPr/>
      </w:r>
    </w:p>
    <w:p>
      <w:pPr>
        <w:pStyle w:val="Normal"/>
        <w:rPr/>
      </w:pPr>
      <w:r>
        <w:rPr/>
        <w:tab/>
        <w:t>The Company proposes to continue offering Rate BR but to modify the rate per month.  Under the revised rate, UI would recover the customer’s otherwise applicable firm service SBC, CTA, Conservation, Renewables and Transmission charges, plus a $.01/kWh contribution to distribution costs.  Order No. 6, Attachments.  The maximum charge would remain as the customer’s otherwise applicable full service rate.</w:t>
      </w:r>
    </w:p>
    <w:p>
      <w:pPr>
        <w:pStyle w:val="Normal"/>
        <w:rPr/>
      </w:pPr>
      <w:r>
        <w:rPr/>
      </w:r>
    </w:p>
    <w:p>
      <w:pPr>
        <w:pStyle w:val="Normal"/>
        <w:rPr/>
      </w:pPr>
      <w:r>
        <w:rPr/>
        <w:tab/>
        <w:t xml:space="preserve">Rider BR is a flexible rate tariff because it calculates discounts based on a published tariff.  Under the proposed tariff, these customers will be assessed the full SBC, CTA, Conservation and Renewables charges plus a small contribution toward distribution rates.  Although full recovery of these assessments complies with the directives of the Act, continuing the rate does not.  In addition, as stated above, flexible rate customers are not entitled to the 10% nor should their rates increase.  The way to insure this occurs is to continue to bill them based on current rates.  As with Rider ED, UI must honor the term of the contract for customers that have entered into agreements with the Company subsequent to the Act.  In addition, the Company shall account for the revenues from the SBC, CTA, Conservation and Renewables charges in the same manner as Rider ED.  UI will be directed to submit a revised Rider BR based on the foregoing and to retain the appropriate current tariffs to calculate discounts. </w:t>
      </w:r>
    </w:p>
    <w:p>
      <w:pPr>
        <w:pStyle w:val="Normal"/>
        <w:rPr/>
      </w:pPr>
      <w:r>
        <w:rPr/>
      </w:r>
    </w:p>
    <w:p>
      <w:pPr>
        <w:pStyle w:val="Heading3"/>
        <w:keepNext w:val="true"/>
        <w:rPr/>
      </w:pPr>
      <w:bookmarkStart w:id="51" w:name="__RefHeading___Toc469364263"/>
      <w:bookmarkEnd w:id="51"/>
      <w:r>
        <w:rPr/>
        <w:t>19.</w:t>
        <w:tab/>
        <w:t>Special Contracts</w:t>
      </w:r>
    </w:p>
    <w:p>
      <w:pPr>
        <w:pStyle w:val="Normal"/>
        <w:keepNext w:val="true"/>
        <w:rPr/>
      </w:pPr>
      <w:r>
        <w:rPr/>
      </w:r>
    </w:p>
    <w:p>
      <w:pPr>
        <w:pStyle w:val="Normal"/>
        <w:rPr/>
      </w:pPr>
      <w:r>
        <w:rPr/>
        <w:tab/>
        <w:t>Special contract customers are served under Rates RHP, GS, GST, LPT/LTC and TE.  Because special contract discounts are based on current tariff rates, UI proposes to maintain certain tariffs and to unbundle the Transmission, Conservation, and Renewable Energy Charges of these rates.  To accommodate the Transmission Charge, UI reduced each rate’s current distribution charge by an amount equal to the class Transmission Charge.  For example, for Rate RHP, distribution charges were reduced by $.007443/kWh, the residential Transmission Charge.  UI then added an assessment for the Conservation and Renewable Charges, 3 and .5 mills/kWh respectively, to the rate.  However, UI did not reduce distribution rates by these amounts.  Therefore, under the proposed rates, on January 1, 2000, these customers would pay 3.5 mills per kWh more than they are currently, increasing their overall bills.  The percentage increase would vary by rate.</w:t>
      </w:r>
      <w:r>
        <w:rPr>
          <w:rStyle w:val="FootnoteCharacters"/>
          <w:rStyle w:val="FootnoteReference"/>
        </w:rPr>
        <w:footnoteReference w:id="4"/>
      </w:r>
      <w:r>
        <w:rPr/>
        <w:t xml:space="preserve">  Order No. 6 Attachments, Rate RHP; Response to Interrogatory EL</w:t>
        <w:noBreakHyphen/>
        <w:t>106; Tr. 11/17/99, p. 1487; Response to Interrogatory EL</w:t>
        <w:noBreakHyphen/>
        <w:t>108.</w:t>
      </w:r>
    </w:p>
    <w:p>
      <w:pPr>
        <w:pStyle w:val="TOC2"/>
        <w:tabs>
          <w:tab w:val="clear" w:pos="9360"/>
        </w:tabs>
        <w:rPr>
          <w:caps w:val="false"/>
          <w:smallCaps w:val="false"/>
          <w:shadow w:val="false"/>
        </w:rPr>
      </w:pPr>
      <w:r>
        <w:rPr>
          <w:caps w:val="false"/>
          <w:smallCaps w:val="false"/>
          <w:shadow w:val="false"/>
        </w:rPr>
      </w:r>
    </w:p>
    <w:p>
      <w:pPr>
        <w:pStyle w:val="BodyText2"/>
        <w:tabs>
          <w:tab w:val="left" w:pos="720" w:leader="none"/>
          <w:tab w:val="left" w:pos="2880" w:leader="none"/>
          <w:tab w:val="left" w:pos="3240" w:leader="none"/>
          <w:tab w:val="left" w:pos="4320" w:leader="none"/>
          <w:tab w:val="left" w:pos="4680" w:leader="none"/>
          <w:tab w:val="left" w:pos="9360" w:leader="none"/>
        </w:tabs>
        <w:rPr/>
      </w:pPr>
      <w:r>
        <w:rPr/>
        <w:tab/>
        <w:t>UI did not unbundle the Systems Benefits Charge (SBC) or the CTA for special contract customers.  Therefore, these customers will not be assessed these charges directly on their bills.  Instead, UI will recover SBC revenues from them through the distribution rates and will account for them at the otherwise applicable firm service SBC tariff rate for each customer.  The CTA for Rate RHP will be accounted for at the CTA rate applicable to UI’s residential heating customers served under Rate A.  CTA from the remaining special contract customers will be calculated and accounted for separately.  Tr. 11/17/99, pp. 1484</w:t>
        <w:noBreakHyphen/>
        <w:t>1491.</w:t>
      </w:r>
    </w:p>
    <w:p>
      <w:pPr>
        <w:pStyle w:val="TOC2"/>
        <w:tabs>
          <w:tab w:val="clear" w:pos="9360"/>
        </w:tabs>
        <w:rPr>
          <w:caps w:val="false"/>
          <w:smallCaps w:val="false"/>
          <w:shadow w:val="false"/>
        </w:rPr>
      </w:pPr>
      <w:r>
        <w:rPr>
          <w:caps w:val="false"/>
          <w:smallCaps w:val="false"/>
          <w:shadow w:val="false"/>
        </w:rPr>
      </w:r>
    </w:p>
    <w:p>
      <w:pPr>
        <w:pStyle w:val="BodyText2"/>
        <w:tabs>
          <w:tab w:val="left" w:pos="720" w:leader="none"/>
          <w:tab w:val="left" w:pos="2880" w:leader="none"/>
          <w:tab w:val="left" w:pos="3240" w:leader="none"/>
          <w:tab w:val="left" w:pos="4320" w:leader="none"/>
          <w:tab w:val="left" w:pos="4680" w:leader="none"/>
          <w:tab w:val="left" w:pos="9360" w:leader="none"/>
        </w:tabs>
        <w:rPr/>
      </w:pPr>
      <w:r>
        <w:rPr/>
        <w:tab/>
        <w:t>The Act applies different standards for revenue recovery to special contracts that were in place prior to and after the Act’s April 29, 1998, effective date.  UI proposes to treat all special contract customers equally regardless of when they began receiving service.  Response to Interrogatories EL</w:t>
        <w:noBreakHyphen/>
        <w:t>105 and 108.</w:t>
      </w:r>
    </w:p>
    <w:p>
      <w:pPr>
        <w:pStyle w:val="Normal"/>
        <w:rPr/>
      </w:pPr>
      <w:r>
        <w:rPr/>
      </w:r>
    </w:p>
    <w:p>
      <w:pPr>
        <w:pStyle w:val="Normal"/>
        <w:ind w:firstLine="720" w:end="0"/>
        <w:rPr/>
      </w:pPr>
      <w:r>
        <w:rPr/>
        <w:t xml:space="preserve">In the initial phase of this proceeding UI stated that it would not unbundle rates for its special contract customers.  Initial Decision, p. 35.  Instead, it would account for the Conservation, Renewable, SBC and CTA revenues for this class from the total revenues provided by each customer.  </w:t>
      </w:r>
      <w:r>
        <w:rPr>
          <w:u w:val="single"/>
        </w:rPr>
        <w:t>Id</w:t>
      </w:r>
      <w:r>
        <w:rPr/>
        <w:t xml:space="preserve">.  In that Decision, the Department concluded that the Act did not require that special contract rates be unbundled and that UI’s proposal for revenue recovery for the above noted charges was reasonable.  </w:t>
      </w:r>
      <w:r>
        <w:rPr>
          <w:u w:val="single"/>
        </w:rPr>
        <w:t>Id</w:t>
      </w:r>
      <w:r>
        <w:rPr/>
        <w:t>.  Therefore, UI’s proposal to add the assessment of a Conservation and Renewable Charge to its special contract customers is inconsistent with its earlier position.  The Act does not contemplate rate increases for any customer to accommodate revenue recovery of unbundled rates.  The Act did anticipate that special contract arrangements could continue to be entered into subsequent to April 29, 1998.  See Sections 10, 18, 57 and 58 of the Act.  Therefore, the Act required that the Company would be responsible for the full recovery of the SBC, CTA, Conservation and Renewable Energy Charges from these rates.</w:t>
      </w:r>
      <w:r>
        <w:rPr>
          <w:rStyle w:val="FootnoteCharacters"/>
          <w:rStyle w:val="FootnoteReference"/>
        </w:rPr>
        <w:footnoteReference w:id="5"/>
      </w:r>
    </w:p>
    <w:p>
      <w:pPr>
        <w:pStyle w:val="Normal"/>
        <w:rPr/>
      </w:pPr>
      <w:r>
        <w:rPr/>
      </w:r>
    </w:p>
    <w:p>
      <w:pPr>
        <w:pStyle w:val="BodyText"/>
        <w:rPr/>
      </w:pPr>
      <w:r>
        <w:rPr/>
        <w:tab/>
        <w:t>Certain special contract discounts are based on current tariff rates (e.g., UI’s Economic Development Rider ED); therefore, it is necessary to maintain certain tariffs for calculating rates for these customers.  UI will be required to do so.  Further, for customers that have entered into a special contract subsequent to April 29, 1998, the Company is responsible for the full assessment of all unbundled charges even though UI is not assessing those charges separately.  To assure compliance with this directive, UI must submit a detailed accounting of its special contract and flex rider sales.  This filing must provide the following for each contract or flex rider discount:  the customer’s firm service rate; the term of service, including the effective date and date of termination; annual contract sales in kW and kWh for the term of service; and the anticipated revenues for each of the unbundled charges.  For any contract that has been entered into subsequent to the Act, UI must demonstrate that the CTA equals that assessed for the customer’s otherwise applicable firm service tariff.  If such customers are not providing the full CTA, UI will be required to fund the difference from its distribution revenues.  Based on the foregoing, UI’s proposal to unbundle current tariffs for Rates RHP, GS, GST, LPT/LTC and TE, for purposes of determining special contract rates is denied.  The Company will be directed to retain appropriate current tariffs to calculate these rates.</w:t>
      </w:r>
    </w:p>
    <w:p>
      <w:pPr>
        <w:pStyle w:val="BodyText"/>
        <w:rPr/>
      </w:pPr>
      <w:r>
        <w:rPr/>
      </w:r>
    </w:p>
    <w:p>
      <w:pPr>
        <w:pStyle w:val="Heading3"/>
        <w:keepNext w:val="true"/>
        <w:rPr/>
      </w:pPr>
      <w:bookmarkStart w:id="52" w:name="__RefHeading___Toc469364264"/>
      <w:bookmarkEnd w:id="52"/>
      <w:r>
        <w:rPr/>
        <w:t>20.</w:t>
        <w:tab/>
        <w:t>Purchased Power Adjustment Clause</w:t>
      </w:r>
    </w:p>
    <w:p>
      <w:pPr>
        <w:pStyle w:val="BodyText2"/>
        <w:keepNext w:val="true"/>
        <w:tabs>
          <w:tab w:val="clear" w:pos="2880"/>
          <w:tab w:val="clear" w:pos="3240"/>
          <w:tab w:val="clear" w:pos="4320"/>
          <w:tab w:val="clear" w:pos="4680"/>
          <w:tab w:val="clear" w:pos="9360"/>
          <w:tab w:val="left" w:pos="-2430" w:leader="none"/>
          <w:tab w:val="left" w:pos="-2250" w:leader="none"/>
          <w:tab w:val="left" w:pos="-2160" w:leader="none"/>
        </w:tabs>
        <w:rPr/>
      </w:pPr>
      <w:r>
        <w:rPr/>
      </w:r>
    </w:p>
    <w:p>
      <w:pPr>
        <w:pStyle w:val="BodyText2"/>
        <w:tabs>
          <w:tab w:val="clear" w:pos="2880"/>
          <w:tab w:val="clear" w:pos="3240"/>
          <w:tab w:val="clear" w:pos="4320"/>
          <w:tab w:val="clear" w:pos="4680"/>
          <w:tab w:val="clear" w:pos="9360"/>
          <w:tab w:val="left" w:pos="-2430" w:leader="none"/>
          <w:tab w:val="left" w:pos="-2250" w:leader="none"/>
          <w:tab w:val="left" w:pos="-2160" w:leader="none"/>
        </w:tabs>
        <w:rPr/>
      </w:pPr>
      <w:r>
        <w:rPr/>
        <w:tab/>
        <w:t>The tariff submitted by UI for its Purchased Power Adjustment Clause (PPAC) complies with the directives contained in the Initial Decision.  However, the “base rate revenue component” of the GSC, a term used in the PPAC tariff, was not previously defined.  At the Department’s request, UI provided a definition of this term.  Initial Decision, p. 74; Response to Interrogatory EL</w:t>
        <w:noBreakHyphen/>
        <w:t xml:space="preserve">99.  UI defines the base rate revenue component of the GSC as the initial or wholesale standard offer power supply cost embedded in the GSC rate.  This value does not include that portion of the GSC designed to recover CTA revenues.  </w:t>
      </w:r>
      <w:r>
        <w:rPr>
          <w:u w:val="single"/>
        </w:rPr>
        <w:t>Id</w:t>
      </w:r>
      <w:r>
        <w:rPr/>
        <w:t xml:space="preserve">.  In conjunction with the SOS Cost Adjustment discussed above in Section II.B.2, UI requests that increases to its base fuel revenue amount be passed through the PPAC on a one-for-one basis.  Response to Interrogatory EL-89; Protected Tr. 11/11/99, pp. 1392-1394.  </w:t>
      </w:r>
    </w:p>
    <w:p>
      <w:pPr>
        <w:pStyle w:val="BodyText2"/>
        <w:tabs>
          <w:tab w:val="clear" w:pos="2880"/>
          <w:tab w:val="clear" w:pos="3240"/>
          <w:tab w:val="clear" w:pos="4320"/>
          <w:tab w:val="clear" w:pos="4680"/>
          <w:tab w:val="clear" w:pos="9360"/>
          <w:tab w:val="left" w:pos="-2430" w:leader="none"/>
          <w:tab w:val="left" w:pos="-2250" w:leader="none"/>
          <w:tab w:val="left" w:pos="-2160" w:leader="none"/>
        </w:tabs>
        <w:rPr/>
      </w:pPr>
      <w:r>
        <w:rPr/>
      </w:r>
    </w:p>
    <w:p>
      <w:pPr>
        <w:pStyle w:val="BodyText2"/>
        <w:tabs>
          <w:tab w:val="clear" w:pos="2880"/>
          <w:tab w:val="clear" w:pos="3240"/>
          <w:tab w:val="clear" w:pos="4320"/>
          <w:tab w:val="clear" w:pos="4680"/>
          <w:tab w:val="clear" w:pos="9360"/>
          <w:tab w:val="left" w:pos="-2430" w:leader="none"/>
          <w:tab w:val="left" w:pos="-2250" w:leader="none"/>
          <w:tab w:val="left" w:pos="-2160" w:leader="none"/>
        </w:tabs>
        <w:rPr/>
      </w:pPr>
      <w:r>
        <w:rPr/>
        <w:tab/>
        <w:t>UI’s proposal is based on the proposed SOS Cost Adjustment mechanism that assumes that an increase to the GSC would automatically result in an equivalent increase to its SOS cost.  However, as discussed in Section II.B.2, because the Department will not allow the SOS Cost Adjustment to be automatic, UI’s SOS cost may not increase as a result of increasing the GSC.  Therefore, assessing the PPAC could not be supported, since the PPAC is a cost-based tariff.</w:t>
      </w:r>
    </w:p>
    <w:p>
      <w:pPr>
        <w:pStyle w:val="TOC2"/>
        <w:tabs>
          <w:tab w:val="clear" w:pos="9360"/>
        </w:tabs>
        <w:rPr>
          <w:caps w:val="false"/>
          <w:smallCaps w:val="false"/>
          <w:shadow w:val="false"/>
        </w:rPr>
      </w:pPr>
      <w:r>
        <w:rPr>
          <w:caps w:val="false"/>
          <w:smallCaps w:val="false"/>
          <w:shadow w:val="false"/>
        </w:rPr>
      </w:r>
    </w:p>
    <w:p>
      <w:pPr>
        <w:pStyle w:val="Normal"/>
        <w:rPr/>
      </w:pPr>
      <w:r>
        <w:rPr/>
        <w:tab/>
        <w:t>The Department must maintain rates at 10% below 1996 Base Rates throughout the SOS period.  See Initial Decision, p. 5.  To do so requires that an increase to the GSC results in a reduction to the CTA rate.  If the SOS cost increases there are two options; the implementation of an assessment under the PPAC</w:t>
      </w:r>
      <w:r>
        <w:rPr>
          <w:rStyle w:val="FootnoteCharacters"/>
          <w:rStyle w:val="FootnoteReference"/>
        </w:rPr>
        <w:footnoteReference w:id="6"/>
      </w:r>
      <w:r>
        <w:rPr/>
        <w:t xml:space="preserve"> or a reduction of the CTA that is recovered through GSC charges.  Reducing CTA recovery embedded in the GSC would extend recovery of stranded costs, an undesirable, although potentially necessary, consequence of increasing the GSC while maintaining the 10% reduction.  Implementing the PPAC might be the appropriate remedy if an increase to the GSC results in an increase to UI’s SOS supply cost.  Implementing the PPAC to absorb increases to the GSC would maintain CTA recovery at current projections, approximately 11 years, because the PPAC operates outside the 10% rate reduction.</w:t>
      </w:r>
    </w:p>
    <w:p>
      <w:pPr>
        <w:pStyle w:val="TOC2"/>
        <w:tabs>
          <w:tab w:val="clear" w:pos="9360"/>
        </w:tabs>
        <w:rPr>
          <w:caps w:val="false"/>
          <w:smallCaps w:val="false"/>
          <w:shadow w:val="false"/>
        </w:rPr>
      </w:pPr>
      <w:r>
        <w:rPr>
          <w:caps w:val="false"/>
          <w:smallCaps w:val="false"/>
          <w:shadow w:val="false"/>
        </w:rPr>
      </w:r>
    </w:p>
    <w:p>
      <w:pPr>
        <w:pStyle w:val="Normal"/>
        <w:ind w:firstLine="720" w:end="0"/>
        <w:rPr/>
      </w:pPr>
      <w:r>
        <w:rPr/>
        <w:t>At this time it is not clear which of the above noted options would be appropriate to address future changes to the GSC.  The Department believes that it is in the best interests of ratepayers to maintain flexibility regarding this issue.  Given that, UI’s proposal to implement the PPAC to reflect changes to the initial (wholesale) cost of SOS supply is denied.  Changes to the initial cost of SOS supply resulting from changes to the GSC rates will not automatically be passed through the PPAC.  Should the cost of SOS supply increase as the result of an increase to the GSC, the Department will consider whether to adjust the CTA recovery that is embedded in the GSC or implement the PPAC as the appropriate way to recover the additional cost at that time.  The Department, therefore, approves the definition of UI’s base rate revenue component as proposed and will require UI to submit a revised PPAC tariff to reflect this change.  In addition, the Company will be required to include the following in its PPAC tariff:</w:t>
      </w:r>
    </w:p>
    <w:p>
      <w:pPr>
        <w:pStyle w:val="Normal"/>
        <w:rPr/>
      </w:pPr>
      <w:r>
        <w:rPr/>
      </w:r>
    </w:p>
    <w:p>
      <w:pPr>
        <w:pStyle w:val="Quote"/>
        <w:rPr/>
      </w:pPr>
      <w:r>
        <w:rPr/>
        <w:t>If the cost of SOS supply increases as the result of an increase to the GSC, the PPAC may change, subject to the approval of the Department of Public Utility Control.</w:t>
      </w:r>
    </w:p>
    <w:p>
      <w:pPr>
        <w:pStyle w:val="Normal"/>
        <w:rPr/>
      </w:pPr>
      <w:r>
        <w:rPr/>
      </w:r>
    </w:p>
    <w:p>
      <w:pPr>
        <w:pStyle w:val="Normal"/>
        <w:rPr/>
      </w:pPr>
      <w:r>
        <w:rPr/>
        <w:t>The Department notes that regardless of the option chosen, UI will be made whole for its cost to supply SOS service as discussed herein and the Initial Decision.</w:t>
      </w:r>
    </w:p>
    <w:p>
      <w:pPr>
        <w:pStyle w:val="BodyText"/>
        <w:rPr/>
      </w:pPr>
      <w:r>
        <w:rPr/>
      </w:r>
    </w:p>
    <w:p>
      <w:pPr>
        <w:pStyle w:val="Heading3"/>
        <w:keepNext w:val="true"/>
        <w:rPr/>
      </w:pPr>
      <w:bookmarkStart w:id="53" w:name="__RefHeading___Toc469364265"/>
      <w:bookmarkEnd w:id="53"/>
      <w:r>
        <w:rPr/>
        <w:t>21.</w:t>
        <w:tab/>
        <w:t>Transmission Rate</w:t>
      </w:r>
    </w:p>
    <w:p>
      <w:pPr>
        <w:pStyle w:val="Normal"/>
        <w:keepNext w:val="true"/>
        <w:rPr/>
      </w:pPr>
      <w:r>
        <w:rPr/>
      </w:r>
    </w:p>
    <w:p>
      <w:pPr>
        <w:pStyle w:val="BodyTextIndent"/>
        <w:rPr/>
      </w:pPr>
      <w:r>
        <w:rPr/>
        <w:t>The Company, in the case-in-chief, proposed a system-wide transmission charge of $.00814/kWh.  In the Initial Decision, Order No. 6 required the Company to unbundle its transmission and distribution rates and recalculate its transmission charges based on the Company’s Federal Energy Regulatory Commission (FERC) tariffs.  In its compliance filing, the Company proposed transmission rates of $.007443/kWh for residential customers and $.007581¢/kWh for commercial, industrial and street lighting customers.</w:t>
      </w:r>
    </w:p>
    <w:p>
      <w:pPr>
        <w:pStyle w:val="Normal"/>
        <w:ind w:firstLine="720" w:end="0"/>
        <w:rPr/>
      </w:pPr>
      <w:r>
        <w:rPr/>
      </w:r>
    </w:p>
    <w:p>
      <w:pPr>
        <w:pStyle w:val="Normal"/>
        <w:ind w:firstLine="720" w:end="0"/>
        <w:rPr/>
      </w:pPr>
      <w:r>
        <w:rPr/>
        <w:t>The Company provided supporting documents for its proposed transmission rates using FERC approved annual transmission revenue requirements of $38,984,598 for 1998.  Response to Interrogatory EL-93.  Dividing this revenue requirement by forecasted 2000 sales of 5,620,091,600 kWh results in a system transmission rate of $.0069366¢/kWh.  The system rate is then grossed up for the Residential GET of 6.8%, resulting in the $.007443¢/kWh.  Grossing up the system transmission rate for the Commercial and Industrial GET of 8.5% results in a transmission rate of $.007581¢/kWh.</w:t>
      </w:r>
    </w:p>
    <w:p>
      <w:pPr>
        <w:pStyle w:val="Normal"/>
        <w:ind w:firstLine="720" w:end="0"/>
        <w:rPr/>
      </w:pPr>
      <w:r>
        <w:rPr/>
      </w:r>
    </w:p>
    <w:p>
      <w:pPr>
        <w:pStyle w:val="Normal"/>
        <w:ind w:firstLine="720" w:end="0"/>
        <w:rPr/>
      </w:pPr>
      <w:r>
        <w:rPr/>
        <w:t>Although UI submitted the above-noted rates, it seeks to adjust them further.  UI proposes to use the 12 monthly coincident peak (CP) demand allocator for assignment of the revenue requirement to rate classes.  The Company cites FERC use of the average of the 12 monthly coincident peak demands as an allocator for assignment to rate classes as the basis for its request.  Response to Interrogatory EL-93.  The Company seeks the Department’s guidance regarding whether to use a CP Allocator developed from 1996 or 1998 peak demands.  During the hearing the Company witnesses were not sure what coincident peaks are used by FERC as the values filed with FERC for 1996 were significantly different in several months than those shown in the Company’s 1996 FERC Form 1.  Late Filed Exhibit No 41; Tr. 11/23/99, pp. 1571</w:t>
        <w:noBreakHyphen/>
        <w:t>1573.</w:t>
      </w:r>
    </w:p>
    <w:p>
      <w:pPr>
        <w:pStyle w:val="Normal"/>
        <w:ind w:firstLine="720" w:end="0"/>
        <w:rPr/>
      </w:pPr>
      <w:r>
        <w:rPr/>
      </w:r>
    </w:p>
    <w:p>
      <w:pPr>
        <w:pStyle w:val="BodyTextIndent3"/>
        <w:rPr>
          <w:b w:val="false"/>
        </w:rPr>
      </w:pPr>
      <w:r>
        <w:rPr>
          <w:b w:val="false"/>
        </w:rPr>
        <w:t>In addition, UI requests approval of a Transmission Service Adjustment Charge and provided proposed language for it.  Order No. 6 Attachments; Response to Interrogatory EL-100.  In support of its proposed adjustment, UI states that it is required by FERC to update its transmission costs annually and as long as there are no overriding issues, such as a change to an allowed rate of return, UI’s transmission rates are adjusted based on this filing.  Because FERC has jurisdiction over these rates, the Department must recognize them and allow UI full recovery.  The Transmission Service Adjustment Charge would be adjusted annually, but unlike the PPAC, would not be trued</w:t>
        <w:noBreakHyphen/>
        <w:t>up to the revenue recovered from a previous period.  UI states that Section 20 of the Act allows for this adjustment mechanism.  In addition, the Transmission Service Adjustment Charge would not be constrained by the 10% rate reduction.  Response to Interrogatory EL</w:t>
        <w:noBreakHyphen/>
        <w:t>101; Tr. 11/17/99, pp. 1480</w:t>
        <w:noBreakHyphen/>
        <w:t>1483.</w:t>
      </w:r>
    </w:p>
    <w:p>
      <w:pPr>
        <w:pStyle w:val="BodyTextIndent3"/>
        <w:rPr>
          <w:b w:val="false"/>
        </w:rPr>
      </w:pPr>
      <w:r>
        <w:rPr>
          <w:b w:val="false"/>
        </w:rPr>
      </w:r>
    </w:p>
    <w:p>
      <w:pPr>
        <w:pStyle w:val="Normal"/>
        <w:ind w:firstLine="720" w:end="0"/>
        <w:rPr/>
      </w:pPr>
      <w:r>
        <w:rPr/>
        <w:t>The Company testified that the use of a CP Allocator would not markedly affect the transmission rates as filed. Tr. 11/17/99, p. 1496.  The proposed transmission rates are low and any reallocation based on average CPs would be small.  Further, any change to the rate would flow to distribution charges, resulting in no change to the combined transmission and distribution rates so that each rate would continue to receive the 10 percent discount. Tr. 11/17/99, p. 1497.</w:t>
      </w:r>
    </w:p>
    <w:p>
      <w:pPr>
        <w:pStyle w:val="Normal"/>
        <w:ind w:firstLine="720" w:end="0"/>
        <w:rPr/>
      </w:pPr>
      <w:r>
        <w:rPr/>
      </w:r>
    </w:p>
    <w:p>
      <w:pPr>
        <w:pStyle w:val="Normal"/>
        <w:ind w:firstLine="720" w:end="0"/>
        <w:rPr/>
      </w:pPr>
      <w:r>
        <w:rPr/>
        <w:t>The Department has reviewed the proposed rates and finds they are appropriate as filed for recovering UI’s transmission costs.  Therefore, they need no further refinement.  The Company may present its coincident peak transmission cost allocation in its next rate case.  The Department approves the Company’s proposed transmission rates of $.007443¢/kWh for residential customers and $.007581¢/kWh for commercial, industrial and street lighting customers.</w:t>
      </w:r>
    </w:p>
    <w:p>
      <w:pPr>
        <w:pStyle w:val="BodyTextIndent3"/>
        <w:rPr>
          <w:b w:val="false"/>
        </w:rPr>
      </w:pPr>
      <w:r>
        <w:rPr>
          <w:b w:val="false"/>
        </w:rPr>
      </w:r>
    </w:p>
    <w:p>
      <w:pPr>
        <w:pStyle w:val="Normal"/>
        <w:ind w:firstLine="720" w:end="0"/>
        <w:rPr/>
      </w:pPr>
      <w:r>
        <w:rPr/>
        <w:t>The fact that FERC-approved tariffs are subject to variance beyond the control of the Department is insufficient on its face to merit an annual adjustment of these rates.  Therefore, the Department rejects UI’s proposed Transmission Service Adjustment Charge.  This finding is consistent with the Department’s Decision dated October 1, 1999, in Docket No. 99</w:t>
        <w:noBreakHyphen/>
        <w:t>03</w:t>
        <w:noBreakHyphen/>
        <w:t xml:space="preserve">36, </w:t>
      </w:r>
      <w:r>
        <w:rPr>
          <w:u w:val="single"/>
        </w:rPr>
        <w:t>DPUC Determination of The Connecticut Light and Power Company’s Standard Offer</w:t>
      </w:r>
      <w:r>
        <w:rPr/>
        <w:t>, in which the Department rejected a similar mechanism that was proposed by The Connecticut Light and Power Company.  See Decision, pp. 25</w:t>
        <w:noBreakHyphen/>
        <w:t>29.</w:t>
      </w:r>
    </w:p>
    <w:p>
      <w:pPr>
        <w:pStyle w:val="BodyTextIndent3"/>
        <w:rPr>
          <w:b w:val="false"/>
        </w:rPr>
      </w:pPr>
      <w:r>
        <w:rPr>
          <w:b w:val="false"/>
        </w:rPr>
      </w:r>
    </w:p>
    <w:p>
      <w:pPr>
        <w:pStyle w:val="BodyTextIndent3"/>
        <w:rPr>
          <w:b w:val="false"/>
        </w:rPr>
      </w:pPr>
      <w:r>
        <w:rPr>
          <w:b w:val="false"/>
        </w:rPr>
        <w:t>In this proceeding the total transmission and distribution costs were proposed as combined and fixed.  If one component were adjusted, the difference would be assigned to the other function.  In future proceedings the components will be unbundled and will be considered separately.  Any change in one component will stand on its own and will not be allocated to the other function.</w:t>
      </w:r>
    </w:p>
    <w:p>
      <w:pPr>
        <w:pStyle w:val="BodyText"/>
        <w:rPr/>
      </w:pPr>
      <w:r>
        <w:rPr/>
      </w:r>
    </w:p>
    <w:p>
      <w:pPr>
        <w:pStyle w:val="Heading3"/>
        <w:keepNext w:val="true"/>
        <w:rPr/>
      </w:pPr>
      <w:bookmarkStart w:id="54" w:name="__RefHeading___Toc469364266"/>
      <w:bookmarkEnd w:id="54"/>
      <w:r>
        <w:rPr/>
        <w:t>22.</w:t>
        <w:tab/>
        <w:t>Revised CTA Calculation</w:t>
      </w:r>
    </w:p>
    <w:p>
      <w:pPr>
        <w:pStyle w:val="Normal"/>
        <w:keepNext w:val="true"/>
        <w:rPr/>
      </w:pPr>
      <w:r>
        <w:rPr/>
      </w:r>
    </w:p>
    <w:p>
      <w:pPr>
        <w:pStyle w:val="Normal"/>
        <w:ind w:firstLine="720" w:end="0"/>
        <w:rPr/>
      </w:pPr>
      <w:r>
        <w:rPr/>
        <w:t>Order No. 1 of the Initial Decision required UI to submit a revised CTA calculation that incorporated a number of adjustments.  UI submitted a revised CTA calculation but did not offset nuclear plant rate base by 1.4 times the amount of the 1999 regulatory tax asset as required.  UI also did not adjust the 2000 and 2001 accelerated amortizations for the reduction made by the Department to incorporate the 1.4 multiplier in the accelerated amortizations.</w:t>
      </w:r>
    </w:p>
    <w:p>
      <w:pPr>
        <w:pStyle w:val="Normal"/>
        <w:rPr/>
      </w:pPr>
      <w:r>
        <w:rPr/>
      </w:r>
    </w:p>
    <w:p>
      <w:pPr>
        <w:pStyle w:val="Normal"/>
        <w:ind w:firstLine="720" w:end="0"/>
        <w:rPr/>
      </w:pPr>
      <w:r>
        <w:rPr/>
        <w:t>UI submitted a CTA calculation in response to Interrogatory EL</w:t>
        <w:noBreakHyphen/>
        <w:t>124 that applied the adjustments as ordered by the Department.  The Department finds that the CTA submitted in response to Interrogatory EL</w:t>
        <w:noBreakHyphen/>
        <w:t>124 correctly incorporates all the adjustments discussed in the Decision relative to the CTA.  UI must use the Interrogatory EL-24 submission as the basis for future modifications or adjustments to the CTA after subsequent Department review of actual costs, the sale of the nuclear plants, future rate base offsets due to land sales or emission allowance sales, and other adjustments as may, from time to time, be appropriate.</w:t>
      </w:r>
    </w:p>
    <w:p>
      <w:pPr>
        <w:pStyle w:val="Normal"/>
        <w:rPr/>
      </w:pPr>
      <w:r>
        <w:rPr/>
      </w:r>
    </w:p>
    <w:p>
      <w:pPr>
        <w:pStyle w:val="Heading3"/>
        <w:keepNext w:val="true"/>
        <w:rPr/>
      </w:pPr>
      <w:bookmarkStart w:id="55" w:name="__RefHeading___Toc469364267"/>
      <w:bookmarkEnd w:id="55"/>
      <w:r>
        <w:rPr/>
        <w:t>23.</w:t>
        <w:tab/>
        <w:t>Revised SBC Calculation</w:t>
      </w:r>
    </w:p>
    <w:p>
      <w:pPr>
        <w:pStyle w:val="TOC2"/>
        <w:keepNext w:val="true"/>
        <w:tabs>
          <w:tab w:val="clear" w:pos="9360"/>
        </w:tabs>
        <w:rPr>
          <w:caps w:val="false"/>
          <w:smallCaps w:val="false"/>
          <w:shadow w:val="false"/>
        </w:rPr>
      </w:pPr>
      <w:r>
        <w:rPr>
          <w:caps w:val="false"/>
          <w:smallCaps w:val="false"/>
          <w:shadow w:val="false"/>
        </w:rPr>
      </w:r>
    </w:p>
    <w:p>
      <w:pPr>
        <w:pStyle w:val="Normal"/>
        <w:ind w:firstLine="720" w:end="0"/>
        <w:rPr/>
      </w:pPr>
      <w:r>
        <w:rPr/>
        <w:t>The Department has reviewed the data submitted in response to Order No. 9, which required a revised SBC consistent with the Initial Decision.  While the response technically complies with the language found in the Order, UI did not incorporate the gross earnings tax (GET) into the SBC rate.</w:t>
      </w:r>
    </w:p>
    <w:p>
      <w:pPr>
        <w:pStyle w:val="Normal"/>
        <w:ind w:firstLine="720" w:end="0"/>
        <w:rPr/>
      </w:pPr>
      <w:r>
        <w:rPr/>
      </w:r>
    </w:p>
    <w:p>
      <w:pPr>
        <w:pStyle w:val="Normal"/>
        <w:ind w:firstLine="720" w:end="0"/>
        <w:rPr/>
      </w:pPr>
      <w:r>
        <w:rPr/>
        <w:t>UI submitted an SBC calculation in response to Interrogatory EL</w:t>
        <w:noBreakHyphen/>
        <w:t>140 that applied the adjustment as required by the Department.  The Department finds that the SBC submitted in response to Interrogatory EL</w:t>
        <w:noBreakHyphen/>
        <w:t>140 correctly incorporates the GET.  UI must use the Interrogatory EL-140 submission as the basis for future modifications or adjustments to the SBC after subsequent Department review of actual costs.</w:t>
      </w:r>
    </w:p>
    <w:p>
      <w:pPr>
        <w:pStyle w:val="BodyText"/>
        <w:rPr/>
      </w:pPr>
      <w:r>
        <w:rPr/>
      </w:r>
    </w:p>
    <w:p>
      <w:pPr>
        <w:pStyle w:val="Heading1"/>
        <w:keepNext w:val="true"/>
        <w:ind w:hanging="0" w:start="0"/>
        <w:rPr/>
      </w:pPr>
      <w:bookmarkStart w:id="56" w:name="__RefHeading___Toc469364268"/>
      <w:bookmarkEnd w:id="56"/>
      <w:r>
        <w:rPr/>
        <w:t>III.</w:t>
        <w:tab/>
        <w:t>Findings of Fact</w:t>
      </w:r>
    </w:p>
    <w:p>
      <w:pPr>
        <w:pStyle w:val="Normal"/>
        <w:keepNext w:val="true"/>
        <w:rPr/>
      </w:pPr>
      <w:r>
        <w:rPr/>
      </w:r>
    </w:p>
    <w:p>
      <w:pPr>
        <w:pStyle w:val="Normal"/>
        <w:numPr>
          <w:ilvl w:val="0"/>
          <w:numId w:val="6"/>
        </w:numPr>
        <w:rPr/>
      </w:pPr>
      <w:r>
        <w:rPr/>
        <w:t>UI was required to submit revised Settlement Costs for SOS for Department approval.</w:t>
      </w:r>
    </w:p>
    <w:p>
      <w:pPr>
        <w:pStyle w:val="Normal"/>
        <w:rPr/>
      </w:pPr>
      <w:r>
        <w:rPr/>
      </w:r>
    </w:p>
    <w:p>
      <w:pPr>
        <w:pStyle w:val="Normal"/>
        <w:numPr>
          <w:ilvl w:val="0"/>
          <w:numId w:val="6"/>
        </w:numPr>
        <w:rPr/>
      </w:pPr>
      <w:r>
        <w:rPr/>
        <w:t>Increasing the GSC increases the risk of migration from SOS service.</w:t>
      </w:r>
    </w:p>
    <w:p>
      <w:pPr>
        <w:pStyle w:val="Normal"/>
        <w:rPr/>
      </w:pPr>
      <w:r>
        <w:rPr/>
      </w:r>
    </w:p>
    <w:p>
      <w:pPr>
        <w:pStyle w:val="Normal"/>
        <w:numPr>
          <w:ilvl w:val="0"/>
          <w:numId w:val="6"/>
        </w:numPr>
        <w:rPr/>
      </w:pPr>
      <w:r>
        <w:rPr/>
        <w:t>UI will maintain demand</w:t>
        <w:noBreakHyphen/>
        <w:t>based distribution charges and proposes to establish demand and energy</w:t>
        <w:noBreakHyphen/>
        <w:t>based CTA rates for Rate GS Demand.</w:t>
      </w:r>
    </w:p>
    <w:p>
      <w:pPr>
        <w:pStyle w:val="Normal"/>
        <w:rPr/>
      </w:pPr>
      <w:r>
        <w:rPr/>
      </w:r>
    </w:p>
    <w:p>
      <w:pPr>
        <w:pStyle w:val="Normal"/>
        <w:numPr>
          <w:ilvl w:val="0"/>
          <w:numId w:val="6"/>
        </w:numPr>
        <w:rPr/>
      </w:pPr>
      <w:r>
        <w:rPr/>
        <w:t>Rates SG1 and SG2 are used to calculate the energy cost avoided by UI when the Company purchases non</w:t>
        <w:noBreakHyphen/>
        <w:t>firm energy from a non</w:t>
        <w:noBreakHyphen/>
        <w:t>utility generation source rather than generating the energy from its own facilities.</w:t>
      </w:r>
    </w:p>
    <w:p>
      <w:pPr>
        <w:pStyle w:val="Normal"/>
        <w:rPr/>
      </w:pPr>
      <w:r>
        <w:rPr/>
      </w:r>
    </w:p>
    <w:p>
      <w:pPr>
        <w:pStyle w:val="Normal"/>
        <w:numPr>
          <w:ilvl w:val="0"/>
          <w:numId w:val="6"/>
        </w:numPr>
        <w:rPr/>
      </w:pPr>
      <w:r>
        <w:rPr/>
        <w:t>Under the SG rates, UI purchases are based on the Company’s average cost of fossil fuel.</w:t>
      </w:r>
    </w:p>
    <w:p>
      <w:pPr>
        <w:pStyle w:val="Normal"/>
        <w:rPr/>
      </w:pPr>
      <w:r>
        <w:rPr/>
      </w:r>
    </w:p>
    <w:p>
      <w:pPr>
        <w:pStyle w:val="Normal"/>
        <w:numPr>
          <w:ilvl w:val="0"/>
          <w:numId w:val="6"/>
        </w:numPr>
        <w:rPr/>
      </w:pPr>
      <w:r>
        <w:rPr/>
        <w:t>Rider CHIP is a flexible rider tariff.</w:t>
      </w:r>
    </w:p>
    <w:p>
      <w:pPr>
        <w:pStyle w:val="Normal"/>
        <w:rPr/>
      </w:pPr>
      <w:r>
        <w:rPr/>
      </w:r>
    </w:p>
    <w:p>
      <w:pPr>
        <w:pStyle w:val="Normal"/>
        <w:numPr>
          <w:ilvl w:val="0"/>
          <w:numId w:val="6"/>
        </w:numPr>
        <w:rPr/>
      </w:pPr>
      <w:r>
        <w:rPr/>
        <w:t>Rider ED is a flexible rate tariff.</w:t>
      </w:r>
    </w:p>
    <w:p>
      <w:pPr>
        <w:pStyle w:val="Normal"/>
        <w:rPr/>
      </w:pPr>
      <w:r>
        <w:rPr/>
      </w:r>
    </w:p>
    <w:p>
      <w:pPr>
        <w:pStyle w:val="Normal"/>
        <w:numPr>
          <w:ilvl w:val="0"/>
          <w:numId w:val="6"/>
        </w:numPr>
        <w:rPr/>
      </w:pPr>
      <w:r>
        <w:rPr/>
        <w:t>Rider ED discounts would be applied against distribution rates.</w:t>
      </w:r>
    </w:p>
    <w:p>
      <w:pPr>
        <w:pStyle w:val="Normal"/>
        <w:rPr/>
      </w:pPr>
      <w:r>
        <w:rPr/>
      </w:r>
    </w:p>
    <w:p>
      <w:pPr>
        <w:pStyle w:val="Normal"/>
        <w:numPr>
          <w:ilvl w:val="0"/>
          <w:numId w:val="6"/>
        </w:numPr>
        <w:rPr/>
      </w:pPr>
      <w:r>
        <w:rPr/>
        <w:t>Qualifications for Rate CE include the customer’s ability to demonstrate that it has a realistic competitive alternative to UI’s electric service.</w:t>
      </w:r>
    </w:p>
    <w:p>
      <w:pPr>
        <w:pStyle w:val="Normal"/>
        <w:rPr/>
      </w:pPr>
      <w:r>
        <w:rPr/>
      </w:r>
    </w:p>
    <w:p>
      <w:pPr>
        <w:pStyle w:val="Normal"/>
        <w:numPr>
          <w:ilvl w:val="0"/>
          <w:numId w:val="6"/>
        </w:numPr>
        <w:rPr/>
      </w:pPr>
      <w:r>
        <w:rPr/>
        <w:t>Rider BR is a flexible rate tariff.</w:t>
      </w:r>
    </w:p>
    <w:p>
      <w:pPr>
        <w:pStyle w:val="Normal"/>
        <w:rPr/>
      </w:pPr>
      <w:r>
        <w:rPr/>
      </w:r>
    </w:p>
    <w:p>
      <w:pPr>
        <w:pStyle w:val="Normal"/>
        <w:numPr>
          <w:ilvl w:val="0"/>
          <w:numId w:val="6"/>
        </w:numPr>
        <w:rPr/>
      </w:pPr>
      <w:r>
        <w:rPr/>
        <w:t>Special contract customers are served under Rates RHP, GS, GST, LPT/LTC and TE.</w:t>
      </w:r>
    </w:p>
    <w:p>
      <w:pPr>
        <w:pStyle w:val="Normal"/>
        <w:rPr/>
      </w:pPr>
      <w:r>
        <w:rPr/>
      </w:r>
    </w:p>
    <w:p>
      <w:pPr>
        <w:pStyle w:val="Normal"/>
        <w:numPr>
          <w:ilvl w:val="0"/>
          <w:numId w:val="6"/>
        </w:numPr>
        <w:rPr/>
      </w:pPr>
      <w:r>
        <w:rPr/>
        <w:t>Special contract discounts are based on current tariff rates.</w:t>
      </w:r>
    </w:p>
    <w:p>
      <w:pPr>
        <w:pStyle w:val="Normal"/>
        <w:rPr/>
      </w:pPr>
      <w:r>
        <w:rPr/>
      </w:r>
    </w:p>
    <w:p>
      <w:pPr>
        <w:pStyle w:val="Normal"/>
        <w:numPr>
          <w:ilvl w:val="0"/>
          <w:numId w:val="6"/>
        </w:numPr>
        <w:rPr/>
      </w:pPr>
      <w:r>
        <w:rPr/>
        <w:t>The term “base rate revenue component” of the GSC was not previously defined.</w:t>
      </w:r>
    </w:p>
    <w:p>
      <w:pPr>
        <w:pStyle w:val="Normal"/>
        <w:rPr/>
      </w:pPr>
      <w:r>
        <w:rPr/>
      </w:r>
    </w:p>
    <w:p>
      <w:pPr>
        <w:pStyle w:val="Normal"/>
        <w:numPr>
          <w:ilvl w:val="0"/>
          <w:numId w:val="6"/>
        </w:numPr>
        <w:rPr/>
      </w:pPr>
      <w:r>
        <w:rPr/>
        <w:t>The base rate revenue component of the GSC does not include that portion of the GSC designed to recover CTA revenues.</w:t>
      </w:r>
    </w:p>
    <w:p>
      <w:pPr>
        <w:pStyle w:val="Normal"/>
        <w:rPr/>
      </w:pPr>
      <w:r>
        <w:rPr/>
      </w:r>
    </w:p>
    <w:p>
      <w:pPr>
        <w:pStyle w:val="BodyText"/>
        <w:numPr>
          <w:ilvl w:val="0"/>
          <w:numId w:val="6"/>
        </w:numPr>
        <w:rPr/>
      </w:pPr>
      <w:r>
        <w:rPr/>
        <w:t>UI unbundled the Transmission, Conservation, and Renewable Energy Charges for certain special contracts.</w:t>
      </w:r>
    </w:p>
    <w:p>
      <w:pPr>
        <w:pStyle w:val="BodyText"/>
        <w:rPr/>
      </w:pPr>
      <w:r>
        <w:rPr/>
      </w:r>
    </w:p>
    <w:p>
      <w:pPr>
        <w:pStyle w:val="BodyText"/>
        <w:numPr>
          <w:ilvl w:val="0"/>
          <w:numId w:val="6"/>
        </w:numPr>
        <w:rPr/>
      </w:pPr>
      <w:r>
        <w:rPr/>
        <w:t>UI did not unbundle the SBC or the CTA for special contract customers.</w:t>
      </w:r>
    </w:p>
    <w:p>
      <w:pPr>
        <w:pStyle w:val="BodyText"/>
        <w:rPr/>
      </w:pPr>
      <w:r>
        <w:rPr/>
      </w:r>
    </w:p>
    <w:p>
      <w:pPr>
        <w:pStyle w:val="Heading1"/>
        <w:keepNext w:val="true"/>
        <w:numPr>
          <w:ilvl w:val="0"/>
          <w:numId w:val="4"/>
        </w:numPr>
        <w:rPr/>
      </w:pPr>
      <w:bookmarkStart w:id="57" w:name="__RefHeading___Toc469364269"/>
      <w:bookmarkEnd w:id="57"/>
      <w:r>
        <w:rPr/>
        <w:t>Conclusion and orders</w:t>
      </w:r>
    </w:p>
    <w:p>
      <w:pPr>
        <w:pStyle w:val="Normal"/>
        <w:keepNext w:val="true"/>
        <w:rPr/>
      </w:pPr>
      <w:r>
        <w:rPr/>
      </w:r>
    </w:p>
    <w:p>
      <w:pPr>
        <w:pStyle w:val="Heading2"/>
        <w:keepNext w:val="true"/>
        <w:ind w:hanging="0" w:start="0"/>
        <w:rPr/>
      </w:pPr>
      <w:bookmarkStart w:id="58" w:name="__RefHeading___Toc469364270"/>
      <w:bookmarkEnd w:id="58"/>
      <w:r>
        <w:rPr/>
        <w:t>A.</w:t>
        <w:tab/>
        <w:t>Conclusion</w:t>
      </w:r>
    </w:p>
    <w:p>
      <w:pPr>
        <w:pStyle w:val="Normal"/>
        <w:keepNext w:val="true"/>
        <w:rPr/>
      </w:pPr>
      <w:r>
        <w:rPr/>
      </w:r>
    </w:p>
    <w:p>
      <w:pPr>
        <w:pStyle w:val="TOC2"/>
        <w:tabs>
          <w:tab w:val="clear" w:pos="9360"/>
        </w:tabs>
        <w:rPr>
          <w:caps w:val="false"/>
          <w:smallCaps w:val="false"/>
          <w:shadow w:val="false"/>
        </w:rPr>
      </w:pPr>
      <w:r>
        <w:rPr>
          <w:caps w:val="false"/>
          <w:smallCaps w:val="false"/>
          <w:shadow w:val="false"/>
        </w:rPr>
        <w:tab/>
        <w:t>In this Decision, the Department approves the revised Settlement Pricing.  The proposed tariffs are approved as filed, except as discussed in Section II. above.</w:t>
      </w:r>
    </w:p>
    <w:p>
      <w:pPr>
        <w:pStyle w:val="Normal"/>
        <w:rPr>
          <w:smallCaps/>
          <w:shadow/>
        </w:rPr>
      </w:pPr>
      <w:r>
        <w:rPr>
          <w:smallCaps/>
          <w:shadow/>
        </w:rPr>
      </w:r>
    </w:p>
    <w:p>
      <w:pPr>
        <w:pStyle w:val="Heading2"/>
        <w:keepNext w:val="true"/>
        <w:numPr>
          <w:ilvl w:val="0"/>
          <w:numId w:val="5"/>
        </w:numPr>
        <w:tabs>
          <w:tab w:val="clear" w:pos="720"/>
        </w:tabs>
        <w:ind w:hanging="720" w:start="720" w:end="0"/>
        <w:rPr/>
      </w:pPr>
      <w:bookmarkStart w:id="59" w:name="__RefHeading___Toc469364271"/>
      <w:bookmarkEnd w:id="59"/>
      <w:r>
        <w:rPr/>
        <w:t>Orders</w:t>
      </w:r>
    </w:p>
    <w:p>
      <w:pPr>
        <w:pStyle w:val="Normal"/>
        <w:keepNext w:val="true"/>
        <w:rPr/>
      </w:pPr>
      <w:r>
        <w:rPr/>
      </w:r>
    </w:p>
    <w:p>
      <w:pPr>
        <w:pStyle w:val="BodyTextIndent"/>
        <w:rPr/>
      </w:pPr>
      <w:r>
        <w:rPr/>
        <w:t>For the following Orders, please submit an original and 15 copies of the requested material, identified by Docket Number, Title, and Order Number, to the Executive Secretary.</w:t>
      </w:r>
    </w:p>
    <w:p>
      <w:pPr>
        <w:pStyle w:val="Normal"/>
        <w:rPr/>
      </w:pPr>
      <w:r>
        <w:rPr/>
      </w:r>
    </w:p>
    <w:p>
      <w:pPr>
        <w:pStyle w:val="Normal"/>
        <w:numPr>
          <w:ilvl w:val="0"/>
          <w:numId w:val="2"/>
        </w:numPr>
        <w:tabs>
          <w:tab w:val="clear" w:pos="720"/>
        </w:tabs>
        <w:ind w:hanging="720" w:start="720" w:end="0"/>
        <w:rPr/>
      </w:pPr>
      <w:r>
        <w:rPr/>
        <w:t>On or before December 22, 1999, the Company shall submit an accounting of its special contract and flex rider sales as discussed in Section II.C.19.</w:t>
      </w:r>
    </w:p>
    <w:p>
      <w:pPr>
        <w:pStyle w:val="TOC2"/>
        <w:tabs>
          <w:tab w:val="clear" w:pos="9360"/>
        </w:tabs>
        <w:ind w:hanging="720" w:start="720" w:end="0"/>
        <w:rPr>
          <w:caps w:val="false"/>
          <w:smallCaps w:val="false"/>
          <w:shadow w:val="false"/>
        </w:rPr>
      </w:pPr>
      <w:r>
        <w:rPr>
          <w:caps w:val="false"/>
          <w:smallCaps w:val="false"/>
          <w:shadow w:val="false"/>
        </w:rPr>
      </w:r>
    </w:p>
    <w:p>
      <w:pPr>
        <w:pStyle w:val="Normal"/>
        <w:numPr>
          <w:ilvl w:val="0"/>
          <w:numId w:val="2"/>
        </w:numPr>
        <w:tabs>
          <w:tab w:val="clear" w:pos="720"/>
        </w:tabs>
        <w:ind w:hanging="720" w:start="720" w:end="0"/>
        <w:rPr/>
      </w:pPr>
      <w:r>
        <w:rPr/>
        <w:t>On or before December 22, 1999, UI shall submit revised tariffs as discussed in Section II.</w:t>
      </w:r>
    </w:p>
    <w:p>
      <w:pPr>
        <w:pStyle w:val="Normal"/>
        <w:rPr/>
      </w:pPr>
      <w:r>
        <w:rPr/>
      </w:r>
    </w:p>
    <w:p>
      <w:pPr>
        <w:pStyle w:val="Normal"/>
        <w:rPr/>
      </w:pPr>
      <w:r>
        <w:rPr/>
      </w:r>
    </w:p>
    <w:p>
      <w:pPr>
        <w:sectPr>
          <w:headerReference w:type="default" r:id="rId13"/>
          <w:headerReference w:type="first" r:id="rId14"/>
          <w:footerReference w:type="default" r:id="rId15"/>
          <w:footerReference w:type="first" r:id="rId16"/>
          <w:footnotePr>
            <w:numFmt w:val="decimal"/>
          </w:footnotePr>
          <w:type w:val="nextPage"/>
          <w:pgSz w:w="12240" w:h="15840"/>
          <w:pgMar w:left="1440" w:right="1440" w:gutter="0" w:header="432" w:top="1152" w:footer="288" w:bottom="1152"/>
          <w:pgNumType w:start="1" w:fmt="decimal"/>
          <w:formProt w:val="false"/>
          <w:titlePg/>
          <w:textDirection w:val="lrTb"/>
          <w:docGrid w:type="default" w:linePitch="360" w:charSpace="0"/>
        </w:sectPr>
        <w:pStyle w:val="Normal"/>
        <w:spacing w:lineRule="atLeast" w:line="240"/>
        <w:rPr>
          <w:caps/>
          <w:vanish/>
          <w:sz w:val="18"/>
        </w:rPr>
      </w:pPr>
      <w:r>
        <w:rPr>
          <w:caps/>
          <w:vanish/>
          <w:sz w:val="18"/>
        </w:rPr>
        <w:t>DPUC electronic library location k:\finl_dec\filed under utility type, docket no., date</w:t>
      </w:r>
    </w:p>
    <w:tbl>
      <w:tblPr>
        <w:tblW w:w="9502" w:type="dxa"/>
        <w:jc w:val="start"/>
        <w:tblInd w:w="0" w:type="dxa"/>
        <w:tblLayout w:type="fixed"/>
        <w:tblCellMar>
          <w:top w:w="0" w:type="dxa"/>
          <w:start w:w="108" w:type="dxa"/>
          <w:bottom w:w="0" w:type="dxa"/>
          <w:end w:w="108" w:type="dxa"/>
        </w:tblCellMar>
      </w:tblPr>
      <w:tblGrid>
        <w:gridCol w:w="2804"/>
        <w:gridCol w:w="6698"/>
      </w:tblGrid>
      <w:tr>
        <w:trPr/>
        <w:tc>
          <w:tcPr>
            <w:tcW w:w="2804" w:type="dxa"/>
            <w:tcBorders/>
          </w:tcPr>
          <w:p>
            <w:pPr>
              <w:pStyle w:val="Normal"/>
              <w:spacing w:lineRule="atLeast" w:line="240"/>
              <w:rPr>
                <w:b/>
                <w:caps/>
              </w:rPr>
            </w:pPr>
            <w:r>
              <w:rPr>
                <w:b/>
                <w:caps/>
              </w:rPr>
              <w:t xml:space="preserve">Docket No. </w:t>
            </w:r>
            <w:r>
              <w:rPr>
                <w:b/>
                <w:caps/>
              </w:rPr>
              <w:fldChar w:fldCharType="begin"/>
            </w:r>
            <w:r>
              <w:rPr>
                <w:caps/>
                <w:b/>
              </w:rPr>
              <w:instrText xml:space="preserve"> REF "Docknum" </w:instrText>
            </w:r>
            <w:r>
              <w:rPr>
                <w:caps/>
                <w:b/>
              </w:rPr>
              <w:fldChar w:fldCharType="separate"/>
            </w:r>
            <w:r>
              <w:rPr>
                <w:caps/>
                <w:b/>
              </w:rPr>
              <w:t>99-03-35</w:t>
            </w:r>
            <w:r>
              <w:rPr>
                <w:caps/>
                <w:b/>
              </w:rPr>
              <w:fldChar w:fldCharType="end"/>
            </w:r>
          </w:p>
        </w:tc>
        <w:tc>
          <w:tcPr>
            <w:tcW w:w="6698" w:type="dxa"/>
            <w:tcBorders/>
          </w:tcPr>
          <w:p>
            <w:pPr>
              <w:pStyle w:val="Normal"/>
              <w:snapToGrid w:val="false"/>
              <w:spacing w:lineRule="atLeast" w:line="240"/>
              <w:rPr>
                <w:b/>
                <w:caps/>
              </w:rPr>
            </w:pPr>
            <w:r>
              <w:rPr>
                <w:b/>
                <w:caps/>
              </w:rPr>
              <w:fldChar w:fldCharType="begin"/>
            </w:r>
            <w:r>
              <w:rPr>
                <w:caps/>
                <w:b/>
              </w:rPr>
              <w:instrText xml:space="preserve"> REF "title" </w:instrText>
            </w:r>
            <w:r>
              <w:rPr>
                <w:caps/>
                <w:b/>
              </w:rPr>
              <w:fldChar w:fldCharType="separate"/>
            </w:r>
            <w:r>
              <w:rPr>
                <w:caps/>
                <w:b/>
              </w:rPr>
              <w:t>DPUC Determination of The United Illuminating Company's Standard Offer</w:t>
            </w:r>
            <w:r>
              <w:rPr>
                <w:caps/>
                <w:b/>
              </w:rPr>
              <w:fldChar w:fldCharType="end"/>
            </w:r>
          </w:p>
        </w:tc>
      </w:tr>
    </w:tbl>
    <w:p>
      <w:pPr>
        <w:pStyle w:val="Normal"/>
        <w:ind w:start="60" w:end="0"/>
        <w:rPr/>
      </w:pPr>
      <w:r>
        <w:rPr/>
      </w:r>
    </w:p>
    <w:p>
      <w:pPr>
        <w:pStyle w:val="Normal"/>
        <w:tabs>
          <w:tab w:val="clear" w:pos="720"/>
          <w:tab w:val="center" w:pos="8881" w:leader="none"/>
        </w:tabs>
        <w:ind w:start="60" w:end="0"/>
        <w:rPr/>
      </w:pPr>
      <w:r>
        <w:rPr/>
        <w:t>This Decision is adopted by the following Commissioners:</w:t>
      </w:r>
    </w:p>
    <w:p>
      <w:pPr>
        <w:pStyle w:val="Normal"/>
        <w:tabs>
          <w:tab w:val="clear" w:pos="720"/>
          <w:tab w:val="center" w:pos="8881" w:leader="none"/>
        </w:tabs>
        <w:ind w:start="60" w:end="0"/>
        <w:rPr/>
      </w:pPr>
      <w:r>
        <w:rPr/>
      </w:r>
    </w:p>
    <w:p>
      <w:pPr>
        <w:pStyle w:val="Normal"/>
        <w:tabs>
          <w:tab w:val="clear" w:pos="720"/>
          <w:tab w:val="center" w:pos="8881" w:leader="none"/>
        </w:tabs>
        <w:ind w:start="60" w:end="0"/>
        <w:rPr/>
      </w:pPr>
      <w:r>
        <w:rPr/>
      </w:r>
    </w:p>
    <w:tbl>
      <w:tblPr>
        <w:tblW w:w="5427" w:type="dxa"/>
        <w:jc w:val="start"/>
        <w:tblInd w:w="2220" w:type="dxa"/>
        <w:tblLayout w:type="fixed"/>
        <w:tblCellMar>
          <w:top w:w="0" w:type="dxa"/>
          <w:start w:w="108" w:type="dxa"/>
          <w:bottom w:w="0" w:type="dxa"/>
          <w:end w:w="108" w:type="dxa"/>
        </w:tblCellMar>
      </w:tblPr>
      <w:tblGrid>
        <w:gridCol w:w="5427"/>
      </w:tblGrid>
      <w:tr>
        <w:trPr/>
        <w:tc>
          <w:tcPr>
            <w:tcW w:w="5427" w:type="dxa"/>
            <w:tcBorders/>
          </w:tcPr>
          <w:p>
            <w:pPr>
              <w:pStyle w:val="Normal"/>
              <w:snapToGrid w:val="false"/>
              <w:rPr/>
            </w:pPr>
            <w:r>
              <w:rPr/>
            </w:r>
          </w:p>
        </w:tc>
      </w:tr>
      <w:tr>
        <w:trPr/>
        <w:tc>
          <w:tcPr>
            <w:tcW w:w="5427" w:type="dxa"/>
            <w:tcBorders/>
          </w:tcPr>
          <w:p>
            <w:pPr>
              <w:pStyle w:val="Normal"/>
              <w:snapToGrid w:val="false"/>
              <w:rPr/>
            </w:pPr>
            <w:r>
              <w:rPr/>
            </w:r>
          </w:p>
        </w:tc>
      </w:tr>
      <w:tr>
        <w:trPr/>
        <w:tc>
          <w:tcPr>
            <w:tcW w:w="5427" w:type="dxa"/>
            <w:tcBorders/>
          </w:tcPr>
          <w:p>
            <w:pPr>
              <w:pStyle w:val="Normal"/>
              <w:rPr/>
            </w:pPr>
            <w:bookmarkStart w:id="60" w:name="comma"/>
            <w:bookmarkEnd w:id="60"/>
            <w:r>
              <w:rPr/>
              <w:t xml:space="preserve">John W. Betkoski, III </w:t>
            </w:r>
          </w:p>
        </w:tc>
      </w:tr>
      <w:tr>
        <w:trPr/>
        <w:tc>
          <w:tcPr>
            <w:tcW w:w="5427" w:type="dxa"/>
            <w:tcBorders/>
          </w:tcPr>
          <w:p>
            <w:pPr>
              <w:pStyle w:val="Normal"/>
              <w:snapToGrid w:val="false"/>
              <w:rPr/>
            </w:pPr>
            <w:r>
              <w:rPr/>
            </w:r>
          </w:p>
        </w:tc>
      </w:tr>
      <w:tr>
        <w:trPr/>
        <w:tc>
          <w:tcPr>
            <w:tcW w:w="5427" w:type="dxa"/>
            <w:tcBorders/>
          </w:tcPr>
          <w:p>
            <w:pPr>
              <w:pStyle w:val="Normal"/>
              <w:snapToGrid w:val="false"/>
              <w:rPr/>
            </w:pPr>
            <w:r>
              <w:rPr/>
            </w:r>
          </w:p>
        </w:tc>
      </w:tr>
      <w:tr>
        <w:trPr/>
        <w:tc>
          <w:tcPr>
            <w:tcW w:w="5427" w:type="dxa"/>
            <w:tcBorders/>
          </w:tcPr>
          <w:p>
            <w:pPr>
              <w:pStyle w:val="Normal"/>
              <w:rPr/>
            </w:pPr>
            <w:bookmarkStart w:id="61" w:name="commb"/>
            <w:bookmarkEnd w:id="61"/>
            <w:r>
              <w:rPr/>
              <w:t>Donald W. Downes</w:t>
            </w:r>
          </w:p>
        </w:tc>
      </w:tr>
      <w:tr>
        <w:trPr/>
        <w:tc>
          <w:tcPr>
            <w:tcW w:w="5427" w:type="dxa"/>
            <w:tcBorders/>
          </w:tcPr>
          <w:p>
            <w:pPr>
              <w:pStyle w:val="Normal"/>
              <w:snapToGrid w:val="false"/>
              <w:rPr>
                <w:rFonts w:ascii="Arial Narrow" w:hAnsi="Arial Narrow" w:cs="Arial Narrow"/>
              </w:rPr>
            </w:pPr>
            <w:r>
              <w:rPr>
                <w:rFonts w:cs="Arial Narrow" w:ascii="Arial Narrow" w:hAnsi="Arial Narrow"/>
              </w:rPr>
            </w:r>
          </w:p>
        </w:tc>
      </w:tr>
      <w:tr>
        <w:trPr/>
        <w:tc>
          <w:tcPr>
            <w:tcW w:w="5427" w:type="dxa"/>
            <w:tcBorders/>
          </w:tcPr>
          <w:p>
            <w:pPr>
              <w:pStyle w:val="Normal"/>
              <w:snapToGrid w:val="false"/>
              <w:rPr/>
            </w:pPr>
            <w:r>
              <w:rPr/>
            </w:r>
          </w:p>
        </w:tc>
      </w:tr>
      <w:tr>
        <w:trPr/>
        <w:tc>
          <w:tcPr>
            <w:tcW w:w="5427" w:type="dxa"/>
            <w:tcBorders/>
          </w:tcPr>
          <w:p>
            <w:pPr>
              <w:pStyle w:val="Normal"/>
              <w:rPr/>
            </w:pPr>
            <w:bookmarkStart w:id="62" w:name="commc"/>
            <w:bookmarkEnd w:id="62"/>
            <w:r>
              <w:rPr/>
              <w:t>Jack R. Goldberg</w:t>
            </w:r>
          </w:p>
        </w:tc>
      </w:tr>
      <w:tr>
        <w:trPr/>
        <w:tc>
          <w:tcPr>
            <w:tcW w:w="5427" w:type="dxa"/>
            <w:tcBorders/>
          </w:tcPr>
          <w:p>
            <w:pPr>
              <w:pStyle w:val="Normal"/>
              <w:snapToGrid w:val="false"/>
              <w:rPr/>
            </w:pPr>
            <w:r>
              <w:rPr/>
            </w:r>
            <w:bookmarkStart w:id="63" w:name="B4"/>
            <w:bookmarkStart w:id="64" w:name="B4"/>
            <w:bookmarkEnd w:id="64"/>
          </w:p>
        </w:tc>
      </w:tr>
      <w:tr>
        <w:trPr/>
        <w:tc>
          <w:tcPr>
            <w:tcW w:w="5427" w:type="dxa"/>
            <w:tcBorders/>
          </w:tcPr>
          <w:p>
            <w:pPr>
              <w:pStyle w:val="Normal"/>
              <w:snapToGrid w:val="false"/>
              <w:rPr/>
            </w:pPr>
            <w:r>
              <w:rPr/>
            </w:r>
            <w:bookmarkStart w:id="65" w:name="UnderL"/>
            <w:bookmarkStart w:id="66" w:name="fourth"/>
            <w:bookmarkStart w:id="67" w:name="UnderL"/>
            <w:bookmarkStart w:id="68" w:name="fourth"/>
            <w:bookmarkEnd w:id="67"/>
            <w:bookmarkEnd w:id="68"/>
          </w:p>
        </w:tc>
      </w:tr>
      <w:tr>
        <w:trPr/>
        <w:tc>
          <w:tcPr>
            <w:tcW w:w="5427" w:type="dxa"/>
            <w:tcBorders/>
          </w:tcPr>
          <w:p>
            <w:pPr>
              <w:pStyle w:val="Normal"/>
              <w:snapToGrid w:val="false"/>
              <w:rPr/>
            </w:pPr>
            <w:r>
              <w:rPr/>
            </w:r>
            <w:bookmarkStart w:id="69" w:name="B5"/>
            <w:bookmarkStart w:id="70" w:name="commd"/>
            <w:bookmarkStart w:id="71" w:name="B5"/>
            <w:bookmarkStart w:id="72" w:name="commd"/>
            <w:bookmarkEnd w:id="71"/>
            <w:bookmarkEnd w:id="72"/>
          </w:p>
        </w:tc>
      </w:tr>
      <w:tr>
        <w:trPr/>
        <w:tc>
          <w:tcPr>
            <w:tcW w:w="5427" w:type="dxa"/>
            <w:tcBorders/>
          </w:tcPr>
          <w:p>
            <w:pPr>
              <w:pStyle w:val="Normal"/>
              <w:snapToGrid w:val="false"/>
              <w:rPr/>
            </w:pPr>
            <w:r>
              <w:rPr/>
            </w:r>
            <w:bookmarkStart w:id="73" w:name="fifth"/>
            <w:bookmarkStart w:id="74" w:name="fifth"/>
            <w:bookmarkEnd w:id="74"/>
          </w:p>
        </w:tc>
      </w:tr>
      <w:tr>
        <w:trPr/>
        <w:tc>
          <w:tcPr>
            <w:tcW w:w="5427" w:type="dxa"/>
            <w:tcBorders/>
          </w:tcPr>
          <w:p>
            <w:pPr>
              <w:pStyle w:val="Normal"/>
              <w:snapToGrid w:val="false"/>
              <w:rPr/>
            </w:pPr>
            <w:r>
              <w:rPr/>
            </w:r>
            <w:bookmarkStart w:id="75" w:name="UnderL1"/>
            <w:bookmarkStart w:id="76" w:name="UnderL1"/>
            <w:bookmarkEnd w:id="76"/>
          </w:p>
        </w:tc>
      </w:tr>
      <w:tr>
        <w:trPr/>
        <w:tc>
          <w:tcPr>
            <w:tcW w:w="5427" w:type="dxa"/>
            <w:tcBorders/>
          </w:tcPr>
          <w:p>
            <w:pPr>
              <w:pStyle w:val="Normal"/>
              <w:snapToGrid w:val="false"/>
              <w:rPr/>
            </w:pPr>
            <w:r>
              <w:rPr/>
            </w:r>
            <w:bookmarkStart w:id="77" w:name="comme"/>
            <w:bookmarkStart w:id="78" w:name="comme"/>
            <w:bookmarkEnd w:id="78"/>
          </w:p>
        </w:tc>
      </w:tr>
    </w:tbl>
    <w:p>
      <w:pPr>
        <w:pStyle w:val="Normal"/>
        <w:rPr/>
      </w:pPr>
      <w:r>
        <w:rPr/>
      </w:r>
    </w:p>
    <w:p>
      <w:pPr>
        <w:pStyle w:val="Normal"/>
        <w:jc w:val="center"/>
        <w:rPr>
          <w:u w:val="single"/>
        </w:rPr>
      </w:pPr>
      <w:r>
        <w:rPr>
          <w:u w:val="single"/>
        </w:rPr>
      </w:r>
    </w:p>
    <w:p>
      <w:pPr>
        <w:pStyle w:val="Normal"/>
        <w:jc w:val="center"/>
        <w:rPr>
          <w:u w:val="single"/>
        </w:rPr>
      </w:pPr>
      <w:r>
        <w:rPr>
          <w:u w:val="single"/>
        </w:rPr>
        <w:t>CERTIFICATE OF SERVICE</w:t>
      </w:r>
    </w:p>
    <w:p>
      <w:pPr>
        <w:pStyle w:val="Normal"/>
        <w:jc w:val="center"/>
        <w:rPr>
          <w:u w:val="single"/>
        </w:rPr>
      </w:pPr>
      <w:r>
        <w:rPr>
          <w:u w:val="single"/>
        </w:rPr>
      </w:r>
    </w:p>
    <w:p>
      <w:pPr>
        <w:pStyle w:val="Normal"/>
        <w:rPr/>
      </w:pPr>
      <w:r>
        <w:rPr/>
        <w:tab/>
        <w:t>The foregoing is a true and correct copy of the Decision issued by the Department of Public Utility Control, State of Connecticut, and was forwarded by Certified Mail to all parties of record in this proceeding on the date indicated.</w:t>
      </w:r>
    </w:p>
    <w:p>
      <w:pPr>
        <w:pStyle w:val="Normal"/>
        <w:rPr/>
      </w:pPr>
      <w:r>
        <w:rPr/>
      </w:r>
    </w:p>
    <w:p>
      <w:pPr>
        <w:pStyle w:val="Normal"/>
        <w:rPr/>
      </w:pPr>
      <w:r>
        <w:rPr/>
      </w:r>
    </w:p>
    <w:tbl>
      <w:tblPr>
        <w:tblW w:w="9289" w:type="dxa"/>
        <w:jc w:val="start"/>
        <w:tblInd w:w="180" w:type="dxa"/>
        <w:tblLayout w:type="fixed"/>
        <w:tblCellMar>
          <w:top w:w="0" w:type="dxa"/>
          <w:start w:w="108" w:type="dxa"/>
          <w:bottom w:w="0" w:type="dxa"/>
          <w:end w:w="108" w:type="dxa"/>
        </w:tblCellMar>
      </w:tblPr>
      <w:tblGrid>
        <w:gridCol w:w="3250"/>
        <w:gridCol w:w="4075"/>
        <w:gridCol w:w="278"/>
        <w:gridCol w:w="1686"/>
      </w:tblGrid>
      <w:tr>
        <w:trPr/>
        <w:tc>
          <w:tcPr>
            <w:tcW w:w="3250" w:type="dxa"/>
            <w:tcBorders/>
          </w:tcPr>
          <w:p>
            <w:pPr>
              <w:pStyle w:val="Normal"/>
              <w:snapToGrid w:val="false"/>
              <w:rPr/>
            </w:pPr>
            <w:r>
              <w:rPr/>
            </w:r>
          </w:p>
        </w:tc>
        <w:tc>
          <w:tcPr>
            <w:tcW w:w="4075" w:type="dxa"/>
            <w:tcBorders/>
          </w:tcPr>
          <w:p>
            <w:pPr>
              <w:pStyle w:val="Normal"/>
              <w:snapToGrid w:val="false"/>
              <w:rPr/>
            </w:pPr>
            <w:r>
              <w:rPr/>
            </w:r>
          </w:p>
        </w:tc>
        <w:tc>
          <w:tcPr>
            <w:tcW w:w="278" w:type="dxa"/>
            <w:tcBorders/>
          </w:tcPr>
          <w:p>
            <w:pPr>
              <w:pStyle w:val="Normal"/>
              <w:snapToGrid w:val="false"/>
              <w:rPr/>
            </w:pPr>
            <w:r>
              <w:rPr/>
            </w:r>
          </w:p>
        </w:tc>
        <w:tc>
          <w:tcPr>
            <w:tcW w:w="1686" w:type="dxa"/>
            <w:tcBorders/>
          </w:tcPr>
          <w:p>
            <w:pPr>
              <w:pStyle w:val="Normal"/>
              <w:snapToGrid w:val="false"/>
              <w:rPr/>
            </w:pPr>
            <w:r>
              <w:rPr/>
            </w:r>
          </w:p>
        </w:tc>
      </w:tr>
      <w:tr>
        <w:trPr/>
        <w:tc>
          <w:tcPr>
            <w:tcW w:w="3250" w:type="dxa"/>
            <w:tcBorders/>
          </w:tcPr>
          <w:p>
            <w:pPr>
              <w:pStyle w:val="Normal"/>
              <w:snapToGrid w:val="false"/>
              <w:rPr/>
            </w:pPr>
            <w:r>
              <w:rPr/>
            </w:r>
          </w:p>
        </w:tc>
        <w:tc>
          <w:tcPr>
            <w:tcW w:w="4075" w:type="dxa"/>
            <w:tcBorders/>
          </w:tcPr>
          <w:p>
            <w:pPr>
              <w:pStyle w:val="Normal"/>
              <w:snapToGrid w:val="false"/>
              <w:rPr/>
            </w:pPr>
            <w:r>
              <w:rPr/>
            </w:r>
          </w:p>
        </w:tc>
        <w:tc>
          <w:tcPr>
            <w:tcW w:w="278" w:type="dxa"/>
            <w:tcBorders/>
          </w:tcPr>
          <w:p>
            <w:pPr>
              <w:pStyle w:val="Normal"/>
              <w:snapToGrid w:val="false"/>
              <w:rPr/>
            </w:pPr>
            <w:r>
              <w:rPr/>
            </w:r>
          </w:p>
        </w:tc>
        <w:tc>
          <w:tcPr>
            <w:tcW w:w="1686" w:type="dxa"/>
            <w:tcBorders/>
          </w:tcPr>
          <w:p>
            <w:pPr>
              <w:pStyle w:val="Normal"/>
              <w:snapToGrid w:val="false"/>
              <w:rPr/>
            </w:pPr>
            <w:r>
              <w:rPr/>
            </w:r>
          </w:p>
        </w:tc>
      </w:tr>
      <w:tr>
        <w:trPr/>
        <w:tc>
          <w:tcPr>
            <w:tcW w:w="3250" w:type="dxa"/>
            <w:tcBorders/>
          </w:tcPr>
          <w:p>
            <w:pPr>
              <w:pStyle w:val="Normal"/>
              <w:snapToGrid w:val="false"/>
              <w:rPr/>
            </w:pPr>
            <w:r>
              <w:rPr/>
            </w:r>
          </w:p>
        </w:tc>
        <w:tc>
          <w:tcPr>
            <w:tcW w:w="4075" w:type="dxa"/>
            <w:tcBorders/>
          </w:tcPr>
          <w:p>
            <w:pPr>
              <w:pStyle w:val="Normal"/>
              <w:snapToGrid w:val="false"/>
              <w:rPr/>
            </w:pPr>
            <w:r>
              <w:rPr/>
            </w:r>
          </w:p>
        </w:tc>
        <w:tc>
          <w:tcPr>
            <w:tcW w:w="278" w:type="dxa"/>
            <w:tcBorders/>
          </w:tcPr>
          <w:p>
            <w:pPr>
              <w:pStyle w:val="Normal"/>
              <w:snapToGrid w:val="false"/>
              <w:rPr/>
            </w:pPr>
            <w:r>
              <w:rPr/>
            </w:r>
          </w:p>
        </w:tc>
        <w:tc>
          <w:tcPr>
            <w:tcW w:w="1686" w:type="dxa"/>
            <w:tcBorders/>
          </w:tcPr>
          <w:p>
            <w:pPr>
              <w:pStyle w:val="Normal"/>
              <w:snapToGrid w:val="false"/>
              <w:rPr/>
            </w:pPr>
            <w:r>
              <w:rPr/>
            </w:r>
          </w:p>
        </w:tc>
      </w:tr>
      <w:tr>
        <w:trPr/>
        <w:tc>
          <w:tcPr>
            <w:tcW w:w="3250" w:type="dxa"/>
            <w:tcBorders/>
          </w:tcPr>
          <w:p>
            <w:pPr>
              <w:pStyle w:val="Normal"/>
              <w:snapToGrid w:val="false"/>
              <w:rPr/>
            </w:pPr>
            <w:r>
              <w:rPr/>
            </w:r>
          </w:p>
        </w:tc>
        <w:tc>
          <w:tcPr>
            <w:tcW w:w="4075" w:type="dxa"/>
            <w:tcBorders>
              <w:bottom w:val="single" w:sz="12" w:space="0" w:color="000000"/>
            </w:tcBorders>
          </w:tcPr>
          <w:p>
            <w:pPr>
              <w:pStyle w:val="Normal"/>
              <w:snapToGrid w:val="false"/>
              <w:rPr/>
            </w:pPr>
            <w:r>
              <w:rPr/>
            </w:r>
          </w:p>
        </w:tc>
        <w:tc>
          <w:tcPr>
            <w:tcW w:w="278" w:type="dxa"/>
            <w:tcBorders/>
          </w:tcPr>
          <w:p>
            <w:pPr>
              <w:pStyle w:val="Normal"/>
              <w:snapToGrid w:val="false"/>
              <w:rPr/>
            </w:pPr>
            <w:r>
              <w:rPr/>
            </w:r>
          </w:p>
        </w:tc>
        <w:tc>
          <w:tcPr>
            <w:tcW w:w="1686" w:type="dxa"/>
            <w:tcBorders>
              <w:bottom w:val="single" w:sz="12" w:space="0" w:color="000000"/>
            </w:tcBorders>
          </w:tcPr>
          <w:p>
            <w:pPr>
              <w:pStyle w:val="Normal"/>
              <w:rPr/>
            </w:pPr>
            <w:r>
              <w:rPr/>
              <w:t>December 9, 1999</w:t>
            </w:r>
          </w:p>
        </w:tc>
      </w:tr>
      <w:tr>
        <w:trPr/>
        <w:tc>
          <w:tcPr>
            <w:tcW w:w="3250" w:type="dxa"/>
            <w:tcBorders/>
          </w:tcPr>
          <w:p>
            <w:pPr>
              <w:pStyle w:val="Normal"/>
              <w:snapToGrid w:val="false"/>
              <w:rPr/>
            </w:pPr>
            <w:r>
              <w:rPr/>
            </w:r>
          </w:p>
        </w:tc>
        <w:tc>
          <w:tcPr>
            <w:tcW w:w="4075" w:type="dxa"/>
            <w:tcBorders/>
          </w:tcPr>
          <w:p>
            <w:pPr>
              <w:pStyle w:val="Normal"/>
              <w:rPr/>
            </w:pPr>
            <w:r>
              <w:rPr/>
              <w:t>Louise E. Rickard</w:t>
            </w:r>
          </w:p>
        </w:tc>
        <w:tc>
          <w:tcPr>
            <w:tcW w:w="278" w:type="dxa"/>
            <w:tcBorders/>
          </w:tcPr>
          <w:p>
            <w:pPr>
              <w:pStyle w:val="Normal"/>
              <w:snapToGrid w:val="false"/>
              <w:rPr/>
            </w:pPr>
            <w:r>
              <w:rPr/>
            </w:r>
          </w:p>
        </w:tc>
        <w:tc>
          <w:tcPr>
            <w:tcW w:w="1686" w:type="dxa"/>
            <w:tcBorders/>
          </w:tcPr>
          <w:p>
            <w:pPr>
              <w:pStyle w:val="Normal"/>
              <w:rPr/>
            </w:pPr>
            <w:r>
              <w:rPr/>
              <w:t>Date</w:t>
            </w:r>
          </w:p>
        </w:tc>
      </w:tr>
      <w:tr>
        <w:trPr/>
        <w:tc>
          <w:tcPr>
            <w:tcW w:w="3250" w:type="dxa"/>
            <w:tcBorders/>
          </w:tcPr>
          <w:p>
            <w:pPr>
              <w:pStyle w:val="Normal"/>
              <w:snapToGrid w:val="false"/>
              <w:rPr/>
            </w:pPr>
            <w:r>
              <w:rPr/>
            </w:r>
          </w:p>
        </w:tc>
        <w:tc>
          <w:tcPr>
            <w:tcW w:w="4075" w:type="dxa"/>
            <w:tcBorders/>
          </w:tcPr>
          <w:p>
            <w:pPr>
              <w:pStyle w:val="Normal"/>
              <w:rPr/>
            </w:pPr>
            <w:r>
              <w:rPr/>
              <w:t>Acting Executive Secretary</w:t>
            </w:r>
          </w:p>
        </w:tc>
        <w:tc>
          <w:tcPr>
            <w:tcW w:w="278" w:type="dxa"/>
            <w:tcBorders/>
          </w:tcPr>
          <w:p>
            <w:pPr>
              <w:pStyle w:val="Normal"/>
              <w:snapToGrid w:val="false"/>
              <w:rPr/>
            </w:pPr>
            <w:r>
              <w:rPr/>
            </w:r>
          </w:p>
        </w:tc>
        <w:tc>
          <w:tcPr>
            <w:tcW w:w="1686" w:type="dxa"/>
            <w:tcBorders/>
          </w:tcPr>
          <w:p>
            <w:pPr>
              <w:pStyle w:val="Normal"/>
              <w:snapToGrid w:val="false"/>
              <w:rPr/>
            </w:pPr>
            <w:r>
              <w:rPr/>
            </w:r>
          </w:p>
        </w:tc>
      </w:tr>
      <w:tr>
        <w:trPr/>
        <w:tc>
          <w:tcPr>
            <w:tcW w:w="3250" w:type="dxa"/>
            <w:tcBorders/>
          </w:tcPr>
          <w:p>
            <w:pPr>
              <w:pStyle w:val="Normal"/>
              <w:snapToGrid w:val="false"/>
              <w:rPr/>
            </w:pPr>
            <w:r>
              <w:rPr/>
            </w:r>
          </w:p>
        </w:tc>
        <w:tc>
          <w:tcPr>
            <w:tcW w:w="4075" w:type="dxa"/>
            <w:tcBorders/>
          </w:tcPr>
          <w:p>
            <w:pPr>
              <w:pStyle w:val="Normal"/>
              <w:rPr/>
            </w:pPr>
            <w:r>
              <w:rPr/>
              <w:t>Department of Public Utility Control</w:t>
            </w:r>
          </w:p>
        </w:tc>
        <w:tc>
          <w:tcPr>
            <w:tcW w:w="278" w:type="dxa"/>
            <w:tcBorders/>
          </w:tcPr>
          <w:p>
            <w:pPr>
              <w:pStyle w:val="Normal"/>
              <w:snapToGrid w:val="false"/>
              <w:rPr/>
            </w:pPr>
            <w:r>
              <w:rPr/>
            </w:r>
          </w:p>
        </w:tc>
        <w:tc>
          <w:tcPr>
            <w:tcW w:w="1686" w:type="dxa"/>
            <w:tcBorders/>
          </w:tcPr>
          <w:p>
            <w:pPr>
              <w:pStyle w:val="Normal"/>
              <w:snapToGrid w:val="false"/>
              <w:rPr/>
            </w:pPr>
            <w:r>
              <w:rPr/>
            </w:r>
          </w:p>
        </w:tc>
      </w:tr>
    </w:tbl>
    <w:p>
      <w:pPr>
        <w:pStyle w:val="Normal"/>
        <w:tabs>
          <w:tab w:val="clear" w:pos="720"/>
          <w:tab w:val="left" w:pos="5580" w:leader="none"/>
        </w:tabs>
        <w:rPr>
          <w:caps/>
          <w:sz w:val="20"/>
        </w:rPr>
      </w:pPr>
      <w:bookmarkStart w:id="79" w:name="lead"/>
      <w:r>
        <w:rPr>
          <w:caps/>
          <w:sz w:val="20"/>
        </w:rPr>
        <w:fldChar w:fldCharType="begin"/>
      </w:r>
      <w:r>
        <w:rPr>
          <w:caps/>
          <w:sz w:val="20"/>
        </w:rPr>
        <w:instrText xml:space="preserve"> ASK "lead" Enter the lead staff's first initial and last name (i.e., R. Poirier) \d L. Rickard</w:instrText>
      </w:r>
      <w:r>
        <w:rPr>
          <w:caps/>
          <w:sz w:val="20"/>
        </w:rPr>
        <w:fldChar w:fldCharType="separate"/>
      </w:r>
      <w:bookmarkStart w:id="80" w:name="lead"/>
      <w:r>
        <w:rPr>
          <w:caps/>
          <w:sz w:val="20"/>
        </w:rPr>
      </w:r>
      <w:bookmarkEnd w:id="80"/>
      <w:r>
        <w:rPr>
          <w:caps/>
          <w:sz w:val="20"/>
        </w:rPr>
        <w:fldChar w:fldCharType="end"/>
      </w:r>
      <w:bookmarkEnd w:id="79"/>
    </w:p>
    <w:sectPr>
      <w:headerReference w:type="default" r:id="rId17"/>
      <w:headerReference w:type="first" r:id="rId18"/>
      <w:footerReference w:type="default" r:id="rId19"/>
      <w:footerReference w:type="first" r:id="rId20"/>
      <w:footnotePr>
        <w:numFmt w:val="decimal"/>
      </w:footnotePr>
      <w:type w:val="nextPage"/>
      <w:pgSz w:w="12240" w:h="15840"/>
      <w:pgMar w:left="1440" w:right="1440" w:gutter="0" w:header="432" w:top="1152" w:footer="288"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variable"/>
  </w:font>
  <w:font w:name="RRKeyCaps">
    <w:charset w:val="00" w:characterSet="windows-1252"/>
    <w:family w:val="decorative"/>
    <w:pitch w:val="variable"/>
  </w:font>
  <w:font w:name="RRKeyLetters">
    <w:charset w:val="00" w:characterSet="windows-1252"/>
    <w:family w:val="decorative"/>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02" w:type="dxa"/>
      <w:jc w:val="start"/>
      <w:tblInd w:w="131" w:type="dxa"/>
      <w:tblLayout w:type="fixed"/>
      <w:tblCellMar>
        <w:top w:w="0" w:type="dxa"/>
        <w:start w:w="108" w:type="dxa"/>
        <w:bottom w:w="0" w:type="dxa"/>
        <w:end w:w="108" w:type="dxa"/>
      </w:tblCellMar>
    </w:tblPr>
    <w:tblGrid>
      <w:gridCol w:w="5295"/>
      <w:gridCol w:w="4100"/>
      <w:gridCol w:w="7"/>
    </w:tblGrid>
    <w:tr>
      <w:trPr/>
      <w:tc>
        <w:tcPr>
          <w:tcW w:w="9402" w:type="dxa"/>
          <w:gridSpan w:val="2"/>
          <w:tcBorders/>
        </w:tcPr>
        <w:p>
          <w:pPr>
            <w:pStyle w:val="Footer"/>
            <w:snapToGrid w:val="false"/>
            <w:rPr/>
          </w:pPr>
          <w:r>
            <w:rPr/>
          </w:r>
        </w:p>
      </w:tc>
    </w:tr>
    <w:tr>
      <w:trPr/>
      <w:tc>
        <w:tcPr>
          <w:tcW w:w="5295" w:type="dxa"/>
          <w:tcBorders/>
        </w:tcPr>
        <w:p>
          <w:pPr>
            <w:pStyle w:val="Footer"/>
            <w:snapToGrid w:val="false"/>
            <w:rPr>
              <w:sz w:val="20"/>
            </w:rPr>
          </w:pPr>
          <w:r>
            <w:rPr>
              <w:sz w:val="20"/>
            </w:rPr>
          </w:r>
        </w:p>
      </w:tc>
      <w:tc>
        <w:tcPr>
          <w:tcW w:w="4100" w:type="dxa"/>
          <w:tcBorders/>
        </w:tcPr>
        <w:p>
          <w:pPr>
            <w:pStyle w:val="Footer"/>
            <w:snapToGrid w:val="false"/>
            <w:jc w:val="end"/>
            <w:rPr/>
          </w:pPr>
          <w:r>
            <w:rPr/>
          </w:r>
        </w:p>
      </w:tc>
    </w:tr>
  </w:tbl>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02" w:type="dxa"/>
      <w:jc w:val="start"/>
      <w:tblInd w:w="131" w:type="dxa"/>
      <w:tblLayout w:type="fixed"/>
      <w:tblCellMar>
        <w:top w:w="0" w:type="dxa"/>
        <w:start w:w="108" w:type="dxa"/>
        <w:bottom w:w="0" w:type="dxa"/>
        <w:end w:w="108" w:type="dxa"/>
      </w:tblCellMar>
    </w:tblPr>
    <w:tblGrid>
      <w:gridCol w:w="5295"/>
      <w:gridCol w:w="4100"/>
      <w:gridCol w:w="7"/>
    </w:tblGrid>
    <w:tr>
      <w:trPr/>
      <w:tc>
        <w:tcPr>
          <w:tcW w:w="9402" w:type="dxa"/>
          <w:gridSpan w:val="2"/>
          <w:tcBorders/>
        </w:tcPr>
        <w:p>
          <w:pPr>
            <w:pStyle w:val="Footer"/>
            <w:snapToGrid w:val="false"/>
            <w:rPr/>
          </w:pPr>
          <w:r>
            <w:rPr/>
          </w:r>
        </w:p>
      </w:tc>
    </w:tr>
    <w:tr>
      <w:trPr/>
      <w:tc>
        <w:tcPr>
          <w:tcW w:w="5295" w:type="dxa"/>
          <w:tcBorders/>
        </w:tcPr>
        <w:p>
          <w:pPr>
            <w:pStyle w:val="Footer"/>
            <w:snapToGrid w:val="false"/>
            <w:rPr>
              <w:sz w:val="20"/>
            </w:rPr>
          </w:pPr>
          <w:r>
            <w:rPr>
              <w:sz w:val="20"/>
            </w:rPr>
          </w:r>
        </w:p>
      </w:tc>
      <w:tc>
        <w:tcPr>
          <w:tcW w:w="4100" w:type="dxa"/>
          <w:tcBorders/>
        </w:tcPr>
        <w:p>
          <w:pPr>
            <w:pStyle w:val="Footer"/>
            <w:snapToGrid w:val="false"/>
            <w:jc w:val="end"/>
            <w:rPr/>
          </w:pPr>
          <w:r>
            <w:rPr/>
          </w:r>
        </w:p>
      </w:tc>
    </w:tr>
  </w:tbl>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02" w:type="dxa"/>
      <w:jc w:val="start"/>
      <w:tblInd w:w="131" w:type="dxa"/>
      <w:tblLayout w:type="fixed"/>
      <w:tblCellMar>
        <w:top w:w="0" w:type="dxa"/>
        <w:start w:w="108" w:type="dxa"/>
        <w:bottom w:w="0" w:type="dxa"/>
        <w:end w:w="108" w:type="dxa"/>
      </w:tblCellMar>
    </w:tblPr>
    <w:tblGrid>
      <w:gridCol w:w="5295"/>
      <w:gridCol w:w="4100"/>
      <w:gridCol w:w="7"/>
    </w:tblGrid>
    <w:tr>
      <w:trPr/>
      <w:tc>
        <w:tcPr>
          <w:tcW w:w="9402" w:type="dxa"/>
          <w:gridSpan w:val="2"/>
          <w:tcBorders/>
        </w:tcPr>
        <w:p>
          <w:pPr>
            <w:pStyle w:val="Footer"/>
            <w:snapToGrid w:val="false"/>
            <w:rPr/>
          </w:pPr>
          <w:r>
            <w:rPr/>
          </w:r>
        </w:p>
      </w:tc>
    </w:tr>
    <w:tr>
      <w:trPr/>
      <w:tc>
        <w:tcPr>
          <w:tcW w:w="5295" w:type="dxa"/>
          <w:tcBorders/>
        </w:tcPr>
        <w:p>
          <w:pPr>
            <w:pStyle w:val="Footer"/>
            <w:snapToGrid w:val="false"/>
            <w:rPr>
              <w:sz w:val="20"/>
            </w:rPr>
          </w:pPr>
          <w:r>
            <w:rPr>
              <w:sz w:val="20"/>
            </w:rPr>
          </w:r>
        </w:p>
      </w:tc>
      <w:tc>
        <w:tcPr>
          <w:tcW w:w="4100" w:type="dxa"/>
          <w:tcBorders/>
        </w:tcPr>
        <w:p>
          <w:pPr>
            <w:pStyle w:val="Footer"/>
            <w:snapToGrid w:val="false"/>
            <w:jc w:val="end"/>
            <w:rPr/>
          </w:pPr>
          <w:r>
            <w:rPr/>
          </w:r>
        </w:p>
      </w:tc>
    </w:tr>
  </w:tbl>
  <w:p>
    <w:pPr>
      <w:pStyle w:val="Footer"/>
      <w:jc w:val="cen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proposed modifications to Rates SG1 and SG2 were first submitted for Department review on October 29, 1999.  Modified Tariffs.</w:t>
      </w:r>
    </w:p>
  </w:footnote>
  <w:footnote w:id="3">
    <w:p>
      <w:pPr>
        <w:pStyle w:val="FootnoteText"/>
        <w:rPr/>
      </w:pPr>
      <w:r>
        <w:rPr>
          <w:rStyle w:val="FootnoteCharacters"/>
        </w:rPr>
        <w:footnoteRef/>
      </w:r>
      <w:r>
        <w:rPr/>
        <w:t xml:space="preserve"> </w:t>
      </w:r>
      <w:r>
        <w:rPr/>
        <w:t>In this case the “avoided cost” is the production cost that is avoided as the result of the purchase of energy from the non-utility generating facility.</w:t>
      </w:r>
    </w:p>
  </w:footnote>
  <w:footnote w:id="4">
    <w:p>
      <w:pPr>
        <w:pStyle w:val="FootnoteText"/>
        <w:rPr/>
      </w:pPr>
      <w:r>
        <w:rPr>
          <w:rStyle w:val="FootnoteCharacters"/>
        </w:rPr>
        <w:footnoteRef/>
      </w:r>
      <w:r>
        <w:rPr/>
        <w:t xml:space="preserve"> </w:t>
      </w:r>
      <w:r>
        <w:rPr/>
        <w:t>For example, bills for Rate RHP would increase by approximately 4%.  Response to Interrogatory EL</w:t>
        <w:noBreakHyphen/>
        <w:t>106.  Bill comparisons were not submitted for Rates GS, GST, LPT/LTC or TE, other special contract rates affected by the Company’s proposal.  Response to Interrogatory EL</w:t>
        <w:noBreakHyphen/>
        <w:t>108.</w:t>
      </w:r>
    </w:p>
  </w:footnote>
  <w:footnote w:id="5">
    <w:p>
      <w:pPr>
        <w:pStyle w:val="FootnoteText"/>
        <w:rPr/>
      </w:pPr>
      <w:r>
        <w:rPr>
          <w:rStyle w:val="FootnoteCharacters"/>
        </w:rPr>
        <w:footnoteRef/>
      </w:r>
      <w:r>
        <w:rPr/>
        <w:t xml:space="preserve"> </w:t>
      </w:r>
      <w:r>
        <w:rPr/>
        <w:t>For example, Section 10 of the Act requires the CTA to be imposed beginning on January 1, 2000, on all customers receiving services under a special contract that is entered into or renewed after the effective date of the Act.</w:t>
      </w:r>
    </w:p>
  </w:footnote>
  <w:footnote w:id="6">
    <w:p>
      <w:pPr>
        <w:pStyle w:val="FootnoteText"/>
        <w:rPr/>
      </w:pPr>
      <w:r>
        <w:rPr>
          <w:rStyle w:val="FootnoteCharacters"/>
        </w:rPr>
        <w:footnoteRef/>
      </w:r>
      <w:r>
        <w:rPr/>
        <w:t xml:space="preserve">  </w:t>
      </w:r>
      <w:r>
        <w:rPr/>
        <w:t>In the Initial Decision the Department concluded that the PPAC operates outside of the 10% rate reduction.  Initial Decision, p. 74.  Therefore, a total 10% reduction would not be maintained while passing costs through the PPAC.</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83" w:type="dxa"/>
      <w:jc w:val="start"/>
      <w:tblInd w:w="0" w:type="dxa"/>
      <w:tblLayout w:type="fixed"/>
      <w:tblCellMar>
        <w:top w:w="0" w:type="dxa"/>
        <w:start w:w="108" w:type="dxa"/>
        <w:bottom w:w="0" w:type="dxa"/>
        <w:end w:w="108" w:type="dxa"/>
      </w:tblCellMar>
    </w:tblPr>
    <w:tblGrid>
      <w:gridCol w:w="3120"/>
      <w:gridCol w:w="3712"/>
      <w:gridCol w:w="2851"/>
    </w:tblGrid>
    <w:tr>
      <w:trPr/>
      <w:tc>
        <w:tcPr>
          <w:tcW w:w="3120" w:type="dxa"/>
          <w:tcBorders/>
        </w:tcPr>
        <w:p>
          <w:pPr>
            <w:pStyle w:val="Header"/>
            <w:rPr>
              <w:b w:val="false"/>
            </w:rPr>
          </w:pPr>
          <w:r>
            <w:rPr>
              <w:b w:val="false"/>
            </w:rPr>
            <w:t xml:space="preserve">Docket No. </w:t>
          </w:r>
          <w:r>
            <w:rPr>
              <w:b w:val="false"/>
            </w:rPr>
            <w:fldChar w:fldCharType="begin"/>
          </w:r>
          <w:r>
            <w:rPr>
              <w:b w:val="false"/>
            </w:rPr>
            <w:instrText xml:space="preserve"> REF "Docknum" </w:instrText>
          </w:r>
          <w:r>
            <w:rPr>
              <w:b w:val="false"/>
            </w:rPr>
            <w:fldChar w:fldCharType="separate"/>
          </w:r>
          <w:r>
            <w:rPr>
              <w:b w:val="false"/>
            </w:rPr>
          </w:r>
          <w:r>
            <w:rPr>
              <w:b w:val="false"/>
            </w:rPr>
            <w:fldChar w:fldCharType="end"/>
          </w:r>
        </w:p>
      </w:tc>
      <w:tc>
        <w:tcPr>
          <w:tcW w:w="3712" w:type="dxa"/>
          <w:tcBorders/>
        </w:tcPr>
        <w:p>
          <w:pPr>
            <w:pStyle w:val="Header"/>
            <w:snapToGrid w:val="false"/>
            <w:jc w:val="end"/>
            <w:rPr>
              <w:b w:val="false"/>
            </w:rPr>
          </w:pPr>
          <w:r>
            <w:rPr>
              <w:b w:val="false"/>
            </w:rPr>
          </w:r>
        </w:p>
      </w:tc>
      <w:tc>
        <w:tcPr>
          <w:tcW w:w="2851" w:type="dxa"/>
          <w:tcBorders/>
        </w:tcPr>
        <w:p>
          <w:pPr>
            <w:pStyle w:val="Footer"/>
            <w:jc w:val="end"/>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0</w:t>
          </w:r>
          <w:r>
            <w:rPr>
              <w:sz w:val="24"/>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83" w:type="dxa"/>
      <w:jc w:val="start"/>
      <w:tblInd w:w="0" w:type="dxa"/>
      <w:tblLayout w:type="fixed"/>
      <w:tblCellMar>
        <w:top w:w="0" w:type="dxa"/>
        <w:start w:w="108" w:type="dxa"/>
        <w:bottom w:w="0" w:type="dxa"/>
        <w:end w:w="108" w:type="dxa"/>
      </w:tblCellMar>
    </w:tblPr>
    <w:tblGrid>
      <w:gridCol w:w="3120"/>
      <w:gridCol w:w="3712"/>
      <w:gridCol w:w="2851"/>
    </w:tblGrid>
    <w:tr>
      <w:trPr/>
      <w:tc>
        <w:tcPr>
          <w:tcW w:w="3120" w:type="dxa"/>
          <w:tcBorders/>
        </w:tcPr>
        <w:p>
          <w:pPr>
            <w:pStyle w:val="Header"/>
            <w:rPr>
              <w:b w:val="false"/>
            </w:rPr>
          </w:pPr>
          <w:r>
            <w:rPr>
              <w:b w:val="false"/>
            </w:rPr>
            <w:t xml:space="preserve">Docket No. </w:t>
          </w:r>
          <w:r>
            <w:rPr>
              <w:b w:val="false"/>
            </w:rPr>
            <w:fldChar w:fldCharType="begin"/>
          </w:r>
          <w:r>
            <w:rPr>
              <w:b w:val="false"/>
            </w:rPr>
            <w:instrText xml:space="preserve"> REF "Docknum" </w:instrText>
          </w:r>
          <w:r>
            <w:rPr>
              <w:b w:val="false"/>
            </w:rPr>
            <w:fldChar w:fldCharType="separate"/>
          </w:r>
          <w:r>
            <w:rPr>
              <w:b w:val="false"/>
            </w:rPr>
          </w:r>
          <w:r>
            <w:rPr>
              <w:b w:val="false"/>
            </w:rPr>
            <w:fldChar w:fldCharType="end"/>
          </w:r>
        </w:p>
      </w:tc>
      <w:tc>
        <w:tcPr>
          <w:tcW w:w="3712" w:type="dxa"/>
          <w:tcBorders/>
        </w:tcPr>
        <w:p>
          <w:pPr>
            <w:pStyle w:val="Header"/>
            <w:snapToGrid w:val="false"/>
            <w:jc w:val="end"/>
            <w:rPr>
              <w:b w:val="false"/>
            </w:rPr>
          </w:pPr>
          <w:r>
            <w:rPr>
              <w:b w:val="false"/>
            </w:rPr>
          </w:r>
        </w:p>
      </w:tc>
      <w:tc>
        <w:tcPr>
          <w:tcW w:w="2851" w:type="dxa"/>
          <w:tcBorders/>
        </w:tcPr>
        <w:p>
          <w:pPr>
            <w:pStyle w:val="Footer"/>
            <w:jc w:val="end"/>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0</w:t>
          </w:r>
          <w:r>
            <w:rPr>
              <w:sz w:val="24"/>
            </w:rPr>
            <w:fldChar w:fldCharType="end"/>
          </w:r>
        </w:p>
      </w:tc>
    </w:tr>
  </w:tbl>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83" w:type="dxa"/>
      <w:jc w:val="start"/>
      <w:tblInd w:w="0" w:type="dxa"/>
      <w:tblLayout w:type="fixed"/>
      <w:tblCellMar>
        <w:top w:w="0" w:type="dxa"/>
        <w:start w:w="108" w:type="dxa"/>
        <w:bottom w:w="0" w:type="dxa"/>
        <w:end w:w="108" w:type="dxa"/>
      </w:tblCellMar>
    </w:tblPr>
    <w:tblGrid>
      <w:gridCol w:w="3120"/>
      <w:gridCol w:w="3712"/>
      <w:gridCol w:w="2851"/>
    </w:tblGrid>
    <w:tr>
      <w:trPr/>
      <w:tc>
        <w:tcPr>
          <w:tcW w:w="3120" w:type="dxa"/>
          <w:tcBorders/>
        </w:tcPr>
        <w:p>
          <w:pPr>
            <w:pStyle w:val="Header"/>
            <w:rPr>
              <w:b w:val="false"/>
            </w:rPr>
          </w:pPr>
          <w:r>
            <w:rPr>
              <w:b w:val="false"/>
            </w:rPr>
            <w:t xml:space="preserve">Docket No. </w:t>
          </w:r>
        </w:p>
      </w:tc>
      <w:tc>
        <w:tcPr>
          <w:tcW w:w="3712" w:type="dxa"/>
          <w:tcBorders/>
        </w:tcPr>
        <w:p>
          <w:pPr>
            <w:pStyle w:val="Header"/>
            <w:snapToGrid w:val="false"/>
            <w:jc w:val="end"/>
            <w:rPr>
              <w:b w:val="false"/>
            </w:rPr>
          </w:pPr>
          <w:r>
            <w:rPr>
              <w:b w:val="false"/>
            </w:rPr>
          </w:r>
        </w:p>
      </w:tc>
      <w:tc>
        <w:tcPr>
          <w:tcW w:w="2851" w:type="dxa"/>
          <w:tcBorders/>
        </w:tcPr>
        <w:p>
          <w:pPr>
            <w:pStyle w:val="Footer"/>
            <w:jc w:val="end"/>
            <w:rPr/>
          </w:pPr>
          <w:r>
            <w:rPr>
              <w:sz w:val="24"/>
            </w:rPr>
            <w:t xml:space="preserve">Page  </w:t>
          </w:r>
          <w:r>
            <w:rPr>
              <w:sz w:val="24"/>
            </w:rPr>
            <w:fldChar w:fldCharType="begin"/>
          </w:r>
          <w:r>
            <w:rPr>
              <w:sz w:val="24"/>
            </w:rPr>
            <w:instrText xml:space="preserve"> PAGE </w:instrText>
          </w:r>
          <w:r>
            <w:rPr>
              <w:sz w:val="24"/>
            </w:rPr>
            <w:fldChar w:fldCharType="separate"/>
          </w:r>
          <w:r>
            <w:rPr>
              <w:sz w:val="24"/>
            </w:rPr>
            <w:t>20</w:t>
          </w:r>
          <w:r>
            <w:rPr>
              <w:sz w:val="24"/>
            </w:rPr>
            <w:fldChar w:fldCharType="end"/>
          </w:r>
        </w:p>
      </w:tc>
    </w:tr>
  </w:tbl>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83" w:type="dxa"/>
      <w:jc w:val="start"/>
      <w:tblInd w:w="0" w:type="dxa"/>
      <w:tblLayout w:type="fixed"/>
      <w:tblCellMar>
        <w:top w:w="0" w:type="dxa"/>
        <w:start w:w="108" w:type="dxa"/>
        <w:bottom w:w="0" w:type="dxa"/>
        <w:end w:w="108" w:type="dxa"/>
      </w:tblCellMar>
    </w:tblPr>
    <w:tblGrid>
      <w:gridCol w:w="3120"/>
      <w:gridCol w:w="3712"/>
      <w:gridCol w:w="2851"/>
    </w:tblGrid>
    <w:tr>
      <w:trPr/>
      <w:tc>
        <w:tcPr>
          <w:tcW w:w="3120" w:type="dxa"/>
          <w:tcBorders/>
        </w:tcPr>
        <w:p>
          <w:pPr>
            <w:pStyle w:val="Header"/>
            <w:rPr>
              <w:b w:val="false"/>
            </w:rPr>
          </w:pPr>
          <w:r>
            <w:rPr>
              <w:b w:val="false"/>
            </w:rPr>
            <w:t xml:space="preserve">Docket No. </w:t>
          </w:r>
        </w:p>
      </w:tc>
      <w:tc>
        <w:tcPr>
          <w:tcW w:w="3712" w:type="dxa"/>
          <w:tcBorders/>
        </w:tcPr>
        <w:p>
          <w:pPr>
            <w:pStyle w:val="Header"/>
            <w:snapToGrid w:val="false"/>
            <w:jc w:val="end"/>
            <w:rPr>
              <w:b w:val="false"/>
            </w:rPr>
          </w:pPr>
          <w:r>
            <w:rPr>
              <w:b w:val="false"/>
            </w:rPr>
          </w:r>
        </w:p>
      </w:tc>
      <w:tc>
        <w:tcPr>
          <w:tcW w:w="2851" w:type="dxa"/>
          <w:tcBorders/>
        </w:tcPr>
        <w:p>
          <w:pPr>
            <w:pStyle w:val="Footer"/>
            <w:jc w:val="end"/>
            <w:rPr/>
          </w:pPr>
          <w:r>
            <w:rPr>
              <w:sz w:val="24"/>
            </w:rPr>
            <w:t xml:space="preserve">Page  </w:t>
          </w:r>
          <w:r>
            <w:rPr>
              <w:sz w:val="24"/>
            </w:rPr>
            <w:fldChar w:fldCharType="begin"/>
          </w:r>
          <w:r>
            <w:rPr>
              <w:sz w:val="24"/>
            </w:rPr>
            <w:instrText xml:space="preserve"> PAGE </w:instrText>
          </w:r>
          <w:r>
            <w:rPr>
              <w:sz w:val="24"/>
            </w:rPr>
            <w:fldChar w:fldCharType="separate"/>
          </w:r>
          <w:r>
            <w:rPr>
              <w:sz w:val="24"/>
            </w:rPr>
            <w:t>0</w:t>
          </w:r>
          <w:r>
            <w:rPr>
              <w:sz w:val="24"/>
            </w:rPr>
            <w:fldChar w:fldCharType="end"/>
          </w:r>
        </w:p>
      </w:tc>
    </w:tr>
  </w:tbl>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upperLetter"/>
      <w:lvlText w:val="%1."/>
      <w:lvlJc w:val="start"/>
      <w:pPr>
        <w:tabs>
          <w:tab w:val="num" w:pos="720"/>
        </w:tabs>
        <w:ind w:start="720" w:hanging="720"/>
      </w:pPr>
      <w:rPr/>
    </w:lvl>
  </w:abstractNum>
  <w:abstractNum w:abstractNumId="4">
    <w:lvl w:ilvl="0">
      <w:start w:val="4"/>
      <w:numFmt w:val="upperRoman"/>
      <w:lvlText w:val="%1."/>
      <w:lvlJc w:val="start"/>
      <w:pPr>
        <w:tabs>
          <w:tab w:val="num" w:pos="720"/>
        </w:tabs>
        <w:ind w:start="720" w:hanging="720"/>
      </w:pPr>
      <w:rPr/>
    </w:lvl>
  </w:abstractNum>
  <w:abstractNum w:abstractNumId="5">
    <w:lvl w:ilvl="0">
      <w:start w:val="2"/>
      <w:numFmt w:val="upperLetter"/>
      <w:lvlText w:val="%1."/>
      <w:lvlJc w:val="start"/>
      <w:pPr>
        <w:tabs>
          <w:tab w:val="num" w:pos="360"/>
        </w:tabs>
        <w:ind w:start="360" w:hanging="360"/>
      </w:pPr>
      <w:rPr/>
    </w:lvl>
  </w:abstractNum>
  <w:abstractNum w:abstractNumId="6">
    <w:lvl w:ilvl="0">
      <w:start w:val="1"/>
      <w:numFmt w:val="decimal"/>
      <w:lvlText w:val="%1."/>
      <w:lvlJc w:val="start"/>
      <w:pPr>
        <w:tabs>
          <w:tab w:val="num" w:pos="648"/>
        </w:tabs>
        <w:ind w:start="648" w:hanging="648"/>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Arial" w:hAnsi="Arial;Arial" w:eastAsia="Times New Roman;Times New Roman" w:cs="Arial;Arial"/>
      <w:color w:val="auto"/>
      <w:sz w:val="24"/>
      <w:szCs w:val="20"/>
      <w:lang w:val="en-US" w:eastAsia="zh-CN" w:bidi="hi-IN"/>
    </w:rPr>
  </w:style>
  <w:style w:type="paragraph" w:styleId="Heading1">
    <w:name w:val="heading 1"/>
    <w:basedOn w:val="Normal"/>
    <w:next w:val="Normal"/>
    <w:qFormat/>
    <w:pPr>
      <w:numPr>
        <w:ilvl w:val="0"/>
        <w:numId w:val="1"/>
      </w:numPr>
      <w:outlineLvl w:val="0"/>
    </w:pPr>
    <w:rPr>
      <w:b/>
      <w:caps/>
      <w:shadow/>
    </w:rPr>
  </w:style>
  <w:style w:type="paragraph" w:styleId="Heading2">
    <w:name w:val="heading 2"/>
    <w:basedOn w:val="Normal"/>
    <w:next w:val="Normal"/>
    <w:qFormat/>
    <w:pPr>
      <w:numPr>
        <w:ilvl w:val="1"/>
        <w:numId w:val="1"/>
      </w:numPr>
      <w:outlineLvl w:val="1"/>
    </w:pPr>
    <w:rPr>
      <w:b/>
      <w:smallCaps/>
    </w:rPr>
  </w:style>
  <w:style w:type="paragraph" w:styleId="Heading3">
    <w:name w:val="heading 3"/>
    <w:basedOn w:val="Normal"/>
    <w:next w:val="Normal"/>
    <w:qFormat/>
    <w:pPr>
      <w:numPr>
        <w:ilvl w:val="2"/>
        <w:numId w:val="1"/>
      </w:numPr>
      <w:ind w:hanging="0" w:start="720" w:end="0"/>
      <w:outlineLvl w:val="2"/>
    </w:pPr>
    <w:rPr>
      <w:b/>
    </w:rPr>
  </w:style>
  <w:style w:type="paragraph" w:styleId="Heading4">
    <w:name w:val="heading 4"/>
    <w:basedOn w:val="Normal"/>
    <w:next w:val="Normal"/>
    <w:qFormat/>
    <w:pPr>
      <w:numPr>
        <w:ilvl w:val="3"/>
        <w:numId w:val="1"/>
      </w:numPr>
      <w:ind w:hanging="0" w:start="1440" w:end="0"/>
      <w:outlineLvl w:val="3"/>
    </w:pPr>
    <w:rPr>
      <w:b/>
      <w:shadow/>
    </w:rPr>
  </w:style>
  <w:style w:type="paragraph" w:styleId="Heading5">
    <w:name w:val="heading 5"/>
    <w:basedOn w:val="Normal"/>
    <w:next w:val="Normal"/>
    <w:qFormat/>
    <w:pPr>
      <w:numPr>
        <w:ilvl w:val="4"/>
        <w:numId w:val="1"/>
      </w:numPr>
      <w:ind w:hanging="0" w:start="1440" w:end="0"/>
      <w:outlineLvl w:val="4"/>
    </w:pPr>
    <w:rPr>
      <w:b/>
      <w:shadow/>
    </w:rPr>
  </w:style>
  <w:style w:type="paragraph" w:styleId="Heading6">
    <w:name w:val="heading 6"/>
    <w:basedOn w:val="Normal"/>
    <w:next w:val="Normal"/>
    <w:qFormat/>
    <w:pPr>
      <w:numPr>
        <w:ilvl w:val="5"/>
        <w:numId w:val="1"/>
      </w:numPr>
      <w:ind w:hanging="0" w:start="1440" w:end="0"/>
      <w:outlineLvl w:val="5"/>
    </w:pPr>
    <w:rPr>
      <w:b/>
    </w:rPr>
  </w:style>
  <w:style w:type="paragraph" w:styleId="Heading7">
    <w:name w:val="heading 7"/>
    <w:basedOn w:val="Normal"/>
    <w:next w:val="Normal"/>
    <w:qFormat/>
    <w:pPr>
      <w:numPr>
        <w:ilvl w:val="6"/>
        <w:numId w:val="1"/>
      </w:numPr>
      <w:ind w:hanging="0" w:start="1440" w:end="0"/>
      <w:outlineLvl w:val="6"/>
    </w:pPr>
    <w:rPr>
      <w:b/>
    </w:rPr>
  </w:style>
  <w:style w:type="paragraph" w:styleId="Heading8">
    <w:name w:val="heading 8"/>
    <w:basedOn w:val="Normal"/>
    <w:next w:val="Normal"/>
    <w:qFormat/>
    <w:pPr>
      <w:numPr>
        <w:ilvl w:val="7"/>
        <w:numId w:val="1"/>
      </w:numPr>
      <w:ind w:hanging="0" w:start="1440" w:end="0"/>
      <w:outlineLvl w:val="7"/>
    </w:pPr>
    <w:rPr>
      <w:b/>
    </w:rPr>
  </w:style>
  <w:style w:type="paragraph" w:styleId="Heading9">
    <w:name w:val="heading 9"/>
    <w:basedOn w:val="Normal"/>
    <w:next w:val="NormalIndent"/>
    <w:qFormat/>
    <w:pPr>
      <w:numPr>
        <w:ilvl w:val="8"/>
        <w:numId w:val="1"/>
      </w:numPr>
      <w:ind w:hanging="0" w:start="1440" w:end="0"/>
      <w:outlineLvl w:val="8"/>
    </w:pPr>
    <w:rPr>
      <w:b/>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Keycaps">
    <w:name w:val="Keycaps"/>
    <w:basedOn w:val="DefaultParagraphFont"/>
    <w:qFormat/>
    <w:rPr>
      <w:rFonts w:ascii="RRKeyCaps" w:hAnsi="RRKeyCaps" w:cs="RRKeyCaps"/>
    </w:rPr>
  </w:style>
  <w:style w:type="character" w:styleId="Keyletters">
    <w:name w:val="Keyletters"/>
    <w:basedOn w:val="DefaultParagraphFont"/>
    <w:qFormat/>
    <w:rPr>
      <w:rFonts w:ascii="RRKeyLetters" w:hAnsi="RRKeyLetters" w:cs="RRKeyLetters"/>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decimal" w:pos="9360" w:leader="dot"/>
      </w:tabs>
      <w:ind w:hanging="0" w:start="864" w:end="0"/>
    </w:pPr>
    <w:rPr/>
  </w:style>
  <w:style w:type="paragraph" w:styleId="TOC7">
    <w:name w:val="toc 7"/>
    <w:basedOn w:val="Normal"/>
    <w:next w:val="Normal"/>
    <w:pPr>
      <w:tabs>
        <w:tab w:val="clear" w:pos="720"/>
        <w:tab w:val="decimal" w:pos="9360" w:leader="dot"/>
      </w:tabs>
      <w:ind w:hanging="0" w:start="864" w:end="0"/>
    </w:pPr>
    <w:rPr/>
  </w:style>
  <w:style w:type="paragraph" w:styleId="TOC6">
    <w:name w:val="toc 6"/>
    <w:basedOn w:val="Normal"/>
    <w:next w:val="Normal"/>
    <w:pPr>
      <w:tabs>
        <w:tab w:val="clear" w:pos="720"/>
        <w:tab w:val="decimal" w:pos="9360" w:leader="dot"/>
      </w:tabs>
      <w:ind w:hanging="0" w:start="864" w:end="0"/>
    </w:pPr>
    <w:rPr/>
  </w:style>
  <w:style w:type="paragraph" w:styleId="TOC5">
    <w:name w:val="toc 5"/>
    <w:basedOn w:val="Normal"/>
    <w:next w:val="Normal"/>
    <w:pPr>
      <w:tabs>
        <w:tab w:val="clear" w:pos="720"/>
        <w:tab w:val="decimal" w:pos="9360" w:leader="dot"/>
      </w:tabs>
      <w:ind w:hanging="0" w:start="864" w:end="0"/>
    </w:pPr>
    <w:rPr>
      <w:shadow/>
    </w:rPr>
  </w:style>
  <w:style w:type="paragraph" w:styleId="TOC4">
    <w:name w:val="toc 4"/>
    <w:basedOn w:val="Normal"/>
    <w:next w:val="Normal"/>
    <w:pPr>
      <w:tabs>
        <w:tab w:val="clear" w:pos="720"/>
        <w:tab w:val="decimal" w:pos="9360" w:leader="dot"/>
      </w:tabs>
      <w:ind w:hanging="0" w:start="576" w:end="0"/>
    </w:pPr>
    <w:rPr>
      <w:shadow/>
    </w:rPr>
  </w:style>
  <w:style w:type="paragraph" w:styleId="TOC3">
    <w:name w:val="toc 3"/>
    <w:basedOn w:val="Normal"/>
    <w:next w:val="Normal"/>
    <w:pPr>
      <w:tabs>
        <w:tab w:val="clear" w:pos="720"/>
        <w:tab w:val="decimal" w:pos="9360" w:leader="dot"/>
      </w:tabs>
      <w:ind w:hanging="0" w:start="288" w:end="0"/>
    </w:pPr>
    <w:rPr>
      <w:shadow/>
    </w:rPr>
  </w:style>
  <w:style w:type="paragraph" w:styleId="TOC2">
    <w:name w:val="toc 2"/>
    <w:basedOn w:val="Normal"/>
    <w:next w:val="Normal"/>
    <w:pPr>
      <w:tabs>
        <w:tab w:val="clear" w:pos="720"/>
        <w:tab w:val="decimal" w:pos="9360" w:leader="dot"/>
      </w:tabs>
    </w:pPr>
    <w:rPr>
      <w:smallCaps/>
      <w:shadow/>
    </w:rPr>
  </w:style>
  <w:style w:type="paragraph" w:styleId="TOC1">
    <w:name w:val="toc 1"/>
    <w:basedOn w:val="Normal"/>
    <w:next w:val="Normal"/>
    <w:pPr>
      <w:tabs>
        <w:tab w:val="clear" w:pos="720"/>
        <w:tab w:val="decimal" w:pos="9360" w:leader="dot"/>
      </w:tabs>
      <w:spacing w:before="240" w:after="0"/>
    </w:pPr>
    <w:rPr>
      <w:caps/>
      <w:shadow/>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b/>
    </w:rPr>
  </w:style>
  <w:style w:type="paragraph" w:styleId="FootnoteText">
    <w:name w:val="footnote text"/>
    <w:basedOn w:val="Normal"/>
    <w:pPr>
      <w:ind w:hanging="288" w:start="288" w:end="0"/>
    </w:pPr>
    <w:rPr>
      <w:sz w:val="20"/>
    </w:rPr>
  </w:style>
  <w:style w:type="paragraph" w:styleId="NormalIndent">
    <w:name w:val="Normal Indent"/>
    <w:basedOn w:val="Normal"/>
    <w:qFormat/>
    <w:pPr>
      <w:ind w:hanging="0" w:start="720" w:end="0"/>
    </w:pPr>
    <w:rPr/>
  </w:style>
  <w:style w:type="paragraph" w:styleId="TableofFigures">
    <w:name w:val="Table of Figures"/>
    <w:basedOn w:val="Normal"/>
    <w:next w:val="Normal"/>
    <w:qFormat/>
    <w:pPr>
      <w:tabs>
        <w:tab w:val="clear" w:pos="720"/>
        <w:tab w:val="right" w:pos="9360" w:leader="dot"/>
      </w:tabs>
      <w:ind w:hanging="480" w:start="480" w:end="0"/>
    </w:pPr>
    <w:rPr/>
  </w:style>
  <w:style w:type="paragraph" w:styleId="TOC9">
    <w:name w:val="toc 9"/>
    <w:basedOn w:val="Normal"/>
    <w:next w:val="Normal"/>
    <w:pPr>
      <w:tabs>
        <w:tab w:val="clear" w:pos="720"/>
        <w:tab w:val="right" w:pos="9360" w:leader="dot"/>
      </w:tabs>
      <w:ind w:hanging="0" w:start="864" w:end="0"/>
    </w:pPr>
    <w:rPr/>
  </w:style>
  <w:style w:type="paragraph" w:styleId="Quote">
    <w:name w:val="Quote"/>
    <w:basedOn w:val="Normal"/>
    <w:next w:val="Normal"/>
    <w:qFormat/>
    <w:pPr>
      <w:keepLines/>
      <w:ind w:hanging="0" w:start="720" w:end="720"/>
    </w:pPr>
    <w:rPr/>
  </w:style>
  <w:style w:type="paragraph" w:styleId="BodyText2">
    <w:name w:val="Body Text 2"/>
    <w:basedOn w:val="Normal"/>
    <w:qFormat/>
    <w:pPr>
      <w:tabs>
        <w:tab w:val="clear" w:pos="720"/>
        <w:tab w:val="left" w:pos="2880" w:leader="none"/>
        <w:tab w:val="left" w:pos="3240" w:leader="none"/>
        <w:tab w:val="left" w:pos="4320" w:leader="none"/>
        <w:tab w:val="left" w:pos="4680" w:leader="none"/>
        <w:tab w:val="left" w:pos="9360" w:leader="none"/>
      </w:tabs>
    </w:pPr>
    <w:rPr>
      <w:color w:val="000000"/>
    </w:rPr>
  </w:style>
  <w:style w:type="paragraph" w:styleId="BodyTextIndent">
    <w:name w:val="Body Text Indent"/>
    <w:basedOn w:val="Normal"/>
    <w:pPr>
      <w:ind w:firstLine="720" w:start="0" w:end="0"/>
    </w:pPr>
    <w:rPr/>
  </w:style>
  <w:style w:type="paragraph" w:styleId="BodyTextIndent3">
    <w:name w:val="Body Text Indent 3"/>
    <w:basedOn w:val="Normal"/>
    <w:qFormat/>
    <w:pPr>
      <w:ind w:firstLine="720" w:start="0"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Dis_long</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1999-12-09T18:12:00Z</dcterms:created>
  <dc:creator>Debra A. Morrell</dc:creator>
  <dc:description/>
  <dc:language>en-CA</dc:language>
  <cp:lastModifiedBy>Kim N. Walford</cp:lastModifiedBy>
  <cp:lastPrinted>1999-12-09T14:39:00Z</cp:lastPrinted>
  <dcterms:modified xsi:type="dcterms:W3CDTF">1999-12-09T18:12:00Z</dcterms:modified>
  <cp:revision>2</cp:revision>
  <dc:subject/>
  <dc:title>99-03-35 Draft Decision</dc:title>
</cp:coreProperties>
</file>