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NATURAL GAS PURCHASE AGREEMENT</w:t>
      </w:r>
    </w:p>
    <w:p>
      <w:pPr>
        <w:pStyle w:val="Normal"/>
        <w:jc w:val="center"/>
        <w:rPr/>
      </w:pPr>
      <w:r>
        <w:rPr/>
      </w:r>
    </w:p>
    <w:p>
      <w:pPr>
        <w:pStyle w:val="Normal"/>
        <w:jc w:val="center"/>
        <w:rPr/>
      </w:pPr>
      <w:r>
        <w:rPr/>
        <w:t>BY AND BETWEEN</w:t>
      </w:r>
    </w:p>
    <w:p>
      <w:pPr>
        <w:pStyle w:val="Normal"/>
        <w:jc w:val="center"/>
        <w:rPr/>
      </w:pPr>
      <w:r>
        <w:rPr/>
      </w:r>
    </w:p>
    <w:p>
      <w:pPr>
        <w:pStyle w:val="Normal"/>
        <w:jc w:val="center"/>
        <w:rPr/>
      </w:pPr>
      <w:r>
        <w:rPr/>
        <w:t>FLORIDA POWER &amp; LIGHT COMPANY</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CAPITAL &amp; TRADE RESOURCES CORP.</w:t>
      </w:r>
    </w:p>
    <w:p>
      <w:pPr>
        <w:pStyle w:val="Normal"/>
        <w:jc w:val="center"/>
        <w:rPr/>
      </w:pPr>
      <w:r>
        <w:rPr/>
      </w:r>
    </w:p>
    <w:p>
      <w:pPr>
        <w:pStyle w:val="Normal"/>
        <w:jc w:val="center"/>
        <w:rPr/>
      </w:pPr>
      <w:r>
        <w:rPr/>
        <w:t>AND</w:t>
      </w:r>
    </w:p>
    <w:p>
      <w:pPr>
        <w:pStyle w:val="Normal"/>
        <w:jc w:val="center"/>
        <w:rPr/>
      </w:pPr>
      <w:r>
        <w:rPr/>
      </w:r>
    </w:p>
    <w:p>
      <w:pPr>
        <w:pStyle w:val="Normal"/>
        <w:jc w:val="center"/>
        <w:rPr/>
      </w:pPr>
      <w:r>
        <w:rPr/>
        <w:t>ENRON CORP.</w:t>
      </w:r>
    </w:p>
    <w:p>
      <w:pPr>
        <w:pStyle w:val="Normal"/>
        <w:jc w:val="center"/>
        <w:rPr/>
      </w:pPr>
      <w:r>
        <w:rPr/>
      </w:r>
    </w:p>
    <w:p>
      <w:pPr>
        <w:pStyle w:val="Normal"/>
        <w:jc w:val="center"/>
        <w:rPr/>
      </w:pPr>
      <w:r>
        <w:rPr/>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pPr>
      <w:r>
        <w:rPr/>
        <w:t>DATED: _________________, 1999</w:t>
      </w:r>
    </w:p>
    <w:p>
      <w:pPr>
        <w:pStyle w:val="Normal"/>
        <w:jc w:val="center"/>
        <w:rPr/>
      </w:pPr>
      <w:r>
        <w:rPr/>
        <w:t>TABLE OF CONTENTS</w:t>
      </w:r>
    </w:p>
    <w:p>
      <w:pPr>
        <w:pStyle w:val="Normal"/>
        <w:jc w:val="center"/>
        <w:rPr/>
      </w:pPr>
      <w:r>
        <w:rPr/>
      </w:r>
    </w:p>
    <w:p>
      <w:pPr>
        <w:pStyle w:val="Normal"/>
        <w:jc w:val="center"/>
        <w:rPr/>
      </w:pPr>
      <w:r>
        <w:rPr/>
      </w:r>
    </w:p>
    <w:sdt>
      <w:sdtPr>
        <w:docPartObj>
          <w:docPartGallery w:val="Table of Contents"/>
          <w:docPartUnique w:val="true"/>
        </w:docPartObj>
      </w:sdtPr>
      <w:sdtContent>
        <w:p>
          <w:pPr>
            <w:pStyle w:val="TOC1"/>
            <w:tabs>
              <w:tab w:val="clear" w:pos="720"/>
              <w:tab w:val="left" w:pos="475" w:leader="none"/>
              <w:tab w:val="right" w:pos="9350" w:leader="dot"/>
            </w:tabs>
            <w:rPr>
              <w:lang w:val="en-CA"/>
            </w:rPr>
          </w:pPr>
          <w:r>
            <w:fldChar w:fldCharType="begin"/>
          </w:r>
          <w:r>
            <w:rPr>
              <w:lang w:val="en-CA"/>
            </w:rPr>
            <w:instrText xml:space="preserve"> TOC \o "1-1" \f </w:instrText>
          </w:r>
          <w:r>
            <w:rPr>
              <w:lang w:val="en-CA"/>
            </w:rPr>
            <w:fldChar w:fldCharType="separate"/>
          </w:r>
          <w:r>
            <w:rPr>
              <w:lang w:val="en-CA"/>
            </w:rPr>
            <w:t>1.0</w:t>
            <w:tab/>
            <w:t>PARTIES</w:t>
            <w:tab/>
          </w:r>
          <w:hyperlink w:anchor="__RefHeading___Toc457017783">
            <w:r>
              <w:rPr>
                <w:rStyle w:val="IndexLink"/>
                <w:lang w:val="en-CA"/>
              </w:rPr>
              <w:t>1</w:t>
            </w:r>
          </w:hyperlink>
        </w:p>
        <w:p>
          <w:pPr>
            <w:pStyle w:val="TOC1"/>
            <w:tabs>
              <w:tab w:val="clear" w:pos="720"/>
              <w:tab w:val="left" w:pos="475" w:leader="none"/>
              <w:tab w:val="right" w:pos="9350" w:leader="dot"/>
            </w:tabs>
            <w:rPr>
              <w:lang w:val="en-CA"/>
            </w:rPr>
          </w:pPr>
          <w:r>
            <w:rPr>
              <w:lang w:val="en-CA"/>
            </w:rPr>
            <w:t>2.0</w:t>
            <w:tab/>
            <w:t>RECITALS</w:t>
            <w:tab/>
          </w:r>
          <w:hyperlink w:anchor="__RefHeading___Toc457017784">
            <w:r>
              <w:rPr>
                <w:rStyle w:val="IndexLink"/>
                <w:lang w:val="en-CA"/>
              </w:rPr>
              <w:t>2</w:t>
            </w:r>
          </w:hyperlink>
        </w:p>
        <w:p>
          <w:pPr>
            <w:pStyle w:val="TOC1"/>
            <w:tabs>
              <w:tab w:val="clear" w:pos="720"/>
              <w:tab w:val="left" w:pos="475" w:leader="none"/>
              <w:tab w:val="right" w:pos="9350" w:leader="dot"/>
            </w:tabs>
            <w:rPr>
              <w:lang w:val="en-CA"/>
            </w:rPr>
          </w:pPr>
          <w:r>
            <w:rPr>
              <w:lang w:val="en-CA"/>
            </w:rPr>
            <w:t>3.0</w:t>
            <w:tab/>
            <w:t>DEFINITION OF TERMS</w:t>
            <w:tab/>
          </w:r>
          <w:hyperlink w:anchor="__RefHeading___Toc457017785">
            <w:r>
              <w:rPr>
                <w:rStyle w:val="IndexLink"/>
                <w:lang w:val="en-CA"/>
              </w:rPr>
              <w:t>3</w:t>
            </w:r>
          </w:hyperlink>
        </w:p>
        <w:p>
          <w:pPr>
            <w:pStyle w:val="TOC1"/>
            <w:tabs>
              <w:tab w:val="clear" w:pos="720"/>
              <w:tab w:val="left" w:pos="475" w:leader="none"/>
              <w:tab w:val="right" w:pos="9350" w:leader="dot"/>
            </w:tabs>
            <w:rPr>
              <w:lang w:val="en-CA"/>
            </w:rPr>
          </w:pPr>
          <w:r>
            <w:rPr>
              <w:lang w:val="en-CA"/>
            </w:rPr>
            <w:t>4.0</w:t>
            <w:tab/>
            <w:t>TERM AND TERMINATION</w:t>
            <w:tab/>
          </w:r>
          <w:hyperlink w:anchor="__RefHeading___Toc457017786">
            <w:r>
              <w:rPr>
                <w:rStyle w:val="IndexLink"/>
                <w:lang w:val="en-CA"/>
              </w:rPr>
              <w:t>8</w:t>
            </w:r>
          </w:hyperlink>
        </w:p>
        <w:p>
          <w:pPr>
            <w:pStyle w:val="TOC1"/>
            <w:tabs>
              <w:tab w:val="clear" w:pos="720"/>
              <w:tab w:val="left" w:pos="475" w:leader="none"/>
              <w:tab w:val="right" w:pos="9350" w:leader="dot"/>
            </w:tabs>
            <w:rPr>
              <w:lang w:val="en-CA"/>
            </w:rPr>
          </w:pPr>
          <w:r>
            <w:rPr>
              <w:lang w:val="en-CA"/>
            </w:rPr>
            <w:t>5.0</w:t>
            <w:tab/>
            <w:t>TITLE, WARRANTIES, RISK OF LOSS AND INDEMNIFICATION</w:t>
            <w:tab/>
          </w:r>
          <w:hyperlink w:anchor="__RefHeading___Toc457017787">
            <w:r>
              <w:rPr>
                <w:rStyle w:val="IndexLink"/>
                <w:lang w:val="en-CA"/>
              </w:rPr>
              <w:t>11</w:t>
            </w:r>
          </w:hyperlink>
        </w:p>
        <w:p>
          <w:pPr>
            <w:pStyle w:val="TOC1"/>
            <w:tabs>
              <w:tab w:val="clear" w:pos="720"/>
              <w:tab w:val="left" w:pos="475" w:leader="none"/>
              <w:tab w:val="right" w:pos="9350" w:leader="dot"/>
            </w:tabs>
            <w:rPr>
              <w:lang w:val="en-CA"/>
            </w:rPr>
          </w:pPr>
          <w:r>
            <w:rPr>
              <w:lang w:val="en-CA"/>
            </w:rPr>
            <w:t>6.0</w:t>
            <w:tab/>
            <w:t>QUALITY AND QUANTITY MEASUREMENT</w:t>
            <w:tab/>
          </w:r>
          <w:hyperlink w:anchor="__RefHeading___Toc457017788">
            <w:r>
              <w:rPr>
                <w:rStyle w:val="IndexLink"/>
                <w:lang w:val="en-CA"/>
              </w:rPr>
              <w:t>13</w:t>
            </w:r>
          </w:hyperlink>
        </w:p>
        <w:p>
          <w:pPr>
            <w:pStyle w:val="TOC1"/>
            <w:tabs>
              <w:tab w:val="clear" w:pos="720"/>
              <w:tab w:val="left" w:pos="475" w:leader="none"/>
              <w:tab w:val="right" w:pos="9350" w:leader="dot"/>
            </w:tabs>
            <w:rPr>
              <w:lang w:val="en-CA"/>
            </w:rPr>
          </w:pPr>
          <w:r>
            <w:rPr>
              <w:lang w:val="en-CA"/>
            </w:rPr>
            <w:t>7.0</w:t>
            <w:tab/>
            <w:t>SALES QUANTITIES</w:t>
            <w:tab/>
          </w:r>
          <w:hyperlink w:anchor="__RefHeading___Toc457017789">
            <w:r>
              <w:rPr>
                <w:rStyle w:val="IndexLink"/>
                <w:lang w:val="en-CA"/>
              </w:rPr>
              <w:t>15</w:t>
            </w:r>
          </w:hyperlink>
        </w:p>
        <w:p>
          <w:pPr>
            <w:pStyle w:val="TOC1"/>
            <w:tabs>
              <w:tab w:val="clear" w:pos="720"/>
              <w:tab w:val="left" w:pos="475" w:leader="none"/>
              <w:tab w:val="right" w:pos="9350" w:leader="dot"/>
            </w:tabs>
            <w:rPr>
              <w:lang w:val="en-CA"/>
            </w:rPr>
          </w:pPr>
          <w:r>
            <w:rPr>
              <w:lang w:val="en-CA"/>
            </w:rPr>
            <w:t>8.0</w:t>
            <w:tab/>
            <w:t>delivery points</w:t>
            <w:tab/>
          </w:r>
          <w:hyperlink w:anchor="__RefHeading___Toc457017790">
            <w:r>
              <w:rPr>
                <w:rStyle w:val="IndexLink"/>
                <w:lang w:val="en-CA"/>
              </w:rPr>
              <w:t>21</w:t>
            </w:r>
          </w:hyperlink>
        </w:p>
        <w:p>
          <w:pPr>
            <w:pStyle w:val="TOC1"/>
            <w:tabs>
              <w:tab w:val="clear" w:pos="720"/>
              <w:tab w:val="left" w:pos="475" w:leader="none"/>
              <w:tab w:val="right" w:pos="9350" w:leader="dot"/>
            </w:tabs>
            <w:rPr>
              <w:lang w:val="en-CA"/>
            </w:rPr>
          </w:pPr>
          <w:r>
            <w:rPr>
              <w:lang w:val="en-CA"/>
            </w:rPr>
            <w:t>9.0</w:t>
            <w:tab/>
            <w:t>CONTRACT PRICE</w:t>
            <w:tab/>
          </w:r>
          <w:hyperlink w:anchor="__RefHeading___Toc457017791">
            <w:r>
              <w:rPr>
                <w:rStyle w:val="IndexLink"/>
                <w:lang w:val="en-CA"/>
              </w:rPr>
              <w:t>23</w:t>
            </w:r>
          </w:hyperlink>
        </w:p>
        <w:p>
          <w:pPr>
            <w:pStyle w:val="TOC1"/>
            <w:tabs>
              <w:tab w:val="left" w:pos="720" w:leader="none"/>
              <w:tab w:val="right" w:pos="9350" w:leader="dot"/>
            </w:tabs>
            <w:rPr>
              <w:lang w:val="en-CA"/>
            </w:rPr>
          </w:pPr>
          <w:r>
            <w:rPr>
              <w:lang w:val="en-CA"/>
            </w:rPr>
            <w:t>10.0</w:t>
            <w:tab/>
            <w:t>BILLING AND PAYMENT</w:t>
            <w:tab/>
          </w:r>
          <w:hyperlink w:anchor="__RefHeading___Toc457017792">
            <w:r>
              <w:rPr>
                <w:rStyle w:val="IndexLink"/>
                <w:lang w:val="en-CA"/>
              </w:rPr>
              <w:t>25</w:t>
            </w:r>
          </w:hyperlink>
        </w:p>
        <w:p>
          <w:pPr>
            <w:pStyle w:val="TOC1"/>
            <w:tabs>
              <w:tab w:val="left" w:pos="720" w:leader="none"/>
              <w:tab w:val="right" w:pos="9350" w:leader="dot"/>
            </w:tabs>
            <w:rPr>
              <w:lang w:val="en-CA"/>
            </w:rPr>
          </w:pPr>
          <w:r>
            <w:rPr>
              <w:lang w:val="en-CA"/>
            </w:rPr>
            <w:t>11.0</w:t>
            <w:tab/>
            <w:t>INDEPENDENT CONTRACTOR</w:t>
            <w:tab/>
          </w:r>
          <w:hyperlink w:anchor="__RefHeading___Toc457017793">
            <w:r>
              <w:rPr>
                <w:rStyle w:val="IndexLink"/>
                <w:lang w:val="en-CA"/>
              </w:rPr>
              <w:t>28</w:t>
            </w:r>
          </w:hyperlink>
        </w:p>
        <w:p>
          <w:pPr>
            <w:pStyle w:val="TOC1"/>
            <w:tabs>
              <w:tab w:val="left" w:pos="720" w:leader="none"/>
              <w:tab w:val="right" w:pos="9350" w:leader="dot"/>
            </w:tabs>
            <w:rPr>
              <w:lang w:val="en-CA"/>
            </w:rPr>
          </w:pPr>
          <w:r>
            <w:rPr>
              <w:lang w:val="en-CA"/>
            </w:rPr>
            <w:t>12.0</w:t>
            <w:tab/>
            <w:t>FORCE MAJEURE</w:t>
            <w:tab/>
          </w:r>
          <w:hyperlink w:anchor="__RefHeading___Toc457017794">
            <w:r>
              <w:rPr>
                <w:rStyle w:val="IndexLink"/>
                <w:lang w:val="en-CA"/>
              </w:rPr>
              <w:t>29</w:t>
            </w:r>
          </w:hyperlink>
        </w:p>
        <w:p>
          <w:pPr>
            <w:pStyle w:val="TOC1"/>
            <w:tabs>
              <w:tab w:val="left" w:pos="720" w:leader="none"/>
              <w:tab w:val="right" w:pos="9350" w:leader="dot"/>
            </w:tabs>
            <w:rPr>
              <w:lang w:val="en-CA"/>
            </w:rPr>
          </w:pPr>
          <w:r>
            <w:rPr>
              <w:lang w:val="en-CA"/>
            </w:rPr>
            <w:t>13.0</w:t>
            <w:tab/>
            <w:t>TAXES AND OTHER LIABILITIES</w:t>
            <w:tab/>
          </w:r>
          <w:hyperlink w:anchor="__RefHeading___Toc457017795">
            <w:r>
              <w:rPr>
                <w:rStyle w:val="IndexLink"/>
                <w:lang w:val="en-CA"/>
              </w:rPr>
              <w:t>33</w:t>
            </w:r>
          </w:hyperlink>
        </w:p>
        <w:p>
          <w:pPr>
            <w:pStyle w:val="TOC1"/>
            <w:tabs>
              <w:tab w:val="left" w:pos="720" w:leader="none"/>
              <w:tab w:val="right" w:pos="9350" w:leader="dot"/>
            </w:tabs>
            <w:rPr>
              <w:lang w:val="en-CA"/>
            </w:rPr>
          </w:pPr>
          <w:r>
            <w:rPr>
              <w:lang w:val="en-CA"/>
            </w:rPr>
            <w:t>14.0</w:t>
            <w:tab/>
            <w:t>PROPRIETARY INFORMATION</w:t>
            <w:tab/>
          </w:r>
          <w:hyperlink w:anchor="__RefHeading___Toc457017796">
            <w:r>
              <w:rPr>
                <w:rStyle w:val="IndexLink"/>
                <w:lang w:val="en-CA"/>
              </w:rPr>
              <w:t>34</w:t>
            </w:r>
          </w:hyperlink>
        </w:p>
        <w:p>
          <w:pPr>
            <w:pStyle w:val="TOC1"/>
            <w:tabs>
              <w:tab w:val="left" w:pos="720" w:leader="none"/>
              <w:tab w:val="right" w:pos="9350" w:leader="dot"/>
            </w:tabs>
            <w:rPr>
              <w:lang w:val="en-CA"/>
            </w:rPr>
          </w:pPr>
          <w:r>
            <w:rPr>
              <w:lang w:val="en-CA"/>
            </w:rPr>
            <w:t>15.0</w:t>
            <w:tab/>
            <w:t>COMPLIANCE WITH LAWS, REGULATIONS, CODES AND STANDARDS</w:t>
            <w:tab/>
          </w:r>
          <w:hyperlink w:anchor="__RefHeading___Toc457017797">
            <w:r>
              <w:rPr>
                <w:rStyle w:val="IndexLink"/>
                <w:lang w:val="en-CA"/>
              </w:rPr>
              <w:t>35</w:t>
            </w:r>
          </w:hyperlink>
        </w:p>
        <w:p>
          <w:pPr>
            <w:pStyle w:val="TOC1"/>
            <w:tabs>
              <w:tab w:val="left" w:pos="720" w:leader="none"/>
              <w:tab w:val="right" w:pos="9350" w:leader="dot"/>
            </w:tabs>
            <w:rPr>
              <w:lang w:val="en-CA"/>
            </w:rPr>
          </w:pPr>
          <w:r>
            <w:rPr>
              <w:lang w:val="en-CA"/>
            </w:rPr>
            <w:t>16.0</w:t>
            <w:tab/>
            <w:t>ASSIGNMENT AND SALE</w:t>
            <w:tab/>
          </w:r>
          <w:hyperlink w:anchor="__RefHeading___Toc457017798">
            <w:r>
              <w:rPr>
                <w:rStyle w:val="IndexLink"/>
                <w:lang w:val="en-CA"/>
              </w:rPr>
              <w:t>36</w:t>
            </w:r>
          </w:hyperlink>
        </w:p>
        <w:p>
          <w:pPr>
            <w:pStyle w:val="TOC1"/>
            <w:tabs>
              <w:tab w:val="left" w:pos="720" w:leader="none"/>
              <w:tab w:val="right" w:pos="9350" w:leader="dot"/>
            </w:tabs>
            <w:rPr>
              <w:lang w:val="en-CA"/>
            </w:rPr>
          </w:pPr>
          <w:r>
            <w:rPr>
              <w:lang w:val="en-CA"/>
            </w:rPr>
            <w:t>17.0</w:t>
            <w:tab/>
            <w:t>DEFAULTS AND REMEDIES</w:t>
            <w:tab/>
          </w:r>
          <w:hyperlink w:anchor="__RefHeading___Toc457017799">
            <w:r>
              <w:rPr>
                <w:rStyle w:val="IndexLink"/>
                <w:lang w:val="en-CA"/>
              </w:rPr>
              <w:t>37</w:t>
            </w:r>
          </w:hyperlink>
        </w:p>
        <w:p>
          <w:pPr>
            <w:pStyle w:val="TOC1"/>
            <w:tabs>
              <w:tab w:val="left" w:pos="720" w:leader="none"/>
              <w:tab w:val="right" w:pos="9350" w:leader="dot"/>
            </w:tabs>
            <w:rPr>
              <w:lang w:val="en-CA"/>
            </w:rPr>
          </w:pPr>
          <w:r>
            <w:rPr>
              <w:lang w:val="en-CA"/>
            </w:rPr>
            <w:t>18.0</w:t>
            <w:tab/>
            <w:t>GUARANTEE</w:t>
            <w:tab/>
          </w:r>
          <w:hyperlink w:anchor="__RefHeading___Toc457017800">
            <w:r>
              <w:rPr>
                <w:rStyle w:val="IndexLink"/>
                <w:lang w:val="en-CA"/>
              </w:rPr>
              <w:t>41</w:t>
            </w:r>
          </w:hyperlink>
        </w:p>
        <w:p>
          <w:pPr>
            <w:pStyle w:val="TOC1"/>
            <w:tabs>
              <w:tab w:val="left" w:pos="720" w:leader="none"/>
              <w:tab w:val="right" w:pos="9350" w:leader="dot"/>
            </w:tabs>
            <w:rPr>
              <w:lang w:val="en-CA"/>
            </w:rPr>
          </w:pPr>
          <w:r>
            <w:rPr>
              <w:lang w:val="en-CA"/>
            </w:rPr>
            <w:t>19.0</w:t>
            <w:tab/>
            <w:t>NOTICES, CORRESPONDENCE AND PAYMENT</w:t>
            <w:tab/>
          </w:r>
          <w:hyperlink w:anchor="__RefHeading___Toc457017801">
            <w:r>
              <w:rPr>
                <w:rStyle w:val="IndexLink"/>
                <w:lang w:val="en-CA"/>
              </w:rPr>
              <w:t>42</w:t>
            </w:r>
          </w:hyperlink>
        </w:p>
        <w:p>
          <w:pPr>
            <w:pStyle w:val="TOC1"/>
            <w:tabs>
              <w:tab w:val="left" w:pos="720" w:leader="none"/>
              <w:tab w:val="right" w:pos="9350" w:leader="dot"/>
            </w:tabs>
            <w:rPr>
              <w:lang w:val="en-CA"/>
            </w:rPr>
          </w:pPr>
          <w:r>
            <w:rPr>
              <w:lang w:val="en-CA"/>
            </w:rPr>
            <w:t>20.0</w:t>
            <w:tab/>
            <w:t>ARBITRATION</w:t>
            <w:tab/>
          </w:r>
          <w:hyperlink w:anchor="__RefHeading___Toc457017802">
            <w:r>
              <w:rPr>
                <w:rStyle w:val="IndexLink"/>
                <w:lang w:val="en-CA"/>
              </w:rPr>
              <w:t>45</w:t>
            </w:r>
          </w:hyperlink>
        </w:p>
        <w:p>
          <w:pPr>
            <w:pStyle w:val="TOC1"/>
            <w:tabs>
              <w:tab w:val="left" w:pos="720" w:leader="none"/>
              <w:tab w:val="right" w:pos="9350" w:leader="dot"/>
            </w:tabs>
            <w:rPr>
              <w:lang w:val="en-CA"/>
            </w:rPr>
          </w:pPr>
          <w:r>
            <w:rPr>
              <w:lang w:val="en-CA"/>
            </w:rPr>
            <w:t>21.0</w:t>
            <w:tab/>
            <w:t>APPLICABLE STATE LAW AND CONSENT TO JURISDICTION</w:t>
            <w:tab/>
          </w:r>
          <w:hyperlink w:anchor="__RefHeading___Toc457017803">
            <w:r>
              <w:rPr>
                <w:rStyle w:val="IndexLink"/>
                <w:lang w:val="en-CA"/>
              </w:rPr>
              <w:t>47</w:t>
            </w:r>
          </w:hyperlink>
        </w:p>
        <w:p>
          <w:pPr>
            <w:pStyle w:val="TOC1"/>
            <w:tabs>
              <w:tab w:val="left" w:pos="720" w:leader="none"/>
              <w:tab w:val="right" w:pos="9350" w:leader="dot"/>
            </w:tabs>
            <w:rPr>
              <w:lang w:val="en-CA"/>
            </w:rPr>
          </w:pPr>
          <w:r>
            <w:rPr>
              <w:lang w:val="en-CA"/>
            </w:rPr>
            <w:t>22.0</w:t>
            <w:tab/>
            <w:t>NOMINATION AND SCHEDULING</w:t>
            <w:tab/>
          </w:r>
          <w:hyperlink w:anchor="__RefHeading___Toc457017804">
            <w:r>
              <w:rPr>
                <w:rStyle w:val="IndexLink"/>
                <w:lang w:val="en-CA"/>
              </w:rPr>
              <w:t>48</w:t>
            </w:r>
          </w:hyperlink>
        </w:p>
        <w:p>
          <w:pPr>
            <w:pStyle w:val="TOC1"/>
            <w:tabs>
              <w:tab w:val="left" w:pos="720" w:leader="none"/>
              <w:tab w:val="right" w:pos="9350" w:leader="dot"/>
            </w:tabs>
            <w:rPr>
              <w:lang w:val="en-CA"/>
            </w:rPr>
          </w:pPr>
          <w:r>
            <w:rPr>
              <w:lang w:val="en-CA"/>
            </w:rPr>
            <w:t>23.0</w:t>
            <w:tab/>
            <w:t>MISCELLANEOUS</w:t>
            <w:tab/>
          </w:r>
          <w:hyperlink w:anchor="__RefHeading___Toc457017805">
            <w:r>
              <w:rPr>
                <w:rStyle w:val="IndexLink"/>
                <w:lang w:val="en-CA"/>
              </w:rPr>
              <w:t>50</w:t>
            </w:r>
          </w:hyperlink>
        </w:p>
        <w:p>
          <w:pPr>
            <w:pStyle w:val="TOC1"/>
            <w:tabs>
              <w:tab w:val="clear" w:pos="720"/>
              <w:tab w:val="right" w:pos="9350" w:leader="dot"/>
            </w:tabs>
            <w:rPr>
              <w:lang w:val="en-CA"/>
            </w:rPr>
          </w:pPr>
          <w:r>
            <w:rPr>
              <w:lang w:val="en-CA"/>
            </w:rPr>
            <w:t>exHIBIT A CONTRACT PRICE FOR THE BASE QUANTITIES</w:t>
            <w:tab/>
          </w:r>
          <w:hyperlink w:anchor="__RefHeading___Toc457017806">
            <w:r>
              <w:rPr>
                <w:rStyle w:val="IndexLink"/>
                <w:lang w:val="en-CA"/>
              </w:rPr>
              <w:t>1</w:t>
            </w:r>
          </w:hyperlink>
        </w:p>
        <w:p>
          <w:pPr>
            <w:pStyle w:val="TOC1"/>
            <w:tabs>
              <w:tab w:val="clear" w:pos="720"/>
              <w:tab w:val="right" w:pos="9350" w:leader="dot"/>
            </w:tabs>
            <w:rPr>
              <w:lang w:val="en-CA"/>
            </w:rPr>
          </w:pPr>
          <w:r>
            <w:rPr>
              <w:lang w:val="en-CA"/>
            </w:rPr>
            <w:t>exHIBIT B ALTERNATIVE CONTRACT PRICING MECHANISMS</w:t>
            <w:tab/>
            <w:t>1</w:t>
          </w:r>
        </w:p>
        <w:p>
          <w:pPr>
            <w:pStyle w:val="TOC1"/>
            <w:tabs>
              <w:tab w:val="clear" w:pos="720"/>
              <w:tab w:val="right" w:pos="9350" w:leader="dot"/>
            </w:tabs>
            <w:rPr>
              <w:lang w:val="en-CA"/>
            </w:rPr>
          </w:pPr>
          <w:r>
            <w:rPr>
              <w:lang w:val="en-CA"/>
            </w:rPr>
            <w:t>EXHIBIT c DELIVERY POINTS AND DELIVERY POINT ALLOCATIONS</w:t>
            <w:tab/>
          </w:r>
          <w:hyperlink w:anchor="__RefHeading___Toc457017808">
            <w:r>
              <w:rPr>
                <w:rStyle w:val="IndexLink"/>
                <w:lang w:val="en-CA"/>
              </w:rPr>
              <w:t>1</w:t>
            </w:r>
          </w:hyperlink>
        </w:p>
        <w:p>
          <w:pPr>
            <w:pStyle w:val="TOC1"/>
            <w:tabs>
              <w:tab w:val="clear" w:pos="720"/>
              <w:tab w:val="right" w:pos="9350" w:leader="dot"/>
            </w:tabs>
            <w:rPr>
              <w:lang w:val="en-CA"/>
            </w:rPr>
          </w:pPr>
          <w:r>
            <w:rPr>
              <w:lang w:val="en-CA"/>
            </w:rPr>
            <w:t>EXHIBIT d BUYOUT PAYMENT SCHEDULE</w:t>
            <w:tab/>
          </w:r>
          <w:hyperlink w:anchor="__RefHeading___Toc457017809">
            <w:r>
              <w:rPr>
                <w:rStyle w:val="IndexLink"/>
                <w:lang w:val="en-CA"/>
              </w:rPr>
              <w:t>1</w:t>
            </w:r>
          </w:hyperlink>
        </w:p>
        <w:p>
          <w:pPr>
            <w:pStyle w:val="TOC1"/>
            <w:tabs>
              <w:tab w:val="clear" w:pos="720"/>
              <w:tab w:val="right" w:pos="9350" w:leader="dot"/>
            </w:tabs>
            <w:rPr>
              <w:lang w:val="en-CA"/>
            </w:rPr>
          </w:pPr>
          <w:r>
            <w:rPr>
              <w:lang w:val="en-CA"/>
            </w:rPr>
            <w:t>EXHIBIT E TERMINATION PAYMENT</w:t>
            <w:tab/>
          </w:r>
          <w:hyperlink w:anchor="__RefHeading___Toc457017810">
            <w:r>
              <w:rPr>
                <w:rStyle w:val="IndexLink"/>
                <w:lang w:val="en-CA"/>
              </w:rPr>
              <w:t>1</w:t>
            </w:r>
          </w:hyperlink>
        </w:p>
        <w:p>
          <w:pPr>
            <w:pStyle w:val="TOC1"/>
            <w:tabs>
              <w:tab w:val="clear" w:pos="720"/>
              <w:tab w:val="right" w:pos="9350" w:leader="dot"/>
            </w:tabs>
            <w:rPr>
              <w:lang w:val="en-CA"/>
            </w:rPr>
          </w:pPr>
          <w:r>
            <w:rPr>
              <w:lang w:val="en-CA"/>
            </w:rPr>
            <w:t>EXHIBIT f GUARANTEE</w:t>
            <w:tab/>
          </w:r>
          <w:hyperlink w:anchor="__RefHeading___Toc457017811">
            <w:r>
              <w:rPr>
                <w:rStyle w:val="IndexLink"/>
                <w:lang w:val="en-CA"/>
              </w:rPr>
              <w:t>1</w:t>
            </w:r>
          </w:hyperlink>
          <w:r>
            <w:rPr>
              <w:rStyle w:val="IndexLink"/>
              <w:lang w:val="en-CA"/>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lowerRoman"/>
          <w:formProt w:val="false"/>
          <w:textDirection w:val="lrTb"/>
          <w:docGrid w:type="default" w:linePitch="360" w:charSpace="0"/>
        </w:sectPr>
        <w:pStyle w:val="Normal"/>
        <w:rPr>
          <w:lang w:val="en-CA"/>
        </w:rPr>
      </w:pPr>
      <w:r>
        <w:rPr>
          <w:lang w:val="en-CA"/>
        </w:rPr>
      </w:r>
    </w:p>
    <w:p>
      <w:pPr>
        <w:pStyle w:val="Normal"/>
        <w:jc w:val="center"/>
        <w:rPr/>
      </w:pPr>
      <w:r>
        <w:rPr/>
        <w:t>NATURAL GAS PURCHASE AGREEMENT</w:t>
      </w:r>
    </w:p>
    <w:p>
      <w:pPr>
        <w:pStyle w:val="Normal"/>
        <w:rPr/>
      </w:pPr>
      <w:r>
        <w:rPr/>
      </w:r>
    </w:p>
    <w:p>
      <w:pPr>
        <w:pStyle w:val="Heading1"/>
        <w:ind w:hanging="720" w:start="720" w:end="0"/>
        <w:rPr/>
      </w:pPr>
      <w:bookmarkStart w:id="0" w:name="__RefHeading___Toc457017783"/>
      <w:bookmarkEnd w:id="0"/>
      <w:r>
        <w:rPr/>
        <w:t>PARTIES</w:t>
      </w:r>
    </w:p>
    <w:p>
      <w:pPr>
        <w:pStyle w:val="BodyText"/>
        <w:rPr/>
      </w:pPr>
      <w:r>
        <w:rPr/>
        <w:t>The Parties hereto (referred to individually as “Party” and two or more collectively as “Parties”) enter into this Natural Gas Purchase Agreement dated ___________, 1999.  The Parties hereto are:</w:t>
      </w:r>
    </w:p>
    <w:p>
      <w:pPr>
        <w:pStyle w:val="Normal"/>
        <w:rPr/>
      </w:pPr>
      <w:r>
        <w:rPr/>
        <w:tab/>
        <w:t>1.1</w:t>
        <w:tab/>
        <w:t>Florida Power &amp; Light Company (“FPL”)</w:t>
      </w:r>
    </w:p>
    <w:p>
      <w:pPr>
        <w:pStyle w:val="Normal"/>
        <w:rPr/>
      </w:pPr>
      <w:r>
        <w:rPr/>
        <w:tab/>
        <w:tab/>
        <w:t>Energy Marketing &amp; Trading</w:t>
      </w:r>
    </w:p>
    <w:p>
      <w:pPr>
        <w:pStyle w:val="Normal"/>
        <w:rPr/>
      </w:pPr>
      <w:r>
        <w:rPr/>
        <w:tab/>
        <w:tab/>
        <w:t>11770 U.S. Highway One</w:t>
      </w:r>
    </w:p>
    <w:p>
      <w:pPr>
        <w:pStyle w:val="Normal"/>
        <w:rPr/>
      </w:pPr>
      <w:r>
        <w:rPr/>
        <w:tab/>
        <w:tab/>
        <w:t>North Palm Beach, FL  33408</w:t>
      </w:r>
    </w:p>
    <w:p>
      <w:pPr>
        <w:pStyle w:val="Normal"/>
        <w:rPr/>
      </w:pPr>
      <w:r>
        <w:rPr/>
      </w:r>
    </w:p>
    <w:p>
      <w:pPr>
        <w:pStyle w:val="Normal"/>
        <w:rPr/>
      </w:pPr>
      <w:r>
        <w:rPr/>
        <w:tab/>
        <w:t>1.2</w:t>
        <w:tab/>
        <w:t>Enron Capital &amp; Trade Resources Corp. (“ECT”)</w:t>
      </w:r>
    </w:p>
    <w:p>
      <w:pPr>
        <w:pStyle w:val="Normal"/>
        <w:rPr/>
      </w:pPr>
      <w:r>
        <w:rPr/>
        <w:tab/>
        <w:tab/>
        <w:t>P.O. Box 4428</w:t>
      </w:r>
    </w:p>
    <w:p>
      <w:pPr>
        <w:pStyle w:val="Normal"/>
        <w:rPr/>
      </w:pPr>
      <w:r>
        <w:rPr/>
        <w:tab/>
        <w:tab/>
        <w:t>Houston, TX  77210-4428</w:t>
      </w:r>
    </w:p>
    <w:p>
      <w:pPr>
        <w:pStyle w:val="Normal"/>
        <w:rPr/>
      </w:pPr>
      <w:r>
        <w:rPr/>
      </w:r>
    </w:p>
    <w:p>
      <w:pPr>
        <w:pStyle w:val="Normal"/>
        <w:numPr>
          <w:ilvl w:val="1"/>
          <w:numId w:val="2"/>
        </w:numPr>
        <w:rPr/>
      </w:pPr>
      <w:r>
        <w:rPr/>
        <w:t>And, solely for the purposes of the Guarantee in Section 18:</w:t>
      </w:r>
    </w:p>
    <w:p>
      <w:pPr>
        <w:pStyle w:val="Normal"/>
        <w:ind w:start="720" w:end="0"/>
        <w:rPr/>
      </w:pPr>
      <w:r>
        <w:rPr/>
      </w:r>
    </w:p>
    <w:p>
      <w:pPr>
        <w:pStyle w:val="Normal"/>
        <w:ind w:firstLine="720" w:start="720" w:end="0"/>
        <w:rPr/>
      </w:pPr>
      <w:r>
        <w:rPr/>
        <w:t>Enron Corp. (“Enron”)</w:t>
      </w:r>
    </w:p>
    <w:p>
      <w:pPr>
        <w:pStyle w:val="Normal"/>
        <w:rPr/>
      </w:pPr>
      <w:r>
        <w:rPr/>
        <w:tab/>
        <w:tab/>
        <w:t>P. O. Box 1188</w:t>
      </w:r>
    </w:p>
    <w:p>
      <w:pPr>
        <w:pStyle w:val="Normal"/>
        <w:rPr/>
      </w:pPr>
      <w:r>
        <w:rPr/>
        <w:tab/>
        <w:tab/>
        <w:t>Houston, TX   77251-1188</w:t>
      </w:r>
    </w:p>
    <w:p>
      <w:pPr>
        <w:pStyle w:val="Normal"/>
        <w:rPr/>
      </w:pPr>
      <w:r>
        <w:rPr/>
      </w:r>
      <w:r>
        <w:br w:type="page"/>
      </w:r>
    </w:p>
    <w:p>
      <w:pPr>
        <w:pStyle w:val="Heading1"/>
        <w:ind w:hanging="0" w:start="0"/>
        <w:rPr/>
      </w:pPr>
      <w:bookmarkStart w:id="1" w:name="__RefHeading___Toc457017784"/>
      <w:bookmarkEnd w:id="1"/>
      <w:r>
        <w:rPr/>
        <w:t>RECITALS</w:t>
      </w:r>
    </w:p>
    <w:p>
      <w:pPr>
        <w:pStyle w:val="Normal"/>
        <w:spacing w:before="0" w:after="240"/>
        <w:jc w:val="center"/>
        <w:rPr/>
      </w:pPr>
      <w:r>
        <w:rPr/>
        <w:t>WITNESSETH</w:t>
      </w:r>
    </w:p>
    <w:p>
      <w:pPr>
        <w:pStyle w:val="BodyText"/>
        <w:rPr/>
      </w:pPr>
      <w:r>
        <w:rPr/>
        <w:t>WHEREAS, this Agreement is made with reference to the following facts:</w:t>
      </w:r>
    </w:p>
    <w:p>
      <w:pPr>
        <w:pStyle w:val="Heading2"/>
        <w:ind w:hanging="0" w:start="0"/>
        <w:rPr/>
      </w:pPr>
      <w:r>
        <w:rPr/>
        <w:t>FPL is a public utility and a corporation organized and existing under the laws of the State of Florida.</w:t>
      </w:r>
    </w:p>
    <w:p>
      <w:pPr>
        <w:pStyle w:val="Heading2"/>
        <w:ind w:hanging="0" w:start="0"/>
        <w:rPr/>
      </w:pPr>
      <w:r>
        <w:rPr/>
        <w:t>ECT is a corporation organized and existing under the laws of the State of Delaware.  ECT is a wholly-owned subsidiary of Enron.  ECT has Natural Gas supplies which it desires to sell to FPL.</w:t>
      </w:r>
    </w:p>
    <w:p>
      <w:pPr>
        <w:pStyle w:val="Heading2"/>
        <w:ind w:hanging="0" w:start="0"/>
        <w:rPr/>
      </w:pPr>
      <w:r>
        <w:rPr/>
        <w:t>Enron is a corporation organized and existing under the laws of the State of Oregon.  Enron is the parent company of ECT and is acting as guarantor of the payment obligations of ECT under this Agreement.</w:t>
      </w:r>
    </w:p>
    <w:p>
      <w:pPr>
        <w:pStyle w:val="Heading2"/>
        <w:ind w:hanging="0" w:start="0"/>
        <w:rPr/>
      </w:pPr>
      <w:r>
        <w:rPr/>
        <w:t>FPL intends to purchase and receive from ECT, at various and several Delivery Points certain quantities of Natural Gas as set forth herein.</w:t>
      </w:r>
    </w:p>
    <w:p>
      <w:pPr>
        <w:pStyle w:val="Heading2"/>
        <w:ind w:hanging="0" w:start="0"/>
        <w:rPr/>
      </w:pPr>
      <w:r>
        <w:rPr/>
        <w:t>ECT intends to sell and deliver to FPL, at various and several Delivery Points certain quantities of Natural Gas as set forth herein.</w:t>
      </w:r>
    </w:p>
    <w:p>
      <w:pPr>
        <w:pStyle w:val="Heading2"/>
        <w:ind w:hanging="0" w:start="0"/>
        <w:rPr/>
      </w:pPr>
      <w:r>
        <w:rPr/>
        <w:t>As a condition to the execution of this Agreement, Enron shall guarantee the payment obligations of ECT under this Agreement by executing and delivering Exhibit F (Guarantee), attached hereto.</w:t>
      </w:r>
    </w:p>
    <w:p>
      <w:pPr>
        <w:pStyle w:val="Heading2"/>
        <w:ind w:hanging="0" w:start="0"/>
        <w:rPr/>
      </w:pPr>
      <w:r>
        <w:rPr/>
        <w:t>FPL and ECT desire to enter into this Agreement relating to the sale and purchase of such Natural Gas, all as set forth herein.</w:t>
      </w:r>
    </w:p>
    <w:p>
      <w:pPr>
        <w:pStyle w:val="Heading2"/>
        <w:ind w:hanging="0" w:start="0"/>
        <w:rPr/>
      </w:pPr>
      <w:r>
        <w:rPr/>
        <w:t>Enron joins in this Agreement solely for the purposes expressed or referenced in Section 18 (Guarantee).</w:t>
      </w:r>
    </w:p>
    <w:p>
      <w:pPr>
        <w:pStyle w:val="Heading1"/>
        <w:ind w:hanging="0" w:start="0"/>
        <w:rPr/>
      </w:pPr>
      <w:bookmarkStart w:id="2" w:name="__RefHeading___Toc457017785"/>
      <w:bookmarkEnd w:id="2"/>
      <w:r>
        <w:rPr/>
        <w:t>DEFINITION OF TERMS</w:t>
      </w:r>
    </w:p>
    <w:p>
      <w:pPr>
        <w:pStyle w:val="Heading2"/>
        <w:ind w:hanging="0" w:start="0"/>
        <w:rPr/>
      </w:pPr>
      <w:r>
        <w:rPr>
          <w:u w:val="single"/>
        </w:rPr>
        <w:t>Agreement</w:t>
      </w:r>
      <w:r>
        <w:rPr/>
        <w:t>.  This Natural Gas Purchase Agreement, including Exhibits A, B, C, D, E and F, hereto.</w:t>
      </w:r>
    </w:p>
    <w:p>
      <w:pPr>
        <w:pStyle w:val="Heading2"/>
        <w:ind w:hanging="0" w:start="0"/>
        <w:rPr/>
      </w:pPr>
      <w:r>
        <w:rPr>
          <w:u w:val="single"/>
        </w:rPr>
        <w:t>BTU</w:t>
      </w:r>
      <w:r>
        <w:rPr/>
        <w:t>.  British thermal unit.  The quantity of heat required to raise the temperature of one (1) pound (avoirdupois) of water from fifty-eight and one-half degrees Fahrenheit (58.5 F) to fifty-nine and one-half degrees Fahrenheit (59.5 F) at a constant pressure of 14.73 PSIA.</w:t>
      </w:r>
    </w:p>
    <w:p>
      <w:pPr>
        <w:pStyle w:val="Heading2"/>
        <w:ind w:hanging="0" w:start="0"/>
        <w:rPr/>
      </w:pPr>
      <w:r>
        <w:rPr>
          <w:u w:val="single"/>
        </w:rPr>
        <w:t>Central Clock Time</w:t>
      </w:r>
      <w:r>
        <w:rPr/>
        <w:t xml:space="preserve">.  The Central Time, as adjusted for Daylight Savings Time and Standard Time. </w:t>
      </w:r>
    </w:p>
    <w:p>
      <w:pPr>
        <w:pStyle w:val="Heading2"/>
        <w:ind w:hanging="0" w:start="0"/>
        <w:rPr/>
      </w:pPr>
      <w:r>
        <w:rPr>
          <w:u w:val="single"/>
        </w:rPr>
        <w:t>Claims</w:t>
      </w:r>
      <w:r>
        <w:rPr/>
        <w:t>.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u w:val="single"/>
        </w:rPr>
        <w:t>Commission or FERC</w:t>
      </w:r>
      <w:r>
        <w:rPr/>
        <w:t>.  The Federal Energy Regulatory Commission or any successor regulatory agency or body, including the U.S. Congress.</w:t>
      </w:r>
    </w:p>
    <w:p>
      <w:pPr>
        <w:pStyle w:val="Heading2"/>
        <w:ind w:hanging="0" w:start="0"/>
        <w:rPr/>
      </w:pPr>
      <w:r>
        <w:rPr>
          <w:u w:val="single"/>
        </w:rPr>
        <w:t>Contract Price</w:t>
      </w:r>
      <w:r>
        <w:rPr/>
        <w:t>.  The price paid by FPL to ECT for Gas delivered to the Delivery Points pursuant to Section 9 of this Agreement.</w:t>
      </w:r>
    </w:p>
    <w:p>
      <w:pPr>
        <w:pStyle w:val="Heading2"/>
        <w:ind w:hanging="0" w:start="0"/>
        <w:rPr/>
      </w:pPr>
      <w:r>
        <w:rPr>
          <w:u w:val="single"/>
        </w:rPr>
        <w:t>Contract Termination Date</w:t>
      </w:r>
      <w:r>
        <w:rPr/>
        <w:t>.  February 28, 2010.</w:t>
      </w:r>
    </w:p>
    <w:p>
      <w:pPr>
        <w:pStyle w:val="Heading2"/>
        <w:ind w:hanging="0" w:start="0"/>
        <w:rPr/>
      </w:pPr>
      <w:r>
        <w:rPr>
          <w:u w:val="single"/>
        </w:rPr>
        <w:t>Delivery Points</w:t>
      </w:r>
      <w:r>
        <w:rPr/>
        <w:t>.  All primary Receipt Points and alternate Receipt Points, including in-line transfer points and pooling points to which FPL has rights under the FTS-1 Agreement and the FTS-2 Agreements, as such agreements may be amended from time to time, and any Future Delivery Points.</w:t>
      </w:r>
    </w:p>
    <w:p>
      <w:pPr>
        <w:pStyle w:val="Heading2"/>
        <w:ind w:hanging="0" w:start="0"/>
        <w:rPr/>
      </w:pPr>
      <w:r>
        <w:rPr>
          <w:u w:val="single"/>
        </w:rPr>
        <w:t>FGT</w:t>
      </w:r>
      <w:r>
        <w:rPr/>
        <w:t>.  Florida Gas Transmission Company.</w:t>
      </w:r>
    </w:p>
    <w:p>
      <w:pPr>
        <w:pStyle w:val="Heading2"/>
        <w:ind w:hanging="0" w:start="0"/>
        <w:rPr/>
      </w:pPr>
      <w:r>
        <w:rPr>
          <w:u w:val="single"/>
        </w:rPr>
        <w:t>FGT’s FERC Gas Tariff</w:t>
      </w:r>
      <w:r>
        <w:rPr/>
        <w:t>.  The Third Revised Volume No. 1 of FGT’s FERC Gas Tariff, as it may be amended from time to time.</w:t>
      </w:r>
    </w:p>
    <w:p>
      <w:pPr>
        <w:pStyle w:val="Heading2"/>
        <w:ind w:hanging="0" w:start="0"/>
        <w:rPr/>
      </w:pPr>
      <w:r>
        <w:rPr>
          <w:u w:val="single"/>
        </w:rPr>
        <w:t>FGT Zone 1</w:t>
      </w:r>
      <w:r>
        <w:rPr/>
        <w:t xml:space="preserve">.  The geographic area located between the suction side of FGT’s Compressor Station #2, located in Nueces County, Texas, and the suction side of FGT’s Compressor Station #7, located in Acadia Parish County, Louisiana. </w:t>
      </w:r>
    </w:p>
    <w:p>
      <w:pPr>
        <w:pStyle w:val="Heading2"/>
        <w:ind w:hanging="0" w:start="0"/>
        <w:rPr/>
      </w:pPr>
      <w:r>
        <w:rPr>
          <w:u w:val="single"/>
        </w:rPr>
        <w:t>FGT Zone 2</w:t>
      </w:r>
      <w:r>
        <w:rPr/>
        <w:t>. The geographic area located between the suction side of FGT’s Compressor Station #7, located in Acadia Parish County, Louisiana, and the suction side of FGT’s Compressor Station #8, located in East Baton Rouge Parish County, Louisiana.</w:t>
      </w:r>
    </w:p>
    <w:p>
      <w:pPr>
        <w:pStyle w:val="Heading2"/>
        <w:ind w:hanging="0" w:start="0"/>
        <w:rPr/>
      </w:pPr>
      <w:r>
        <w:rPr>
          <w:u w:val="single"/>
        </w:rPr>
        <w:t>FGT Zone 3</w:t>
      </w:r>
      <w:r>
        <w:rPr/>
        <w:t xml:space="preserve">.  The geographic area located between the suction side of FGT’s Compressor Station #8, located in East Baton Rouge Parish County, Louisiana, and the Exxon St. Regis Plant (DRN #38221), located in Santa Rosa County, Florida. </w:t>
      </w:r>
    </w:p>
    <w:p>
      <w:pPr>
        <w:pStyle w:val="Heading2"/>
        <w:ind w:hanging="0" w:start="0"/>
        <w:rPr/>
      </w:pPr>
      <w:r>
        <w:rPr>
          <w:u w:val="single"/>
        </w:rPr>
        <w:t>FGT Zone 2 Receipt Point Pool</w:t>
      </w:r>
      <w:r>
        <w:rPr/>
        <w:t>.  The in-line transfer point, as defined in FGT’s FERC Gas Tariff, located in FGT Zone 2 (compressor station number 8), which is designated as the point where FGT’s Zone 2 Receipt Points are aggregated and nominated.</w:t>
      </w:r>
    </w:p>
    <w:p>
      <w:pPr>
        <w:pStyle w:val="Heading2"/>
        <w:ind w:hanging="0" w:start="0"/>
        <w:rPr/>
      </w:pPr>
      <w:r>
        <w:rPr>
          <w:u w:val="single"/>
        </w:rPr>
        <w:t>FTS-1 Agreement</w:t>
      </w:r>
      <w:r>
        <w:rPr/>
        <w:t>.  That firm transportation agreement by and between FGT and FPL, dated November 1, 1989, as it may be amended from time to time.</w:t>
      </w:r>
    </w:p>
    <w:p>
      <w:pPr>
        <w:pStyle w:val="Heading2"/>
        <w:ind w:hanging="0" w:start="0"/>
        <w:rPr/>
      </w:pPr>
      <w:r>
        <w:rPr>
          <w:u w:val="single"/>
        </w:rPr>
        <w:t>FTS-2 Agreements</w:t>
      </w:r>
      <w:r>
        <w:rPr/>
        <w:t>.  Those firm transportation agreements by and between FGT and FPL, dated October 14, 1994, November 16, 1998, and July __, 1999, respectively, as the same may be amended from time to time.</w:t>
      </w:r>
    </w:p>
    <w:p>
      <w:pPr>
        <w:pStyle w:val="Heading2"/>
        <w:ind w:hanging="0" w:start="0"/>
        <w:rPr/>
      </w:pPr>
      <w:r>
        <w:rPr>
          <w:u w:val="single"/>
        </w:rPr>
        <w:t>Future Delivery Points</w:t>
      </w:r>
      <w:r>
        <w:rPr/>
        <w:t>.  Any receipt points set forth in future firm transportation or other service agreements between FGT or other Natural Gas service providers and FPL providing for the firm transportation of Natural Gas or other service for FPL that FPL designates as Delivery Points under this Agreement by providing notice of such designation to ECT pursuant to Section 19.1.3.</w:t>
      </w:r>
    </w:p>
    <w:p>
      <w:pPr>
        <w:pStyle w:val="Heading2"/>
        <w:ind w:hanging="0" w:start="0"/>
        <w:rPr/>
      </w:pPr>
      <w:r>
        <w:rPr>
          <w:u w:val="single"/>
        </w:rPr>
        <w:t>Gas Day</w:t>
      </w:r>
      <w:r>
        <w:rPr/>
        <w:t>.  A period of 24 consecutive hours beginning at the time of FGT’s gas day.</w:t>
      </w:r>
    </w:p>
    <w:p>
      <w:pPr>
        <w:pStyle w:val="Heading2"/>
        <w:ind w:hanging="0" w:start="0"/>
        <w:rPr/>
      </w:pPr>
      <w:r>
        <w:rPr>
          <w:i/>
          <w:u w:val="single"/>
        </w:rPr>
        <w:t>Inside FERC</w:t>
      </w:r>
      <w:r>
        <w:rPr>
          <w:u w:val="single"/>
        </w:rPr>
        <w:t xml:space="preserve"> Index Price – Zone 2</w:t>
      </w:r>
      <w:r>
        <w:rPr/>
        <w:t xml:space="preserve">.  The price for FGT’s Supply Zone 2 in the column labeled “Index” as published in the first issue for the applicable Month of </w:t>
      </w:r>
      <w:r>
        <w:rPr>
          <w:i/>
        </w:rPr>
        <w:t>Inside FERC’s Gas Market Report</w:t>
      </w:r>
      <w:r>
        <w:rPr/>
        <w:t xml:space="preserve"> in the table titled “Prices of Spot Gas Delivered to Pipelines.”  </w:t>
      </w:r>
    </w:p>
    <w:p>
      <w:pPr>
        <w:pStyle w:val="Heading2"/>
        <w:ind w:hanging="0" w:start="0"/>
        <w:rPr/>
      </w:pPr>
      <w:r>
        <w:rPr/>
        <w:t>“</w:t>
      </w:r>
      <w:r>
        <w:rPr>
          <w:i/>
          <w:u w:val="single"/>
        </w:rPr>
        <w:t>Inside FERC</w:t>
      </w:r>
      <w:r>
        <w:rPr>
          <w:u w:val="single"/>
        </w:rPr>
        <w:t xml:space="preserve"> Index Price – Zone 1, 2 or 3</w:t>
      </w:r>
      <w:r>
        <w:rPr/>
        <w:t xml:space="preserve">” means the price for FGT’s Supply Zone 1, 2 or 3 in the column labeled “Index” as published in the first issue for the applicable Month of </w:t>
      </w:r>
      <w:r>
        <w:rPr>
          <w:i/>
        </w:rPr>
        <w:t>Inside FERC’s Gas Market Report</w:t>
      </w:r>
      <w:r>
        <w:rPr/>
        <w:t xml:space="preserve"> in the table titled “Prices of Spot Gas Delivered to Pipelines.”</w:t>
      </w:r>
    </w:p>
    <w:p>
      <w:pPr>
        <w:pStyle w:val="Heading2"/>
        <w:ind w:hanging="0" w:start="0"/>
        <w:rPr/>
      </w:pPr>
      <w:r>
        <w:rPr/>
        <w:t>“</w:t>
      </w:r>
      <w:r>
        <w:rPr>
          <w:u w:val="single"/>
        </w:rPr>
        <w:t>Material Adverse Change</w:t>
      </w:r>
      <w:r>
        <w:rPr/>
        <w:t>” means a material change in the creditworthiness of either Party, which results in:  (i) as to FPL, FPL having a long-term debt, which is unsupported by third-party credit enhancement, that is rated by Standard &amp; Poors Corporation below BBB-, and (ii) as to ECT, Enron having long-term debt, which is unsupported by third party credit enhancement, that is rated by Standard &amp; Poors Corporation below BBB-.</w:t>
      </w:r>
    </w:p>
    <w:p>
      <w:pPr>
        <w:pStyle w:val="Heading2"/>
        <w:ind w:hanging="0" w:start="0"/>
        <w:rPr/>
      </w:pPr>
      <w:r>
        <w:rPr>
          <w:u w:val="single"/>
        </w:rPr>
        <w:t>MMBTU</w:t>
      </w:r>
      <w:r>
        <w:rPr/>
        <w:t>.  One million (1,000,000) BTU’s.</w:t>
      </w:r>
    </w:p>
    <w:p>
      <w:pPr>
        <w:pStyle w:val="Heading2"/>
        <w:ind w:hanging="0" w:start="0"/>
        <w:rPr/>
      </w:pPr>
      <w:r>
        <w:rPr>
          <w:u w:val="single"/>
        </w:rPr>
        <w:t>Natural Gas or Gas</w:t>
      </w:r>
      <w:r>
        <w:rPr/>
        <w:t>.  Natural gas, including, but not limited to, casinghead gas, gas from gas wells, and residue gas resulting from processing either casinghead gas or gas well gas, or both, meeting the standards and specifications of FGT’s Tariff.</w:t>
      </w:r>
    </w:p>
    <w:p>
      <w:pPr>
        <w:pStyle w:val="Heading2"/>
        <w:ind w:hanging="0" w:start="0"/>
        <w:rPr/>
      </w:pPr>
      <w:r>
        <w:rPr>
          <w:u w:val="single"/>
        </w:rPr>
        <w:t>Party or Parties</w:t>
      </w:r>
      <w:r>
        <w:rPr/>
        <w:t>.  FPL and/or ECT.</w:t>
      </w:r>
    </w:p>
    <w:p>
      <w:pPr>
        <w:pStyle w:val="Heading2"/>
        <w:ind w:hanging="0" w:start="0"/>
        <w:rPr/>
      </w:pPr>
      <w:r>
        <w:rPr>
          <w:u w:val="single"/>
        </w:rPr>
        <w:t>PSIA</w:t>
      </w:r>
      <w:r>
        <w:rPr/>
        <w:t>.  Pounds per square inch absolute.</w:t>
      </w:r>
    </w:p>
    <w:p>
      <w:pPr>
        <w:pStyle w:val="Heading2"/>
        <w:ind w:hanging="0" w:start="0"/>
        <w:rPr/>
      </w:pPr>
      <w:r>
        <w:rPr>
          <w:u w:val="single"/>
        </w:rPr>
        <w:t>PSIG</w:t>
      </w:r>
      <w:r>
        <w:rPr/>
        <w:t>.  Pounds per square inch gauge.</w:t>
      </w:r>
    </w:p>
    <w:p>
      <w:pPr>
        <w:pStyle w:val="Heading2"/>
        <w:ind w:hanging="0" w:start="0"/>
        <w:rPr/>
      </w:pPr>
      <w:r>
        <w:rPr>
          <w:u w:val="single"/>
        </w:rPr>
        <w:t>Receipt Points</w:t>
      </w:r>
      <w:r>
        <w:rPr/>
        <w:t>.  All primary and alternate Receipt Points, including in-line transfer points and pooling points to which FPL has rights under the Service Agreements.</w:t>
      </w:r>
    </w:p>
    <w:p>
      <w:pPr>
        <w:pStyle w:val="Heading2"/>
        <w:ind w:hanging="0" w:start="0"/>
        <w:rPr/>
      </w:pPr>
      <w:r>
        <w:rPr>
          <w:u w:val="single"/>
        </w:rPr>
        <w:t>Service Agreements</w:t>
      </w:r>
      <w:r>
        <w:rPr/>
        <w:t>.  The FTS-1 and FTS-2 Agreements, and, in addition, any future transportation agreements with any Natural Gas service providers, including FGT, to which FPL may be a party that FPL designates as a Service Agreement under this Agreement by providing notice of such designation to ECT pursuant to Section 19.1.3.</w:t>
      </w:r>
    </w:p>
    <w:p>
      <w:pPr>
        <w:pStyle w:val="Heading2"/>
        <w:ind w:hanging="0" w:start="0"/>
        <w:rPr/>
      </w:pPr>
      <w:r>
        <w:rPr>
          <w:u w:val="single"/>
        </w:rPr>
        <w:t>SNG’S FERC Gas Tariff</w:t>
      </w:r>
      <w:r>
        <w:rPr/>
        <w:t>.  The Seventh Revised Volume No. 1 of SNG’s FERC Gas Tariff, as it may be amended from time to time.</w:t>
      </w:r>
    </w:p>
    <w:p>
      <w:pPr>
        <w:pStyle w:val="Heading2"/>
        <w:ind w:hanging="0" w:start="0"/>
        <w:rPr/>
      </w:pPr>
      <w:r>
        <w:rPr>
          <w:u w:val="single"/>
        </w:rPr>
        <w:t>Southern Natural Gas Company (“SNG”)</w:t>
      </w:r>
      <w:r>
        <w:rPr/>
        <w:t>.  The owner and operator of the pipeline system into which certain Natural Gas sold by ECT to FPL under this Agreement may be delivered by ECT and received for redelivery to FGT for further redelivery to FPL under the terms and conditions of the FTS-2 Agreements.</w:t>
      </w:r>
    </w:p>
    <w:p>
      <w:pPr>
        <w:pStyle w:val="Heading2"/>
        <w:ind w:hanging="0" w:start="0"/>
        <w:rPr/>
      </w:pPr>
      <w:r>
        <w:rPr>
          <w:u w:val="single"/>
        </w:rPr>
        <w:t>Transaction Amount</w:t>
      </w:r>
      <w:r>
        <w:rPr/>
        <w:t>.  An amount in dollars, which may be either negative or positive, as may be negotiated and agreed to by the Parties pursuant to Section 7.1.2(b).</w:t>
      </w:r>
    </w:p>
    <w:p>
      <w:pPr>
        <w:pStyle w:val="Heading2"/>
        <w:ind w:hanging="0" w:start="0"/>
        <w:rPr/>
      </w:pPr>
      <w:r>
        <w:rPr>
          <w:u w:val="single"/>
        </w:rPr>
        <w:t>Working Day</w:t>
      </w:r>
      <w:r>
        <w:rPr/>
        <w:t>.  Any day Monday through Friday, exclusive of holidays, resulting in the close of business for either ECT or FPL, and exclusive of any Federal Banking Holidays for transactions in the United States and/or similar holidays for transactions in Canada and Mexico.</w:t>
      </w:r>
      <w:r>
        <w:br w:type="page"/>
      </w:r>
    </w:p>
    <w:p>
      <w:pPr>
        <w:pStyle w:val="Heading1"/>
        <w:ind w:hanging="0" w:start="0"/>
        <w:rPr/>
      </w:pPr>
      <w:bookmarkStart w:id="3" w:name="__RefHeading___Toc457017786"/>
      <w:bookmarkEnd w:id="3"/>
      <w:r>
        <w:rPr/>
        <w:t>TERM AND TERMINATION</w:t>
      </w:r>
    </w:p>
    <w:p>
      <w:pPr>
        <w:pStyle w:val="Heading2"/>
        <w:ind w:hanging="0" w:start="0"/>
        <w:rPr/>
      </w:pPr>
      <w:r>
        <w:rPr/>
        <w:t>This Agreement shall be effective as of 8:00 a.m. Central Clock Time (“CCT”), August 1, 1999, and shall remain in full force and effect through the Contract Termination Date.</w:t>
      </w:r>
    </w:p>
    <w:p>
      <w:pPr>
        <w:pStyle w:val="Heading2"/>
        <w:ind w:hanging="0" w:start="0"/>
        <w:rPr/>
      </w:pPr>
      <w:r>
        <w:rPr/>
        <w:t xml:space="preserve">At any time during the term of this Agreement, if FPL sells, assigns or otherwise relinquishes control over one or more of its electric generation plants, or otherwise has a change in its business operations as a result of electric industry restructuring (“Business Change”), FPL has the right, but not the obligation, to (i) buyout of all or a segment of this Agreement (“Buyout”) upon providing written notice to ECT, which notice shall be given no later than ninety (90) Days after the date of the Business Change; and (ii) establish the segment(s) of the Agreement subject to FPL’s Buyout election (“Buyout Segment(s)”) and the date on which such Buyout will be effective and such Buyout Segment(s) no longer will be in effect.  In the event of such a Buyout, there shall be a Buyout Payment for the applicable Buyout Segment(s), in accordance with Sections 4.3 and 4.4.  </w:t>
      </w:r>
    </w:p>
    <w:p>
      <w:pPr>
        <w:pStyle w:val="Heading3"/>
        <w:ind w:hanging="0" w:start="0"/>
        <w:rPr/>
      </w:pPr>
      <w:r>
        <w:rPr/>
        <w:t>As set forth in Exhibit No. D, each Buyout Payment shall include ______.  If FPL exercises its rights under Section 4.2, FPL and ECT shall work in good faith to agree on ___________.  Unless otherwise mutually agreed, if ECT and FPL are unable to agree on ________ within ten (10) Working Days, the provisions of Sections 4.2.2 through 4.2.5 shall apply.</w:t>
      </w:r>
    </w:p>
    <w:p>
      <w:pPr>
        <w:pStyle w:val="Heading3"/>
        <w:ind w:hanging="0" w:start="0"/>
        <w:rPr/>
      </w:pPr>
      <w:r>
        <w:rPr/>
        <w:t>Ninety (90) days prior to the beginning of each contract year, FPL and ECT shall submit to each other in writing, in priority order, three (3) to five (5) independent energy trading entities  with experience in energy trading transactions who have committed to serve as an independent party if chosen (“Independent Party”).  FPL and ECT shall submit written verification that none of the Independent Parties on their respective list is directly or indirectly affiliated with, or financially connected with FPL or ECT, respectively, or is currently on retainer or doing business (“Business Relationship”) with any affiliate, subsidiary, or joint venture partner of FPL, ECT and/or Enron, where such Business Relationship constitutes or constituted more than ten (10) percent of the gross revenues of the Independent Party.</w:t>
      </w:r>
    </w:p>
    <w:p>
      <w:pPr>
        <w:pStyle w:val="Heading3"/>
        <w:ind w:hanging="0" w:start="0"/>
        <w:rPr/>
      </w:pPr>
      <w:r>
        <w:rPr/>
        <w:t>A single, joint independent party (“Joint Independent Party”) shall be selected from the Independent Party lists of FPL and ECT in Section 4.2.2, and such Joint Independent Party shall be the first Independent Party common to both lists.  In the event that such Joint Independent Party is not available, the next common Independent Party on the lists of FPL and ECT shall be selected as the Joint Independent Party.  In the event there is no common Independent Party, the Joint Independent Party shall be selected pursuant to Section 20.</w:t>
      </w:r>
    </w:p>
    <w:p>
      <w:pPr>
        <w:pStyle w:val="Heading3"/>
        <w:ind w:hanging="0" w:start="0"/>
        <w:rPr>
          <w:sz w:val="26"/>
        </w:rPr>
      </w:pPr>
      <w:r>
        <w:rPr/>
        <w:t xml:space="preserve">In the event that FPL and ECT do not reach agreement on “Q” under Section 4.2.1, the “Q” shall be determined by the Joint Independent Party under the process set forth in Sections 4.2.5-4.2.7 and the determination of the “Q” shall be binding on FPL and ECT.  </w:t>
      </w:r>
      <w:r>
        <w:rPr>
          <w:b/>
        </w:rPr>
        <w:t>[NOTE:  “Q” IS USED TO DENOTE WHATEVER VALUE/AMOUNT IS AGREED.]</w:t>
      </w:r>
    </w:p>
    <w:p>
      <w:pPr>
        <w:pStyle w:val="Heading3"/>
        <w:ind w:hanging="0" w:start="0"/>
        <w:rPr/>
      </w:pPr>
      <w:r>
        <w:rPr/>
        <w:t>FPL and ECT shall submit within three (3) Working Days of the failure to reach agreement under Section 4.2.1 to the Joint Independent Party in writing (1) the “Q” to which it is willing to agree and (2) support for its “Q” not to exceed five (5) pages inclusive of tables, charts, exhibits and other documentation.</w:t>
      </w:r>
    </w:p>
    <w:p>
      <w:pPr>
        <w:pStyle w:val="Heading3"/>
        <w:ind w:hanging="0" w:start="0"/>
        <w:rPr/>
      </w:pPr>
      <w:r>
        <w:rPr/>
        <w:t>The Joint Independent Party shall determine the “Q” by selecting either the “Q” submitted by FPL or the “Q” selected by ECT within two (2) Working Days of the receipt of the information in Section 4.2.5.  No other “Q” determination shall be made.  The Joint Independent Party shall report its determination of the “Q” in writing to FPL and ECT.</w:t>
      </w:r>
    </w:p>
    <w:p>
      <w:pPr>
        <w:pStyle w:val="Heading3"/>
        <w:ind w:hanging="0" w:start="0"/>
        <w:rPr/>
      </w:pPr>
      <w:r>
        <w:rPr/>
        <w:t>The determination of a “Q” shall be final, not subject to arbitration, non-appealable and binding upon FPL and ECT.</w:t>
      </w:r>
    </w:p>
    <w:p>
      <w:pPr>
        <w:pStyle w:val="Heading2"/>
        <w:ind w:hanging="0" w:start="0"/>
        <w:rPr/>
      </w:pPr>
      <w:r>
        <w:rPr/>
        <w:t>FPL and ECT shall share equally the costs of using a Joint Independent Party.</w:t>
      </w:r>
    </w:p>
    <w:p>
      <w:pPr>
        <w:pStyle w:val="Heading2"/>
        <w:ind w:hanging="0" w:start="0"/>
        <w:rPr/>
      </w:pPr>
      <w:r>
        <w:rPr/>
        <w:t>The Buyout Payment(s) associated with any Buyout Segment(s) shall be as set forth in Exhibit D.</w:t>
      </w:r>
    </w:p>
    <w:p>
      <w:pPr>
        <w:pStyle w:val="Heading2"/>
        <w:ind w:hanging="0" w:start="0"/>
        <w:rPr/>
      </w:pPr>
      <w:r>
        <w:rPr/>
        <w:t>The Buyout Payment shall be adjusted such that if FPL elects to terminate less than 100 percent of any applicable Buyout Segment, the Buyout Payment for such Buyout Segment will be adjusted to equal to the product of (1) the 100 percent Buyout Payment for such Buyout Segment, and (2) the percentage of the Buyout Segment elected by FPL.</w:t>
      </w:r>
      <w:r>
        <w:br w:type="page"/>
      </w:r>
    </w:p>
    <w:p>
      <w:pPr>
        <w:pStyle w:val="Heading1"/>
        <w:ind w:hanging="0" w:start="0"/>
        <w:rPr/>
      </w:pPr>
      <w:bookmarkStart w:id="4" w:name="__RefHeading___Toc457017787"/>
      <w:bookmarkEnd w:id="4"/>
      <w:r>
        <w:rPr/>
        <w:t>TITLE, WARRANTIES, RISK OF LOSS AND INDEMNIFICATION</w:t>
      </w:r>
    </w:p>
    <w:p>
      <w:pPr>
        <w:pStyle w:val="Heading2"/>
        <w:ind w:hanging="0" w:start="0"/>
        <w:rPr/>
      </w:pPr>
      <w:r>
        <w:rPr/>
        <w:t>Risk of loss for, and title to, Natural Gas being sold and delivered to FPL by ECT shall pass from ECT to FPL at the Delivery Points.</w:t>
      </w:r>
    </w:p>
    <w:p>
      <w:pPr>
        <w:pStyle w:val="Heading2"/>
        <w:ind w:hanging="0" w:start="0"/>
        <w:rPr/>
      </w:pPr>
      <w:r>
        <w:rPr/>
        <w:t>ECT hereby warrants:  (i) title to all Natural Gas sold by ECT to FPL and delivered to the Delivery Points by ECT; (ii) that ECT has the right to sell and deliver such Natural Gas; and (iii) that all such Natural Gas is owned or controlled by ECT free and clear from all liens, adverse claims, any and all taxes, assessments, and any other encumbrances when so sold and delivered to FPL.</w:t>
      </w:r>
    </w:p>
    <w:p>
      <w:pPr>
        <w:pStyle w:val="Heading2"/>
        <w:ind w:hanging="0" w:start="0"/>
        <w:rPr/>
      </w:pPr>
      <w:r>
        <w:rPr/>
        <w:t>ECT shall indemnify, save and hold FPL and its parent, directors, officers, employees, agents, subsidiaries, affiliates, successors and assigns free and harmless from:  (i) all suits, actions, debts, accounts, damages, costs, losses and expenses, including attorneys’ fees, arising from all actions or adverse claims of any and all persons with respect to the Natural Gas sold and delivered by ECT hereunder or from royalties, overriding royalties, or other payments with respect thereto, and (ii) taxes, licenses, fees, or charges on such Natural Gas or on the sale of such Natural Gas to ECT which are applicable before the title to the Natural Gas passes to FPL hereunder.</w:t>
      </w:r>
    </w:p>
    <w:p>
      <w:pPr>
        <w:pStyle w:val="Heading2"/>
        <w:ind w:hanging="0" w:start="0"/>
        <w:rPr/>
      </w:pPr>
      <w:r>
        <w:rPr/>
        <w:t>In the event any Claim of any character whatsoever is asserted with respect to the ownership of or title to any of said Natural Gas, FPL may retain amounts equal to the quantities of Natural Gas up to the amount of such Claim, multiplied by the purchase price associated with such Gas until (i) such Claim has been finally settled or (ii) ECT shall have furnished a bond to FPL or corporate assurance satisfactory to FPL and conditioned for the protection of FPL, with respect to such Claim as security for the performance of ECT’s obligations with respect to such Claim.</w:t>
      </w:r>
      <w:r>
        <w:br w:type="page"/>
      </w:r>
    </w:p>
    <w:p>
      <w:pPr>
        <w:pStyle w:val="Heading1"/>
        <w:ind w:hanging="0" w:start="0"/>
        <w:rPr/>
      </w:pPr>
      <w:bookmarkStart w:id="5" w:name="__RefHeading___Toc457017788"/>
      <w:bookmarkEnd w:id="5"/>
      <w:r>
        <w:rPr/>
        <w:t>QUALITY AND QUANTITY MEASUREMENT</w:t>
      </w:r>
    </w:p>
    <w:p>
      <w:pPr>
        <w:pStyle w:val="Heading2"/>
        <w:ind w:hanging="0" w:start="0"/>
        <w:rPr/>
      </w:pPr>
      <w:r>
        <w:rPr/>
        <w:t>All Natural Gas sold and delivered by ECT at the Delivery Points shall be of merchantable quality and shall, upon delivery, conform to all of the pressure limitations, quality specifications, and heating value specified in the Service Agreements and in the General Terms and Conditions of FGT’s FERC Gas Tariff or SNG’s FERC Gas Tariff, or any other Natural Gas service provider providing service to FPL, whichever is applicable, including, but not limited to, specific adherence to the specifications regarding the liquid content of Gas so sold and delivered (“Quality Standards”).  The Quality Standards shall be determined by the applicable industry standards used by FGT, SNG or any other Natural Gas service provider providing service to FPL under their respective tariff.</w:t>
      </w:r>
    </w:p>
    <w:p>
      <w:pPr>
        <w:pStyle w:val="Heading2"/>
        <w:ind w:hanging="0" w:start="0"/>
        <w:rPr/>
      </w:pPr>
      <w:r>
        <w:rPr/>
        <w:t>In the event that the Natural Gas tendered by ECT hereunder at the Delivery Points fails to meet any of the Quality Standards set forth in Section 6.1, then ECT shall cease, or cause to be ceased, delivery of the Natural Gas failing to meet such Quality Standards, and shall as soon as possible provide for delivery of Natural Gas meeting all Quality Standards, and ECT shall be liable for any and all adverse claims of any character whatsoever resulting from the delivery to FGT, SNG, or any other Natural Gas service provider providing service to FPL, whichever is applicable, of any Natural Gas failing to meet such Quality Standards.</w:t>
      </w:r>
    </w:p>
    <w:p>
      <w:pPr>
        <w:pStyle w:val="Heading2"/>
        <w:ind w:hanging="0" w:start="0"/>
        <w:rPr/>
      </w:pPr>
      <w:r>
        <w:rPr/>
        <w:t>Delivery pressure of the Natural Gas tendered by ECT hereunder at the designated Delivery Points must be sufficient to enter FGT’s, SNG’s pipeline systems, or the systems of any other Natural Gas service provider providing service to FPL, against the pressure existing on such pipelines at the time of delivery.</w:t>
      </w:r>
    </w:p>
    <w:p>
      <w:pPr>
        <w:pStyle w:val="Heading2"/>
        <w:ind w:hanging="0" w:start="0"/>
        <w:rPr/>
      </w:pPr>
      <w:r>
        <w:rPr/>
        <w:t>The quantity of Natural Gas purchased from ECT by FPL shall be determined by measurement and/or allocation, as applicable, by FGT, SNG, or the systems of any other Natural Gas service provider providing service to FPL, at the Delivery Points.</w:t>
      </w:r>
    </w:p>
    <w:p>
      <w:pPr>
        <w:pStyle w:val="Heading2"/>
        <w:ind w:hanging="0" w:start="0"/>
        <w:rPr/>
      </w:pPr>
      <w:r>
        <w:rPr/>
        <w:t>FPL, on its own or at the request of ECT, shall have the right to inspect any measuring, testing equipment charts and other measurement or testing data, in use at the Delivery Points, in accordance with the Service Agreements, and the terms and conditions of the Gas Tariffs of FGT, SNG, or the systems of any other Natural Gas service provider providing service to FPL, whichever is applicable.</w:t>
      </w:r>
      <w:r>
        <w:br w:type="page"/>
      </w:r>
    </w:p>
    <w:p>
      <w:pPr>
        <w:pStyle w:val="Heading1"/>
        <w:ind w:hanging="0" w:start="0"/>
        <w:rPr/>
      </w:pPr>
      <w:bookmarkStart w:id="6" w:name="__RefHeading___Toc457017789"/>
      <w:bookmarkEnd w:id="6"/>
      <w:r>
        <w:rPr/>
        <w:t>SALES QUANTITIES</w:t>
      </w:r>
    </w:p>
    <w:p>
      <w:pPr>
        <w:pStyle w:val="Heading2"/>
        <w:ind w:hanging="0" w:start="0"/>
        <w:rPr/>
      </w:pPr>
      <w:r>
        <w:rPr/>
        <w:t>As of the effective date of this Agreement through February 28, 2010, ECT shall be obligated to deliver the Daily Contract Quantities (“DCQ”) to FPL and FPL shall be obligated to take the DCQ from ECT, which DCQ shall equal the Base Quantities in Section 7.1.1, plus or minus any adjustments to the Base Quantities under Section 7.1.2.</w:t>
      </w:r>
    </w:p>
    <w:p>
      <w:pPr>
        <w:pStyle w:val="Heading3"/>
        <w:ind w:hanging="0" w:start="0"/>
        <w:rPr>
          <w:u w:val="single"/>
        </w:rPr>
      </w:pPr>
      <w:r>
        <w:rPr>
          <w:u w:val="single"/>
        </w:rPr>
        <w:t>BASE QUANTITIES</w:t>
      </w:r>
    </w:p>
    <w:p>
      <w:pPr>
        <w:pStyle w:val="Normal"/>
        <w:ind w:start="2160" w:end="0"/>
        <w:rPr/>
      </w:pPr>
      <w:r>
        <w:rPr>
          <w:u w:val="single"/>
        </w:rPr>
        <w:t>Period 1:  Aug. 1, 1999 through June 30, 2001</w:t>
      </w:r>
      <w:r>
        <w:rPr/>
        <w:tab/>
      </w:r>
      <w:r>
        <w:rPr>
          <w:u w:val="single"/>
        </w:rPr>
        <w:t>Quantities</w:t>
      </w:r>
    </w:p>
    <w:p>
      <w:pPr>
        <w:pStyle w:val="Normal"/>
        <w:ind w:start="2160" w:end="0"/>
        <w:rPr/>
      </w:pPr>
      <w:r>
        <w:rPr/>
        <w:t>Winter (October – April)</w:t>
        <w:tab/>
        <w:tab/>
        <w:tab/>
        <w:tab/>
        <w:t>232,000 MMBtu/day</w:t>
      </w:r>
    </w:p>
    <w:p>
      <w:pPr>
        <w:pStyle w:val="Normal"/>
        <w:ind w:start="2160" w:end="0"/>
        <w:rPr/>
      </w:pPr>
      <w:r>
        <w:rPr/>
        <w:t>Summer (May – September)</w:t>
        <w:tab/>
        <w:tab/>
        <w:tab/>
        <w:tab/>
        <w:t>326,000 MMBtu/day</w:t>
      </w:r>
    </w:p>
    <w:p>
      <w:pPr>
        <w:pStyle w:val="Normal"/>
        <w:ind w:start="2160" w:end="0"/>
        <w:rPr/>
      </w:pPr>
      <w:r>
        <w:rPr/>
      </w:r>
    </w:p>
    <w:p>
      <w:pPr>
        <w:pStyle w:val="Normal"/>
        <w:ind w:start="2160" w:end="0"/>
        <w:rPr/>
      </w:pPr>
      <w:r>
        <w:rPr>
          <w:u w:val="single"/>
        </w:rPr>
        <w:t>Period 2:  July 1, 2001 through June 30, 2003</w:t>
      </w:r>
      <w:r>
        <w:rPr/>
        <w:tab/>
      </w:r>
      <w:r>
        <w:rPr>
          <w:u w:val="single"/>
        </w:rPr>
        <w:t>Quantities</w:t>
      </w:r>
    </w:p>
    <w:p>
      <w:pPr>
        <w:pStyle w:val="Normal"/>
        <w:ind w:start="2160" w:end="0"/>
        <w:rPr/>
      </w:pPr>
      <w:r>
        <w:rPr/>
        <w:t>Winter (October – April)</w:t>
        <w:tab/>
        <w:tab/>
        <w:tab/>
        <w:tab/>
        <w:t>282,000 MMBtu/day</w:t>
      </w:r>
    </w:p>
    <w:p>
      <w:pPr>
        <w:pStyle w:val="Normal"/>
        <w:ind w:start="2160" w:end="0"/>
        <w:rPr/>
      </w:pPr>
      <w:r>
        <w:rPr/>
        <w:t>Summer (May – September)</w:t>
        <w:tab/>
        <w:tab/>
        <w:tab/>
        <w:tab/>
        <w:t>376,000 MMBtu/day</w:t>
      </w:r>
    </w:p>
    <w:p>
      <w:pPr>
        <w:pStyle w:val="Normal"/>
        <w:ind w:start="2160" w:end="0"/>
        <w:rPr/>
      </w:pPr>
      <w:r>
        <w:rPr/>
      </w:r>
    </w:p>
    <w:p>
      <w:pPr>
        <w:pStyle w:val="Normal"/>
        <w:ind w:start="2160" w:end="0"/>
        <w:rPr/>
      </w:pPr>
      <w:r>
        <w:rPr>
          <w:u w:val="single"/>
        </w:rPr>
        <w:t>Period 3:  July 1, 2003 through July 31, 2005</w:t>
      </w:r>
      <w:r>
        <w:rPr/>
        <w:tab/>
      </w:r>
      <w:r>
        <w:rPr>
          <w:u w:val="single"/>
        </w:rPr>
        <w:t>Quantities</w:t>
      </w:r>
    </w:p>
    <w:p>
      <w:pPr>
        <w:pStyle w:val="Normal"/>
        <w:ind w:start="2160" w:end="0"/>
        <w:rPr/>
      </w:pPr>
      <w:r>
        <w:rPr/>
        <w:t>Winter (October – April)</w:t>
        <w:tab/>
        <w:tab/>
        <w:tab/>
        <w:tab/>
        <w:t>332,000 MMBtu/day</w:t>
      </w:r>
    </w:p>
    <w:p>
      <w:pPr>
        <w:pStyle w:val="Normal"/>
        <w:ind w:start="2160" w:end="0"/>
        <w:rPr/>
      </w:pPr>
      <w:r>
        <w:rPr/>
        <w:t>Summer (May – September)</w:t>
        <w:tab/>
        <w:tab/>
        <w:tab/>
        <w:tab/>
        <w:t>426,000 MMBtu/day</w:t>
      </w:r>
    </w:p>
    <w:p>
      <w:pPr>
        <w:pStyle w:val="Normal"/>
        <w:ind w:start="2160" w:end="0"/>
        <w:rPr/>
      </w:pPr>
      <w:r>
        <w:rPr/>
      </w:r>
    </w:p>
    <w:p>
      <w:pPr>
        <w:pStyle w:val="Normal"/>
        <w:ind w:start="2160" w:end="0"/>
        <w:rPr/>
      </w:pPr>
      <w:r>
        <w:rPr>
          <w:u w:val="single"/>
        </w:rPr>
        <w:t>Period 4:  Aug. 1, 2005 through Feb. 28, 2010</w:t>
      </w:r>
      <w:r>
        <w:rPr/>
        <w:tab/>
      </w:r>
      <w:r>
        <w:rPr>
          <w:u w:val="single"/>
        </w:rPr>
        <w:t>Quantities</w:t>
      </w:r>
    </w:p>
    <w:p>
      <w:pPr>
        <w:pStyle w:val="Normal"/>
        <w:ind w:start="2160" w:end="0"/>
        <w:rPr/>
      </w:pPr>
      <w:r>
        <w:rPr/>
        <w:t>Winter (October – April)</w:t>
        <w:tab/>
        <w:tab/>
        <w:tab/>
        <w:tab/>
        <w:t>332,000 MMBtu/day</w:t>
      </w:r>
    </w:p>
    <w:p>
      <w:pPr>
        <w:pStyle w:val="Normal"/>
        <w:ind w:start="2160" w:end="0"/>
        <w:rPr/>
      </w:pPr>
      <w:r>
        <w:rPr/>
        <w:t>Summer (May – September)</w:t>
        <w:tab/>
        <w:tab/>
        <w:tab/>
        <w:tab/>
        <w:t>400,000 MMBtu/day</w:t>
      </w:r>
    </w:p>
    <w:p>
      <w:pPr>
        <w:pStyle w:val="Normal"/>
        <w:rPr/>
      </w:pPr>
      <w:r>
        <w:rPr/>
      </w:r>
    </w:p>
    <w:p>
      <w:pPr>
        <w:pStyle w:val="Heading3"/>
        <w:ind w:hanging="0" w:start="0"/>
        <w:rPr/>
      </w:pPr>
      <w:r>
        <w:rPr/>
        <w:t>FPL shall have the right to adjust (increase or decrease) the Base Quantities for any such month by an amount up to 50,000 MMBtu/day as set forth below.</w:t>
      </w:r>
    </w:p>
    <w:p>
      <w:pPr>
        <w:pStyle w:val="Heading4"/>
        <w:ind w:hanging="0" w:start="0"/>
        <w:rPr/>
      </w:pPr>
      <w:r>
        <w:rPr/>
        <w:t>FPL shall be obligated, (i) as to Summer (May-September) Base Quantities adjustments, on or before September 30 of each full year of the Agreement, to increase or decrease the Base Quantities by amounts sufficient to cause the average aggregate Summer DCQ to equal the Base Quantities per day set forth for the applicable Period in Section 7.1.1, and (ii) as to Winter (October-April) Base Quantities adjustments, on or before April 30 of each full year of the Agreement, to increase or decrease Base Quantities by amounts sufficient to cause the average aggregate Winter DCQ to equal the Base Quantities per day set forth for the applicable Period in Section 7.1.1.  In no event shall FPL’s DCQ for any day during any month vary by more than 50,000 MMBtu per day from the applicable Base Quantities.</w:t>
      </w:r>
    </w:p>
    <w:p>
      <w:pPr>
        <w:pStyle w:val="Heading4"/>
        <w:ind w:hanging="0" w:start="0"/>
        <w:rPr/>
      </w:pPr>
      <w:r>
        <w:rPr/>
        <w:t>FPL’s rights under this Section 7.1.2 are subject to (i) FPL providing written notice to ECT no less than five (5) days prior to the first day of the first month in a sequence of two (2) or more months, wherein, for the first month, FPL elects to increase or decrease the Base Quantities for such month(s), and for the subsequent month(s), FPL elects to increase or decrease the Base Quantities for such month(s) to exactly equal the corresponding increase or decrease in the prior month(s); and (ii) FPL and ECT negotiating in good faith and agreeing upon, within one (1) day of FPL’s notice, a Transaction Amount associated with any increase(s) or decrease(s) in the Base Quantities for any month.  Any such Transaction Amount could be a positive or negative number that would either increase or decrease, respectively, the invoice amount for the first month.  If FPL and ECT do not agree to a Transaction Amount associated with any increase(s) or decrease(s) in the Base Quantities, FPL shall have the right to terminate, in whole or in part, its notice to exercise its rights under this Section 7.1.2.</w:t>
      </w:r>
    </w:p>
    <w:p>
      <w:pPr>
        <w:pStyle w:val="Heading2"/>
        <w:ind w:hanging="0" w:start="0"/>
        <w:rPr/>
      </w:pPr>
      <w:r>
        <w:rPr/>
        <w:t>Fuel Quantities for the DCQ shall be determined as follows:</w:t>
      </w:r>
    </w:p>
    <w:p>
      <w:pPr>
        <w:pStyle w:val="Heading3"/>
        <w:ind w:hanging="0" w:start="0"/>
        <w:rPr/>
      </w:pPr>
      <w:r>
        <w:rPr/>
        <w:t>The “Fuel Rate” shall equal the then current fuel reimbursement percentage for transportation capacity under the applicable Service Agreements, as in effect.</w:t>
      </w:r>
    </w:p>
    <w:p>
      <w:pPr>
        <w:pStyle w:val="Heading3"/>
        <w:ind w:hanging="0" w:start="0"/>
        <w:rPr/>
      </w:pPr>
      <w:r>
        <w:rPr/>
        <w:t>The DCQ shall be increased to account for fuel, which shall equal the portion of the DCQ under the applicable Service Agreements, multiplied by the applicable Fuel Rate.</w:t>
      </w:r>
    </w:p>
    <w:p>
      <w:pPr>
        <w:pStyle w:val="Heading3"/>
        <w:ind w:hanging="0" w:start="0"/>
        <w:rPr/>
      </w:pPr>
      <w:r>
        <w:rPr/>
        <w:t>Fuel Quantities for the DCQ shall be allocated by FGT Zone in the same proportion as the Base Quantities are allocated among Delivery Points for pricing purposes, as set forth on Exhibit C.</w:t>
      </w:r>
    </w:p>
    <w:p>
      <w:pPr>
        <w:pStyle w:val="Heading2"/>
        <w:numPr>
          <w:ilvl w:val="0"/>
          <w:numId w:val="0"/>
        </w:numPr>
        <w:ind w:hanging="0" w:start="720" w:end="0"/>
        <w:rPr/>
      </w:pPr>
      <w:r>
        <w:rPr/>
      </w:r>
      <w:r>
        <w:br w:type="page"/>
      </w:r>
    </w:p>
    <w:p>
      <w:pPr>
        <w:pStyle w:val="Heading1"/>
        <w:numPr>
          <w:ilvl w:val="0"/>
          <w:numId w:val="0"/>
        </w:numPr>
        <w:ind w:hanging="72" w:start="72" w:end="0"/>
        <w:rPr/>
      </w:pPr>
      <w:r>
        <w:rPr/>
      </w:r>
    </w:p>
    <w:p>
      <w:pPr>
        <w:pStyle w:val="Heading1"/>
        <w:ind w:hanging="0" w:start="0"/>
        <w:rPr/>
      </w:pPr>
      <w:bookmarkStart w:id="7" w:name="__RefHeading___Toc457017790"/>
      <w:bookmarkEnd w:id="7"/>
      <w:r>
        <w:rPr/>
        <w:t>delivery points</w:t>
      </w:r>
    </w:p>
    <w:p>
      <w:pPr>
        <w:pStyle w:val="Heading2"/>
        <w:ind w:hanging="0" w:start="0"/>
        <w:rPr/>
      </w:pPr>
      <w:r>
        <w:rPr/>
        <w:t xml:space="preserve">There shall be multiple Delivery Points into FGT based upon FPL’s Receipt Points in the Service Agreements, as amended from time to time.  The Natural Gas delivery by ECT shall be allocated among the Delivery Points as set forth on Exhibit C.  Such Delivery Points may be changed from time to time at FPL’s request and with the mutual agreement of both Parties to include any Future Delivery Points. </w:t>
      </w:r>
    </w:p>
    <w:p>
      <w:pPr>
        <w:pStyle w:val="Heading2"/>
        <w:ind w:hanging="0" w:start="0"/>
        <w:rPr/>
      </w:pPr>
      <w:r>
        <w:rPr/>
        <w:t>Changes by ECT to the initial schedule of specific initial Delivery Points in Exhibit C shall be made as follows:</w:t>
      </w:r>
    </w:p>
    <w:p>
      <w:pPr>
        <w:pStyle w:val="Heading4"/>
        <w:ind w:hanging="0" w:start="0"/>
        <w:rPr/>
      </w:pPr>
      <w:r>
        <w:rPr/>
        <w:t xml:space="preserve">ECT may request FPL to add or delete any Delivery Points or revise current quantities at any Delivery Points.  </w:t>
      </w:r>
    </w:p>
    <w:p>
      <w:pPr>
        <w:pStyle w:val="Heading4"/>
        <w:ind w:hanging="0" w:start="0"/>
        <w:rPr/>
      </w:pPr>
      <w:r>
        <w:rPr/>
        <w:t>ECT’s request is subject to FPL’s approval, such approval not to be unreasonably withheld.</w:t>
      </w:r>
    </w:p>
    <w:p>
      <w:pPr>
        <w:pStyle w:val="Heading4"/>
        <w:ind w:hanging="0" w:start="0"/>
        <w:rPr/>
      </w:pPr>
      <w:r>
        <w:rPr/>
        <w:t>If FPL approves ECT’s request and elects to partially or fully accommodate the request by using Delivery Points that FPL controls outside of this Agreement, then the Parties shall so amend Exhibit C in writing within five (5) Working Days after FPL approves ECT’s request.</w:t>
      </w:r>
    </w:p>
    <w:p>
      <w:pPr>
        <w:pStyle w:val="Heading4"/>
        <w:ind w:hanging="0" w:start="0"/>
        <w:rPr/>
      </w:pPr>
      <w:r>
        <w:rPr/>
        <w:t>To the extent FPL approves ECT’s request under Section 8.3 but does not elect or cannot partially or fully accommodate ECT’s request by using Delivery Points that FPL controls outside of this Agreement, then FPL shall request FGT to amend the applicable Service Agreements to reflect ECT’s request.  In the event that FPL’s request is accepted by FGT, the Parties will so amend Exhibit C in writing within five (5) Working Days after FGT’s acceptance of FPL’s request.  In the event that FPL’s request is denied by FGT, ECT’s obligations under this Agreement shall remain unchanged.</w:t>
      </w:r>
    </w:p>
    <w:p>
      <w:pPr>
        <w:pStyle w:val="BodyTextIndent"/>
        <w:ind w:hanging="720" w:start="2160" w:end="0"/>
        <w:rPr/>
      </w:pPr>
      <w:r>
        <w:rPr/>
        <w:t>8.3</w:t>
        <w:tab/>
        <w:t>Unless otherwise mutually agreed by a written amendment to Exhibit A, any change in Delivery Point(s) or Delivery Point allocation shall not affect the Contract Price.</w:t>
        <w:tab/>
      </w:r>
      <w:r>
        <w:br w:type="page"/>
      </w:r>
    </w:p>
    <w:p>
      <w:pPr>
        <w:pStyle w:val="Heading1"/>
        <w:ind w:hanging="0" w:start="0"/>
        <w:rPr/>
      </w:pPr>
      <w:bookmarkStart w:id="8" w:name="__RefHeading___Toc457017791"/>
      <w:bookmarkEnd w:id="8"/>
      <w:r>
        <w:rPr/>
        <w:t>CONTRACT PRICE</w:t>
      </w:r>
    </w:p>
    <w:p>
      <w:pPr>
        <w:pStyle w:val="Heading2"/>
        <w:ind w:hanging="0" w:start="0"/>
        <w:rPr/>
      </w:pPr>
      <w:r>
        <w:rPr/>
        <w:t xml:space="preserve">For the Base Quantities, FPL shall pay ECT a Contract Price per MMBtu each month equal to the </w:t>
      </w:r>
      <w:r>
        <w:rPr>
          <w:i/>
        </w:rPr>
        <w:t>Inside FERC</w:t>
      </w:r>
      <w:r>
        <w:rPr/>
        <w:t xml:space="preserve"> Index Price – Zone 1, 2 or 3, as set forth on Exhibit A, minus $0.0100/MMBtu.  The Contract Price per MMBtu each month for any increases in the Base Quantities pursuant to Section 7.1.2 shall be equal to </w:t>
      </w:r>
      <w:r>
        <w:rPr>
          <w:i/>
        </w:rPr>
        <w:t>Inside FERC</w:t>
      </w:r>
      <w:r>
        <w:rPr/>
        <w:t xml:space="preserve"> Index Price – Zone 2 minus $0.0100/MMBtu.</w:t>
      </w:r>
    </w:p>
    <w:p>
      <w:pPr>
        <w:pStyle w:val="Heading2"/>
        <w:ind w:hanging="0" w:start="0"/>
        <w:rPr/>
      </w:pPr>
      <w:r>
        <w:rPr/>
        <w:t xml:space="preserve">FPL and ECT have agreed to certain alternative contract pricing mechanisms for the DCQ as set forth in Exhibit B, including, but not limited to, a </w:t>
      </w:r>
      <w:r>
        <w:rPr>
          <w:i/>
        </w:rPr>
        <w:t>Gas Daily</w:t>
      </w:r>
      <w:r>
        <w:rPr/>
        <w:t xml:space="preserve"> Index Price, residual fuel oil related price, NYMEX triggers, and other alternative pricing mechanisms.  FPL shall have the option for any Delivery Period during the term of this Agreement to elect one or more pricing alternatives from the alternatives set forth in Exhibit B, or any other pricing structure(s) that may be mutually agreed upon between FPL and ECT, which shall be set forth in an amended Exhibit B within five (5) days of such agreement.  The pricing alternative(s) elected by FPL shall, at FPL’s option, be used as the Contract Price for all or any portion of the DCQ, for all or any future month(s), by making its election at any time up to 1:00 p.m. CCT on the day of NYMEX expiration for the specific flowing month.  If FPL does not exercise this option, the default price for the DCQ will be the Contract Price as set forth in Section 9.1.</w:t>
      </w:r>
    </w:p>
    <w:p>
      <w:pPr>
        <w:pStyle w:val="Heading2"/>
        <w:ind w:hanging="0" w:start="0"/>
        <w:rPr/>
      </w:pPr>
      <w:r>
        <w:rPr/>
        <w:t xml:space="preserve">If the methodology used in determining the prices posted in </w:t>
      </w:r>
      <w:r>
        <w:rPr>
          <w:i/>
        </w:rPr>
        <w:t>Gas Daily Inside FERC</w:t>
      </w:r>
      <w:r>
        <w:rPr/>
        <w:t xml:space="preserve"> or any other publication used to determine the Contract Price in Section 9.0, the Buyout Payment in Section 4.2, the Termination Payment in Section 17.0, any other applicable payments under this Agreement, or Standard and Poors Corporation publication, is substantially modified, or if such publication(s) is (or are) permanently discontinued, the Parties shall, by mutual agreement, select an acceptable substitute methodology or publication(s) for computing and determining the prices in Sections 9.0, 4.2, 17.0 and 3.21 herein (preferably by substituting some other similar publication(s) with a gas index closely approximating the gas index, or similar credit rating methodology, set forth in the discontinued publication(s)); provided, however, that if ECT and FPL fail to mutually agree on an acceptable substitute methodology or publication(s) within thirty (30) days (or such longer time as the Parties may agree) after any such publication(s) is(are) no longer published or such methodology is so modified, then the Parties specifically agree to submit the determination of the substitute methodology or publication(s) to arbitration under Section 20 (Arbitration).  This provision is deemed to constitute the written agreement of ECT and FPL to arbitrate the subject matter of this Section 9.5 if mutual agreement cannot be reached by the Parties.</w:t>
      </w:r>
    </w:p>
    <w:p>
      <w:pPr>
        <w:pStyle w:val="Heading2"/>
        <w:ind w:hanging="0" w:start="0"/>
        <w:rPr/>
      </w:pPr>
      <w:r>
        <w:rPr/>
        <w:t>For the period August 1, 1999 through ________________, 2004, FPL shall pay ECT for the Base Quantities set forth in Section 7.1.1, a demand charge per MMBtu, as follows:</w:t>
      </w:r>
    </w:p>
    <w:p>
      <w:pPr>
        <w:pStyle w:val="Normal"/>
        <w:ind w:hanging="720" w:start="2160" w:end="0"/>
        <w:rPr/>
      </w:pPr>
      <w:r>
        <w:rPr>
          <w:u w:val="single"/>
        </w:rPr>
        <w:t>TIME PERIOD</w:t>
      </w:r>
      <w:r>
        <w:rPr/>
        <w:tab/>
        <w:tab/>
        <w:tab/>
        <w:tab/>
      </w:r>
      <w:r>
        <w:rPr>
          <w:u w:val="single"/>
        </w:rPr>
        <w:t>$/MMBtu</w:t>
      </w:r>
    </w:p>
    <w:p>
      <w:pPr>
        <w:pStyle w:val="Normal"/>
        <w:ind w:hanging="720" w:start="2160" w:end="0"/>
        <w:rPr/>
      </w:pPr>
      <w:r>
        <w:rPr/>
        <w:t>August 1, 1999 – December 31, 1999</w:t>
        <w:tab/>
        <w:tab/>
        <w:t>$0.135</w:t>
      </w:r>
    </w:p>
    <w:p>
      <w:pPr>
        <w:pStyle w:val="Normal"/>
        <w:ind w:hanging="720" w:start="2160" w:end="0"/>
        <w:rPr/>
      </w:pPr>
      <w:r>
        <w:rPr/>
        <w:t>January 1, 2000 – December 31, 2000</w:t>
        <w:tab/>
        <w:t>$0.120</w:t>
      </w:r>
    </w:p>
    <w:p>
      <w:pPr>
        <w:pStyle w:val="Normal"/>
        <w:ind w:hanging="720" w:start="2160" w:end="0"/>
        <w:rPr/>
      </w:pPr>
      <w:r>
        <w:rPr/>
        <w:t>January 1, 2001 – December 31, 2001</w:t>
        <w:tab/>
        <w:t>$0.100</w:t>
      </w:r>
    </w:p>
    <w:p>
      <w:pPr>
        <w:pStyle w:val="Normal"/>
        <w:ind w:hanging="720" w:start="2160" w:end="0"/>
        <w:rPr/>
      </w:pPr>
      <w:r>
        <w:rPr/>
        <w:t>January 1, 2002 – December 31, 2002</w:t>
        <w:tab/>
        <w:t>$0.090</w:t>
      </w:r>
    </w:p>
    <w:p>
      <w:pPr>
        <w:pStyle w:val="Normal"/>
        <w:ind w:hanging="720" w:start="2160" w:end="0"/>
        <w:rPr/>
      </w:pPr>
      <w:r>
        <w:rPr/>
        <w:t>January 1, 2003 – December 31, 2003</w:t>
        <w:tab/>
        <w:t>$0.080</w:t>
      </w:r>
    </w:p>
    <w:p>
      <w:pPr>
        <w:pStyle w:val="Normal"/>
        <w:ind w:hanging="720" w:start="2160" w:end="0"/>
        <w:rPr/>
      </w:pPr>
      <w:r>
        <w:rPr/>
        <w:t>January 1, 2004 – ___________, 2004</w:t>
        <w:tab/>
        <w:t>$0.070</w:t>
      </w:r>
    </w:p>
    <w:p>
      <w:pPr>
        <w:pStyle w:val="Normal"/>
        <w:spacing w:lineRule="auto" w:line="480"/>
        <w:ind w:hanging="720" w:start="2160" w:end="0"/>
        <w:rPr/>
      </w:pPr>
      <w:r>
        <w:rPr/>
      </w:r>
      <w:r>
        <w:br w:type="page"/>
      </w:r>
    </w:p>
    <w:p>
      <w:pPr>
        <w:pStyle w:val="Heading1"/>
        <w:ind w:hanging="0" w:start="0"/>
        <w:rPr/>
      </w:pPr>
      <w:bookmarkStart w:id="9" w:name="__RefHeading___Toc457017792"/>
      <w:bookmarkEnd w:id="9"/>
      <w:r>
        <w:rPr/>
        <w:t>BILLING AND PAYMENT</w:t>
      </w:r>
    </w:p>
    <w:p>
      <w:pPr>
        <w:pStyle w:val="Heading2"/>
        <w:ind w:hanging="0" w:start="0"/>
        <w:rPr/>
      </w:pPr>
      <w:r>
        <w:rPr/>
        <w:t>At the beginning of each calendar month, ECT shall tender an invoice to FPL, which shall be received by FPL by the 10th day of such month or if the 10th of the month is not a Working Day, by the next Working Day, setting forth (i) the DCQ for such month; (ii) the Contract Price for such DCQ, which shall be based on the price for such month of flow; (iii) any Transaction Amount for any adjustments to the Base Quantities pursuant to Section 7.1.2; and (iv) any demand charges for the Base Quantities for such month, as set forth in Section 9.4.  [SUBJECT TO REVIEW]  FPL shall tender payment by wire transfer to ECT any undisputed portion of such invoice at the location designated in Section 19.1.4, or, in the event of a credit balance, ECT shall tender payment by wire transfer to FPL at FPL’s location designated in Section 19.1.2, by the 15th Working Day of such month.</w:t>
      </w:r>
    </w:p>
    <w:p>
      <w:pPr>
        <w:pStyle w:val="Heading2"/>
        <w:ind w:hanging="0" w:start="0"/>
        <w:rPr/>
      </w:pPr>
      <w:r>
        <w:rPr/>
        <w:t>FPL shall tender payment by wire transfer to ECT, at ECT’s location designated in Section 19.1.4, or ECT shall tender payment by wire transfer to FPL at FPL’s location designated in Section 19.1.2, by the 15th of the month, or if the 15th of the month is not a Working Day, by the next Working Day.  In all events, there shall be at least five (5) Working Days between the receipt and the payment of any invoice.</w:t>
      </w:r>
    </w:p>
    <w:p>
      <w:pPr>
        <w:pStyle w:val="Heading2"/>
        <w:ind w:hanging="0" w:start="0"/>
        <w:rPr/>
      </w:pPr>
      <w:r>
        <w:rPr/>
        <w:t>FPL shall notify ECT of any disputed amount of any invoice, so that reasonable best efforts may be made to resolve the dispute as quickly as possible and before the date payment is due.  Upon final resolution of any such disputed amount, ECT shall provide FPL with complete and mathematically accurate invoice(s), if applicable, and supporting documentation reflecting the agreement reached by FPL and ECT.  Upon such resolution, FPL shall pay ECT within five (5) Working Days.</w:t>
      </w:r>
    </w:p>
    <w:p>
      <w:pPr>
        <w:pStyle w:val="Heading2"/>
        <w:ind w:hanging="0" w:start="0"/>
        <w:rPr/>
      </w:pPr>
      <w:r>
        <w:rPr/>
        <w:t>All computations made with respect to the pricing calculations and reimbursements shall be rounded to the nearest one-hundredth of one cent ($0.0001), with the invoice amount being rounded to the nearest one (1) cent.  All computations made with respect to volume calculations shall be rounded to the nearest MMBtu.</w:t>
      </w:r>
    </w:p>
    <w:p>
      <w:pPr>
        <w:pStyle w:val="Heading2"/>
        <w:ind w:hanging="0" w:start="0"/>
        <w:rPr/>
      </w:pPr>
      <w:r>
        <w:rPr/>
        <w:t>Upon reasonable notice, either Party shall have the right to audit, at its own expense, from time to time during normal business hours, the books and records of the other Party relating to matters under this Agreement at its address set forth in Section 19. Such audit may be conducted by employees of or by independent certified public accountants selected by such Party.  Any adjustments shall be, upon verification, promptly corrected and billings will be adjusted accordingly.</w:t>
      </w:r>
    </w:p>
    <w:p>
      <w:pPr>
        <w:pStyle w:val="Heading2"/>
        <w:ind w:hanging="0" w:start="0"/>
        <w:rPr/>
      </w:pPr>
      <w:r>
        <w:rPr/>
        <w:t>If either ECT or FPL shall discover any error or inaccuracy in invoices, statements, billings, payment, calculations or determinations under this Agreement, then proper adjustment and correction thereof shall be made as promptly as practicable thereafter; provided, however, that if no such errors or inaccuracies are identified by either FPL or ECT and reported to such other Party within thirty-six (36) months from the date of such invoices, statements, billings, payments, calculations, or determinations, the same shall be deemed conclusively to be correct.</w:t>
      </w:r>
    </w:p>
    <w:p>
      <w:pPr>
        <w:pStyle w:val="Heading2"/>
        <w:ind w:hanging="0" w:start="0"/>
        <w:rPr/>
      </w:pPr>
      <w:r>
        <w:rPr/>
        <w:t>If either FPL or ECT fails to tender payment to such other Party in accordance with the terms of this Section 10 when such payment is due, unless otherwise agreed by FPL and ECT, interest thereon shall accrue at the effective interest rate, which shall be ________, from the due date until the date of payment. [language to be provided for review]</w:t>
      </w:r>
      <w:r>
        <w:br w:type="page"/>
      </w:r>
    </w:p>
    <w:p>
      <w:pPr>
        <w:pStyle w:val="Heading1"/>
        <w:ind w:hanging="0" w:start="0"/>
        <w:rPr/>
      </w:pPr>
      <w:bookmarkStart w:id="10" w:name="__RefHeading___Toc457017793"/>
      <w:bookmarkEnd w:id="10"/>
      <w:r>
        <w:rPr/>
        <w:t>INDEPENDENT CONTRACTOR</w:t>
      </w:r>
    </w:p>
    <w:p>
      <w:pPr>
        <w:pStyle w:val="BodyText"/>
        <w:rPr/>
      </w:pPr>
      <w:r>
        <w:rPr/>
        <w:t>ECT agrees to sell and deliver Natural Gas to FPL at the Delivery Points as an independent contractor and not as a subcontractor, agent, or employee of FPL, its parent or any of its affiliates.  Neither FPL, its parent nor its affiliates, retain any control or direction over ECT, its designees, employees or subcontractors, or over the detail, manner or method of ECT’s performance under this Agreement.</w:t>
      </w:r>
      <w:r>
        <w:br w:type="page"/>
      </w:r>
    </w:p>
    <w:p>
      <w:pPr>
        <w:pStyle w:val="Heading1"/>
        <w:ind w:hanging="0" w:start="0"/>
        <w:rPr/>
      </w:pPr>
      <w:bookmarkStart w:id="11" w:name="__RefHeading___Toc457017794"/>
      <w:bookmarkEnd w:id="11"/>
      <w:r>
        <w:rPr/>
        <w:t>FORCE MAJEURE</w:t>
      </w:r>
    </w:p>
    <w:p>
      <w:pPr>
        <w:pStyle w:val="Heading2"/>
        <w:ind w:hanging="0" w:start="0"/>
        <w:rPr/>
      </w:pPr>
      <w:r>
        <w:rPr/>
        <w:t>In the event either FPL or ECT is rendered unable wholly, or in part, by force majeure to carry out its obligations under this Agreement, it is agreed that upon such Party’s giving notice and reasonably full particulars of such force majeure, including a good faith estimate of the duration of the event giving rise to the force majeure, in writing or by telecopy or facsimile communication, to the other Party to the attention of the persons identified in Section 19 (Notices, Correspondence and Payment), as soon as possible after the occurrence of the cause relied upon, then each Party’s obligations, insofar as the Party is rendered unable by such force majeure to perform its obligations, shall be suspended during the continuance of any inability so caused, but for no longer period, and such cause shall, as far as possible, be remedied with all reasonable dispatch.  For events of force majeure affecting a material change in the delivery of Natural Gas hereunder, in addition to providing a written notice as set forth above, the Party claiming force majeure shall also give notice to the other Party as soon as possible by telephone to the attention of the persons identified in Section 19 (Notices, Correspondence and Payment).</w:t>
      </w:r>
    </w:p>
    <w:p>
      <w:pPr>
        <w:pStyle w:val="Heading3"/>
        <w:ind w:hanging="0" w:start="0"/>
        <w:rPr/>
      </w:pPr>
      <w:r>
        <w:rPr/>
        <w:t>In the event FPL’s or ECT’s performance under this Agreement is materially adversely affected and is not remedied within thirty (30) days of the date of notice pursuant to Section 12.1, the Parties agree to negotiate regarding the timing of resumption of Natural Gas sales.  Resumption of full contract quantities must occur no later than thirty (30) days from the date of notice that the event of force majeure has been cured.</w:t>
      </w:r>
    </w:p>
    <w:p>
      <w:pPr>
        <w:pStyle w:val="Heading3"/>
        <w:ind w:hanging="0" w:start="0"/>
        <w:rPr/>
      </w:pPr>
      <w:r>
        <w:rPr/>
        <w:t>In the event that ECT’s performance under this Agreement is materially adversely affected by an event(s) of force majeure under this Agreement for more than one hundred eighty five (185) days in any three hundred sixty five (365) day period, then FPL shall have the right to declare a termination event under Section 17.4 of this Agreement by giving thirty (30) days’ written notice to ECT.</w:t>
      </w:r>
    </w:p>
    <w:p>
      <w:pPr>
        <w:pStyle w:val="Heading3"/>
        <w:ind w:hanging="0" w:start="0"/>
        <w:rPr/>
      </w:pPr>
      <w:r>
        <w:rPr/>
        <w:t>In the event that FPL’s performance under this Agreement is materially adversely affected by an event(s) of force majeure under this Agreement for more than one hundred eighty five (185) days in any three hundred sixty five (365) day period, then ECT shall have the right to declare a termination event under Section 17.4 of this Agreement by giving thirty (30) days’ written notice to FPL.</w:t>
      </w:r>
    </w:p>
    <w:p>
      <w:pPr>
        <w:pStyle w:val="Heading2"/>
        <w:ind w:hanging="0" w:start="0"/>
        <w:rPr/>
      </w:pPr>
      <w:r>
        <w:rPr/>
        <w:t>The term “force majeure” as employed herein shall mean events or causes not reasonably within the control of the Party claiming force majeure, including, but not limited to, acts of God, strikes, lockouts, or other industrial disturbances, acts of the public enemy, wars, blockades, insurrections, riots, epidemics, hurricanes, landslides, lightning, earthquakes, fires, storms, floods, washouts, arrests and restraints of governments and people, civil disturbances, explosions, breakage or accidents to machinery or lines of pipe, the necessity for making repairs or alterations to machinery or lines of pipe, freezing of wells or lines of pipe, unplanned outages at FPL’s plants or facilities, unplanned outages on FGT’s and/or SNG’s pipeline systems, or the inability of FGT’s and/or SNG’s pipeline systems to receive or deliver Natural Gas, force majeure on a third-party pipeline transporting Natural Gas for ECT for sale under this Agreement, changes in local, state or federal laws or regulations materially adversely affecting the supply or use of Natural Gas for the generation of electricity, acts of civil or military authority (including, but not limited to, courts or administrative or regulatory agencies), loss or lack of Gas supply generally affecting the Gas industry in Gas producing regions reasonably accessible to ECT, and any other cause, whether of the kind herein enumerated or otherwise, also not reasonably within the control of the Party claiming force majeure, and which by the exercise of due diligence such Party, is unable to prevent or overcome; such terms shall likewise include (a) in those instances where either FPL or ECT is required to obtain servitudes, rights of way, grants, permits or licenses to enable such Party to fulfill its obligations hereunder, the inability of such Party to acquire, or the delays on the part of such Party in acquiring, at reasonable cost and after the exercise of reasonable diligence, such servitudes, rights of way, grants, permits or licenses; and (b) in those instances where either FPL or ECT is required to furnish materials and supplies for the purpose of constructing or maintaining facilities or is required to secure grants or permission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Heading2"/>
        <w:ind w:hanging="0" w:start="0"/>
        <w:rPr/>
      </w:pPr>
      <w:r>
        <w:rPr/>
        <w:t>It is understood and agreed that the settlement of strikes or lockouts shall be entirely within the discretion of the Party having difficulty, and the above requirement that any force majeure shall be remedied with all reasonable dispatch shall not require the settlement of strikes or lockouts by acceding to the demands of the opposing party when such course is inadvisable in the discretion of the Party having the difficulty.</w:t>
      </w:r>
    </w:p>
    <w:p>
      <w:pPr>
        <w:pStyle w:val="Heading2"/>
        <w:ind w:hanging="0" w:start="0"/>
        <w:rPr/>
      </w:pPr>
      <w:r>
        <w:rPr/>
        <w:t xml:space="preserve">Unless otherwise mutually agreed, the suspension of performance under this Agreement due to force majeure will not cause this Agreement to continue past the Contract Termination Date. </w:t>
      </w:r>
    </w:p>
    <w:p>
      <w:pPr>
        <w:pStyle w:val="Heading2"/>
        <w:ind w:hanging="0" w:start="0"/>
        <w:rPr/>
      </w:pPr>
      <w:r>
        <w:rPr/>
        <w:t xml:space="preserve">In the event the Maximum Daily Transportation Quantity (“MDTQ”) under the Service Agreements is reduced due to an event of force majeure under the Service Agreements, FPL shall have the right, but not the obligation, to reduce the Basse Quantities under this Agreement on a basis proportionate with the reduction in the respective MDTQ; provided, however, the proportionate reduction in Base Quantities will only last for the duration of such force majeure.  In no event shall application of FPL’s proportionate reduction rights herein affect its termination rights under Section 12 of this Agreement.  </w:t>
      </w:r>
      <w:r>
        <w:rPr>
          <w:b/>
        </w:rPr>
        <w:t>[Question -  Why was DCQ changed to Base Quantities in this provision?]</w:t>
      </w:r>
      <w:r>
        <w:br w:type="page"/>
      </w:r>
    </w:p>
    <w:p>
      <w:pPr>
        <w:pStyle w:val="Heading1"/>
        <w:ind w:hanging="0" w:start="0"/>
        <w:rPr/>
      </w:pPr>
      <w:bookmarkStart w:id="12" w:name="__RefHeading___Toc457017795"/>
      <w:bookmarkEnd w:id="12"/>
      <w:r>
        <w:rPr/>
        <w:t>TAXES AND OTHER LIABILITIES</w:t>
      </w:r>
    </w:p>
    <w:p>
      <w:pPr>
        <w:pStyle w:val="BodyText"/>
        <w:rPr/>
      </w:pPr>
      <w:r>
        <w:rPr/>
        <w:t>ECT shall be responsible for payment of all taxes, fees, assessments, charges and liabilities incurred, levied and/or assessed prior to delivery of Natural Gas hereunder to FPL at the Delivery Points, and FPL shall be responsible for payment of all taxes, fees, assessments, charges and liabilities incurred, levied, and/or assessed upon or after delivery of Natural Gas hereunder at the Delivery Points.  The Party responsible for the tax, fee, assessment, charge or liability, shall indemnify, defend, and hold the nonresponsible Party harmless for such tax, fee, assessment, charge or liability.  A Party shall provide, upon request by the other Party, a certificate of exemption or other reasonably satisfactory evidence of exemption to the other Party for any tax from which the Party is exempt, and each Party agrees, upon request by the other Party, to cooperate in obtaining any exemption from or reduction of tax.</w:t>
      </w:r>
      <w:r>
        <w:br w:type="page"/>
      </w:r>
    </w:p>
    <w:p>
      <w:pPr>
        <w:pStyle w:val="Heading1"/>
        <w:ind w:hanging="0" w:start="0"/>
        <w:rPr/>
      </w:pPr>
      <w:bookmarkStart w:id="13" w:name="__RefHeading___Toc457017796"/>
      <w:bookmarkEnd w:id="13"/>
      <w:r>
        <w:rPr/>
        <w:t>PROPRIETARY INFORMATION</w:t>
      </w:r>
    </w:p>
    <w:p>
      <w:pPr>
        <w:pStyle w:val="Heading2"/>
        <w:ind w:hanging="0" w:start="0"/>
        <w:rPr/>
      </w:pPr>
      <w:r>
        <w:rPr/>
        <w:t>The Parties have a proprietary interest in this Agreement.  Accordingly, this  Agreement shall not be disclosed in whole or in part, by any Party, its agents, or employees to third-parties, with the exception of outside legal counsel and expert consultants employed by either Party to consult, testify, or otherwise assist in regulatory proceedings, financings or auditing matters, or in any litigation or arbitration which involves directly this Agreement or either Party to this Agreement, without the prior written consent of the other Party, which consent will not be unreasonably withheld; provided, however, that nothing contained in this Section 14 will be construed to prevent any Party from enforcing any rights created under this Agreement; and provided further, that any third-party to which this Agreement is disclosed shall be bound by a standard of confidentiality no less than as stated herein.</w:t>
      </w:r>
    </w:p>
    <w:p>
      <w:pPr>
        <w:pStyle w:val="Heading2"/>
        <w:ind w:hanging="0" w:start="0"/>
        <w:rPr/>
      </w:pPr>
      <w:r>
        <w:rPr/>
        <w:t>Notwithstanding Section 14.1, the Parties shall have the right to disclose this Agreement, upon notice to the other Party, to any governmental or regulatory authority having jurisdiction to require such disclosure, following that authority’s request for disclosure, but, in any event, the Parties shall exert reasonable effort to secure confidential treatment of this Agreement.</w:t>
      </w:r>
      <w:r>
        <w:br w:type="page"/>
      </w:r>
    </w:p>
    <w:p>
      <w:pPr>
        <w:pStyle w:val="Heading1"/>
        <w:ind w:hanging="0" w:start="0"/>
        <w:rPr/>
      </w:pPr>
      <w:bookmarkStart w:id="14" w:name="__RefHeading___Toc457017797"/>
      <w:bookmarkEnd w:id="14"/>
      <w:r>
        <w:rPr/>
        <w:t>COMPLIANCE WITH LAWS, REGULATIONS, CODES AND STANDARDS</w:t>
      </w:r>
    </w:p>
    <w:p>
      <w:pPr>
        <w:pStyle w:val="Heading2"/>
        <w:ind w:hanging="0" w:start="0"/>
        <w:rPr/>
      </w:pPr>
      <w:r>
        <w:rPr/>
        <w:t>This Agreement shall be subject to all valid and applicable laws of the United States and of the states wherein it is to be performed, to the applicable valid rules, regulations or orders of any regulatory agency or governmental authority having jurisdiction, and to FGT’s FERC Gas Tariff, and the Parties shall be entitled to regard all applicable laws, rules, regulations (federal, state, provincial or local) and tariffs as valid and may act in accordance therewith until such time as the same may be declared invalid by final judgment of a court of competent jurisdiction; provided, however, that the operation of any state proration or waste statutes, rules, or regulations shall never act to excuse ECT for any non-performance under this Agreement.</w:t>
      </w:r>
    </w:p>
    <w:p>
      <w:pPr>
        <w:pStyle w:val="Heading2"/>
        <w:ind w:hanging="0" w:start="0"/>
        <w:rPr/>
      </w:pPr>
      <w:r>
        <w:rPr/>
        <w:t>FPL and ECT shall use their good faith best efforts to cooperate with each other and with any third-party (including FGT) transporting the Natural Gas sold hereunder for either FPL or ECT, in obtaining and maintaining whatever authorizations may be required by any governmental authorities having jurisdiction over the transportation service arrangements with such third parties.</w:t>
      </w:r>
    </w:p>
    <w:p>
      <w:pPr>
        <w:pStyle w:val="Heading2"/>
        <w:ind w:hanging="0" w:start="0"/>
        <w:rPr/>
      </w:pPr>
      <w:r>
        <w:rPr/>
        <w:t>FPL and ECT each shall comply with Section 202, Paragraphs 1 through 7 of Executive Order 11246, as amended, and applicable portions of Executive Orders 11701 and 11758, relative to Equal Employment Opportunity and the Implementing Rules and Regulations of the Office of Federal Contracts and Compliance which are incorporated herein by this reference.</w:t>
      </w:r>
      <w:r>
        <w:br w:type="page"/>
      </w:r>
    </w:p>
    <w:p>
      <w:pPr>
        <w:pStyle w:val="Heading1"/>
        <w:ind w:hanging="0" w:start="0"/>
        <w:rPr/>
      </w:pPr>
      <w:bookmarkStart w:id="15" w:name="__RefHeading___Toc457017798"/>
      <w:bookmarkEnd w:id="15"/>
      <w:r>
        <w:rPr/>
        <w:t>ASSIGNMENT AND SALE</w:t>
      </w:r>
    </w:p>
    <w:p>
      <w:pPr>
        <w:pStyle w:val="Heading2"/>
        <w:ind w:hanging="0" w:start="0"/>
        <w:rPr/>
      </w:pPr>
      <w:r>
        <w:rPr/>
        <w:t>FPL shall have the right to assign all or part of  its rights and interests in this Agreement, and any rights and interests thereto, to any creditworthy entity with the prior written consent of ECT, which consent may be withheld only on the basis of lack of creditworthiness.</w:t>
      </w:r>
    </w:p>
    <w:p>
      <w:pPr>
        <w:pStyle w:val="Heading2"/>
        <w:ind w:hanging="0" w:start="0"/>
        <w:rPr/>
      </w:pPr>
      <w:r>
        <w:rPr/>
        <w:t>ECT shall have the right to assign all or part of its rights and interests in this Agreement to an affiliate or affiliates of ECT; provided that such assignment (i) shall not relieve ECT of any obligations under this Agreement without the prior written consent of FPL, which consent shall not be unreasonably withheld, and (ii) shall not allow Enron to substitute another guarantor for Enron without the prior written consent of FPL, which consent shall not be unreasonably withheld.</w:t>
      </w:r>
    </w:p>
    <w:p>
      <w:pPr>
        <w:pStyle w:val="Heading2"/>
        <w:ind w:hanging="0" w:start="0"/>
        <w:rPr/>
      </w:pPr>
      <w:r>
        <w:rPr/>
        <w:t>In the event of an assignment under Section 16.1, FPL and ECT agree to amend this Agreement, effective as of the date of such assignment, to the extent required to reflect the portion of the Base Quantities of this Agreement applicable to such assignment and the portion thereof remaining with FPL.  Upon the execution of such amendments, FPL shall be relieved of all of its obligations under this Agreement with respect to all rights and interests assigned to the assignee on the effective date of such amendment and ECT shall be relieved of any obligation to FPL to the extent of such an assignment.</w:t>
      </w:r>
    </w:p>
    <w:p>
      <w:pPr>
        <w:pStyle w:val="Heading2"/>
        <w:ind w:hanging="0" w:start="0"/>
        <w:rPr/>
      </w:pPr>
      <w:r>
        <w:rPr/>
        <w:t>ECT and FPL shall have the right to pledge their respective rights under this Agreement in connection with any debt or equity financing.</w:t>
      </w:r>
      <w:r>
        <w:br w:type="page"/>
      </w:r>
    </w:p>
    <w:p>
      <w:pPr>
        <w:pStyle w:val="Heading1"/>
        <w:ind w:hanging="0" w:start="0"/>
        <w:rPr/>
      </w:pPr>
      <w:bookmarkStart w:id="16" w:name="__RefHeading___Toc457017799"/>
      <w:bookmarkEnd w:id="16"/>
      <w:r>
        <w:rPr/>
        <w:t>DEFAULTS AND REMEDIES</w:t>
      </w:r>
    </w:p>
    <w:p>
      <w:pPr>
        <w:pStyle w:val="Heading2"/>
        <w:ind w:hanging="0" w:start="0"/>
        <w:rPr/>
      </w:pPr>
      <w:r>
        <w:rPr/>
        <w:t xml:space="preserve">In the event there is a failure to deliver under this Agreement by ECT of less than seventy-five (75) cumulative days in any 365-day period after notice from FPL that (i) results in a delivery deficiency (the “ECT Deficiency Volume”) and (ii) is not excused by force majeure, ECT shall pay to FPL the MMBtu equivalent of the ECT Deficiency Volume multiplied by the sum of (a) the additional cost, if any, for replacement Gas, including demand charges for FPL’s unused transportation capacity under the Service Agreements (attributable to the ECT Deficiency Volume and to the extent such capacity is not being used for replacement Gas volumes), replacement fuel or replacement power and SO2 Allowances (if applicable), any applicable penalties plus (b) $0.15 per MMBtu (“ECT Default Payment”).  ECT shall pay FPL the ECT Default Payment within fifteen (15) Working Days of the receipt of an invoice from FPL.  Late payments are subject to Section 10.7. </w:t>
      </w:r>
    </w:p>
    <w:p>
      <w:pPr>
        <w:pStyle w:val="Heading2"/>
        <w:ind w:hanging="0" w:start="0"/>
        <w:rPr/>
      </w:pPr>
      <w:r>
        <w:rPr/>
        <w:t xml:space="preserve">In the event there is a failure to take under this Agreement by FPL of less than seventy-five (75) cumulative days in any 365-day period after notice from ECT that (i) results in a deficiency in purchases by FPL (the “FPL Deficiency Volume”) and (ii) is not excused by force majeure, FPL shall pay to ECT a liquidation payment equal to the MMBtu equivalent of the FPL Deficiency Volume multiplied by the sum of (a) $0.15 per MMBtu, plus (b) applicable Contract Price (“FPL Default Payment”).  FPL shall pay ECT the FPL Default Payment within fifteen (15) Working Days of the receipt of an invoice from ECT.    Late payments are subject to Section 10.7.  </w:t>
      </w:r>
    </w:p>
    <w:p>
      <w:pPr>
        <w:pStyle w:val="Heading2"/>
        <w:ind w:hanging="0" w:start="0"/>
        <w:rPr/>
      </w:pPr>
      <w:r>
        <w:rPr/>
        <w:t>In the event of a default or non-performance by either Party, both ECT and FPL shall exercise reasonable efforts to mitigate any additional or excess costs, taking into account the market conditions present at the time of the default or non-performance.</w:t>
      </w:r>
    </w:p>
    <w:p>
      <w:pPr>
        <w:pStyle w:val="Heading2"/>
        <w:ind w:hanging="0" w:start="0"/>
        <w:rPr/>
      </w:pPr>
      <w:r>
        <w:rPr/>
        <w:t xml:space="preserve">In the event of any material default(s) by FPL or ECT (the “Defaulting Party”) that remains uncured for seventy-five (75) or more cumulative days in any 365-day period after receipt of notice from the other Party hereto (the “Non-Defaulting Party”) and that is not excused by force majeure, the Non-Defaulting Party shall have the right, but not the obligation, to declare a termination event, which, upon such election, shall result in a Termination Payment payable by the Defaulting Party to the Non-Defaulting Party, as set forth in Exhibit E; provided upon the occurrence of any event listed in item (iii) below, as it may apply to any Party, this Agreement shall automatically terminate, without notice, as if a termination event had been immediately declared.  For purposes of this Section 17.4, “material defaults” shall include:  </w:t>
      </w:r>
    </w:p>
    <w:p>
      <w:pPr>
        <w:pStyle w:val="Heading2"/>
        <w:numPr>
          <w:ilvl w:val="0"/>
          <w:numId w:val="0"/>
        </w:numPr>
        <w:ind w:hanging="720" w:start="2880" w:end="0"/>
        <w:rPr/>
      </w:pPr>
      <w:r>
        <w:rPr/>
        <w:t>(i)</w:t>
        <w:tab/>
        <w:t xml:space="preserve">any representation or warranty made by the Defaulting Party in this Agreement that shall prove to have been false or misleading in any material respect when made or deemed to be repeated; </w:t>
      </w:r>
    </w:p>
    <w:p>
      <w:pPr>
        <w:pStyle w:val="Heading2"/>
        <w:numPr>
          <w:ilvl w:val="0"/>
          <w:numId w:val="0"/>
        </w:numPr>
        <w:ind w:hanging="720" w:start="2880" w:end="0"/>
        <w:rPr/>
      </w:pPr>
      <w:r>
        <w:rPr/>
        <w:t>(ii)</w:t>
        <w:tab/>
        <w:t xml:space="preserve">the failure by the Defaulting Party to perform any covenant set forth in this Agreement (other than the obligation to make any payment or obligations which are specifically covered in Section 17.6) and such failure is not excused by force majeure or cured within five (5) Working Days after written notice; </w:t>
      </w:r>
    </w:p>
    <w:p>
      <w:pPr>
        <w:pStyle w:val="Heading2"/>
        <w:numPr>
          <w:ilvl w:val="0"/>
          <w:numId w:val="0"/>
        </w:numPr>
        <w:ind w:hanging="720" w:start="2880" w:end="0"/>
        <w:rPr/>
      </w:pPr>
      <w:r>
        <w:rPr/>
        <w:t>(iii)</w:t>
        <w:tab/>
        <w:t xml:space="preserve">the Defaulting Party (a) makes an assignment or any other general arrangement for the benefit of creditors, (b) files a petition or otherwise commences a proceeding or cause under any bankruptcy or similar law for the protection of creditors, or has such petition filed against it and such proceeding remains undismissed for 30 days, (c) otherwise becomes bankrupt or insolvent, or (d) is unable to pay its debts as they fall due; </w:t>
      </w:r>
    </w:p>
    <w:p>
      <w:pPr>
        <w:pStyle w:val="Heading2"/>
        <w:numPr>
          <w:ilvl w:val="0"/>
          <w:numId w:val="0"/>
        </w:numPr>
        <w:ind w:hanging="720" w:start="2880" w:end="0"/>
        <w:rPr/>
      </w:pPr>
      <w:r>
        <w:rPr/>
        <w:t>(iv)</w:t>
        <w:tab/>
        <w:t xml:space="preserve">the occurrence of a Material Adverse Change of the Defaulting Party, provided such Material Adverse Change shall not be considered a material default if the Defaulting Party establishes and maintains throughout the term hereof, a letter of credit (naming the Non-Defaulting Party as the beneficiary) in an amount equal to the sum of (in each case rounding upwards for any fractional amount to the next $100,000), (a) the Termination Payment to which the Non-Defaulting Party is entitled, plus (b) if the Non-Defaulting Party is ECT, the aggregate of the amounts ECT is entitled to receive under this Agreement during the 60-day period preceding the Material Adverse Change (the amount of said letter of credit to be adjusted quarterly to reflect amounts owing a that point in time); or </w:t>
      </w:r>
    </w:p>
    <w:p>
      <w:pPr>
        <w:pStyle w:val="Heading2"/>
        <w:numPr>
          <w:ilvl w:val="0"/>
          <w:numId w:val="0"/>
        </w:numPr>
        <w:ind w:hanging="720" w:start="2880" w:end="0"/>
        <w:rPr/>
      </w:pPr>
      <w:r>
        <w:rPr/>
        <w:t>(v)</w:t>
        <w:tab/>
        <w:t>the Defaulting Party failing to establish, maintain, extend or increase a letter of credit when required pursuant to this Agreement, or after reasonable notice fails to replace the issuing bank with another bank acceptable to the beneficiary.</w:t>
      </w:r>
    </w:p>
    <w:p>
      <w:pPr>
        <w:pStyle w:val="Heading2"/>
        <w:ind w:hanging="0" w:start="0"/>
        <w:rPr/>
      </w:pPr>
      <w:r>
        <w:rPr/>
        <w:t>The Termination Payment in Section 17.4 shall be by the sum of the Buyout Payments as calculated in Sections 4.2 through 4.5, multiplied by 120 percent.</w:t>
      </w:r>
    </w:p>
    <w:p>
      <w:pPr>
        <w:pStyle w:val="Heading2"/>
        <w:ind w:hanging="0" w:start="0"/>
        <w:rPr/>
      </w:pPr>
      <w:r>
        <w:rPr/>
        <w:t>For breach of any provision for which an express remedy or measure of damages is provided herein, such express remedy or measure of damages shall be the sole and exclusive remedy hereunder, and the obligor’s liability shall be limited as set forth in such provision, and all other remedies or damages are waived.  If no remedy or measure of damages is expressly provided herein, the obligor’s liability shall be limited to actual damages only, and such actual damages shall be the sole and exclusive remedy hereunder, and all other remedies or damages are waived.  In no event shall either Party be liable for consequential, incidental, or punitive damages, in tort, contract or otherwise.</w:t>
      </w:r>
    </w:p>
    <w:p>
      <w:pPr>
        <w:pStyle w:val="Heading2"/>
        <w:ind w:hanging="0" w:start="0"/>
        <w:rPr/>
      </w:pPr>
      <w:r>
        <w:rPr/>
        <w:t>In the event of any payment default by the Defaulting Party that remains uncured for fifteen (15) cumulative days after receipt of notice by the Non-Defaulting Party, the Non-Defaulting Party may declare a termination event, which shall result in a Termination Payment payable by the Defaulting Party to the Non-Defaulting Party, as set forth in Exhibit E.</w:t>
      </w:r>
      <w:r>
        <w:br w:type="page"/>
      </w:r>
    </w:p>
    <w:p>
      <w:pPr>
        <w:pStyle w:val="Heading1"/>
        <w:ind w:hanging="0" w:start="0"/>
        <w:rPr/>
      </w:pPr>
      <w:bookmarkStart w:id="17" w:name="__RefHeading___Toc457017800"/>
      <w:bookmarkEnd w:id="17"/>
      <w:r>
        <w:rPr/>
        <w:t>GUARANTEE</w:t>
      </w:r>
    </w:p>
    <w:p>
      <w:pPr>
        <w:pStyle w:val="Heading2"/>
        <w:ind w:hanging="0" w:start="0"/>
        <w:rPr/>
      </w:pPr>
      <w:r>
        <w:rPr/>
        <w:t>Enron has concurrently with the execution of this Agreement guaranteed to FPL all of ECT’s payment obligations under this Agreement by executing and delivering a guarantee in the form set forth in Exhibit F (Guarantee).</w:t>
      </w:r>
    </w:p>
    <w:p>
      <w:pPr>
        <w:pStyle w:val="Normal"/>
        <w:rPr/>
      </w:pPr>
      <w:r>
        <w:rPr/>
      </w:r>
      <w:r>
        <w:br w:type="page"/>
      </w:r>
    </w:p>
    <w:p>
      <w:pPr>
        <w:pStyle w:val="Heading1"/>
        <w:ind w:hanging="0" w:start="0"/>
        <w:rPr/>
      </w:pPr>
      <w:bookmarkStart w:id="18" w:name="__RefHeading___Toc457017801"/>
      <w:bookmarkEnd w:id="18"/>
      <w:r>
        <w:rPr/>
        <w:t>NOTICES, CORRESPONDENCE AND PAYMENT</w:t>
      </w:r>
    </w:p>
    <w:p>
      <w:pPr>
        <w:pStyle w:val="Heading2"/>
        <w:ind w:hanging="0" w:start="0"/>
        <w:rPr/>
      </w:pPr>
      <w:r>
        <w:rPr/>
        <w:t>Any notice, request, demand, statement or invoice provided for in this Agreement, or any notice which a Party may desire to give to the other, shall be in writing, unless otherwise provided herein or otherwise mutually agreed by the Parties, and shall be sent by prepaid mail, facsimile communication, telex, telecopy, or courier to the other Party at the following addresses:</w:t>
      </w:r>
    </w:p>
    <w:p>
      <w:pPr>
        <w:pStyle w:val="Heading3"/>
        <w:ind w:hanging="0" w:start="0"/>
        <w:rPr/>
      </w:pPr>
      <w:r>
        <w:rPr/>
        <w:t>Notices to FPL:</w:t>
      </w:r>
    </w:p>
    <w:p>
      <w:pPr>
        <w:pStyle w:val="Normal"/>
        <w:ind w:start="2160" w:end="0"/>
        <w:rPr/>
      </w:pPr>
      <w:r>
        <w:rPr>
          <w:u w:val="single"/>
        </w:rPr>
        <w:t>For notice by mail</w:t>
      </w:r>
      <w:r>
        <w:rPr/>
        <w:t>:</w:t>
      </w:r>
    </w:p>
    <w:p>
      <w:pPr>
        <w:pStyle w:val="Normal"/>
        <w:ind w:start="2160" w:end="0"/>
        <w:rPr/>
      </w:pPr>
      <w:r>
        <w:rPr/>
      </w:r>
    </w:p>
    <w:p>
      <w:pPr>
        <w:pStyle w:val="Normal"/>
        <w:ind w:start="2160" w:end="0"/>
        <w:rPr/>
      </w:pPr>
      <w:r>
        <w:rPr/>
        <w:t>Florida Power &amp; Light Company</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r>
    </w:p>
    <w:p>
      <w:pPr>
        <w:pStyle w:val="Normal"/>
        <w:ind w:start="2160" w:end="0"/>
        <w:rPr/>
      </w:pPr>
      <w:r>
        <w:rPr/>
        <w:t>Attention: __________________</w:t>
      </w:r>
    </w:p>
    <w:p>
      <w:pPr>
        <w:pStyle w:val="Normal"/>
        <w:ind w:start="2160" w:end="0"/>
        <w:rPr/>
      </w:pPr>
      <w:r>
        <w:rPr/>
        <w:t>___________________________</w:t>
      </w:r>
    </w:p>
    <w:p>
      <w:pPr>
        <w:pStyle w:val="Normal"/>
        <w:ind w:start="2160" w:end="0"/>
        <w:rPr/>
      </w:pPr>
      <w:r>
        <w:rPr/>
      </w:r>
    </w:p>
    <w:p>
      <w:pPr>
        <w:pStyle w:val="Normal"/>
        <w:ind w:start="2160" w:end="0"/>
        <w:rPr/>
      </w:pPr>
      <w:r>
        <w:rPr>
          <w:u w:val="single"/>
        </w:rPr>
        <w:t>For notice by delivery</w:t>
      </w:r>
      <w:r>
        <w:rPr/>
        <w:t>:</w:t>
      </w:r>
    </w:p>
    <w:p>
      <w:pPr>
        <w:pStyle w:val="Normal"/>
        <w:ind w:start="2160" w:end="0"/>
        <w:rPr/>
      </w:pPr>
      <w:r>
        <w:rPr/>
      </w:r>
    </w:p>
    <w:p>
      <w:pPr>
        <w:pStyle w:val="Normal"/>
        <w:ind w:start="2160" w:end="0"/>
        <w:rPr/>
      </w:pPr>
      <w:r>
        <w:rPr/>
        <w:t>Florida Power &amp; Light Company</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r>
    </w:p>
    <w:p>
      <w:pPr>
        <w:pStyle w:val="Normal"/>
        <w:ind w:start="2160" w:end="0"/>
        <w:rPr/>
      </w:pPr>
      <w:r>
        <w:rPr/>
        <w:t>Attention:___________________</w:t>
      </w:r>
    </w:p>
    <w:p>
      <w:pPr>
        <w:pStyle w:val="Normal"/>
        <w:ind w:start="2160" w:end="0"/>
        <w:rPr/>
      </w:pPr>
      <w:r>
        <w:rPr/>
        <w:t>___________________________</w:t>
      </w:r>
    </w:p>
    <w:p>
      <w:pPr>
        <w:pStyle w:val="Normal"/>
        <w:ind w:start="2160" w:end="0"/>
        <w:rPr/>
      </w:pPr>
      <w:r>
        <w:rPr/>
        <w:t>___________________________</w:t>
      </w:r>
    </w:p>
    <w:p>
      <w:pPr>
        <w:pStyle w:val="Normal"/>
        <w:rPr/>
      </w:pPr>
      <w:r>
        <w:rPr/>
      </w:r>
    </w:p>
    <w:p>
      <w:pPr>
        <w:pStyle w:val="Normal"/>
        <w:ind w:start="2160" w:end="0"/>
        <w:rPr/>
      </w:pPr>
      <w:r>
        <w:rPr>
          <w:u w:val="single"/>
        </w:rPr>
        <w:t>For oral notice and subsequent written confirmation</w:t>
      </w:r>
      <w:r>
        <w:rPr/>
        <w:t>:</w:t>
      </w:r>
    </w:p>
    <w:p>
      <w:pPr>
        <w:pStyle w:val="Normal"/>
        <w:ind w:start="2160" w:end="0"/>
        <w:rPr/>
      </w:pPr>
      <w:r>
        <w:rPr/>
      </w:r>
    </w:p>
    <w:p>
      <w:pPr>
        <w:pStyle w:val="Normal"/>
        <w:ind w:start="2160" w:end="0"/>
        <w:rPr/>
      </w:pPr>
      <w:r>
        <w:rPr/>
        <w:t>Florida Power &amp; Light Company</w:t>
        <w:br/>
        <w:t>(561) 625-____</w:t>
        <w:br/>
      </w:r>
    </w:p>
    <w:p>
      <w:pPr>
        <w:pStyle w:val="Normal"/>
        <w:ind w:start="2160" w:end="0"/>
        <w:rPr/>
      </w:pPr>
      <w:r>
        <w:rPr/>
        <w:t>Attention:  Designated Party ________________</w:t>
        <w:br/>
        <w:t>[Oral Notice shall mean verbal communications to the Designated Party and specifically excludes any form of telecommunication by phone-mail or other message-receiving devices.]</w:t>
      </w:r>
    </w:p>
    <w:p>
      <w:pPr>
        <w:pStyle w:val="Normal"/>
        <w:rPr/>
      </w:pPr>
      <w:r>
        <w:rPr/>
      </w:r>
    </w:p>
    <w:p>
      <w:pPr>
        <w:pStyle w:val="Heading3"/>
        <w:ind w:hanging="0" w:start="0"/>
        <w:rPr/>
      </w:pPr>
      <w:r>
        <w:rPr/>
        <w:t>Payments to FPL:</w:t>
      </w:r>
    </w:p>
    <w:p>
      <w:pPr>
        <w:pStyle w:val="Normal"/>
        <w:ind w:start="2160" w:end="0"/>
        <w:rPr/>
      </w:pPr>
      <w:r>
        <w:rPr/>
        <w:t>Payments to FPL should be made by wire transfer for the account of FPL at the following location:</w:t>
      </w:r>
    </w:p>
    <w:p>
      <w:pPr>
        <w:pStyle w:val="Normal"/>
        <w:rPr/>
      </w:pPr>
      <w:r>
        <w:rPr/>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rPr/>
      </w:pPr>
      <w:r>
        <w:rPr/>
      </w:r>
    </w:p>
    <w:p>
      <w:pPr>
        <w:pStyle w:val="Heading3"/>
        <w:ind w:hanging="0" w:start="0"/>
        <w:rPr/>
      </w:pPr>
      <w:r>
        <w:rPr/>
        <w:t>Notices to ECT:</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r>
    </w:p>
    <w:p>
      <w:pPr>
        <w:pStyle w:val="Normal"/>
        <w:ind w:start="2160" w:end="0"/>
        <w:rPr/>
      </w:pPr>
      <w:r>
        <w:rPr/>
        <w:t>Attention: ___________________</w:t>
      </w:r>
    </w:p>
    <w:p>
      <w:pPr>
        <w:pStyle w:val="Normal"/>
        <w:ind w:start="2160" w:end="0"/>
        <w:rPr/>
      </w:pPr>
      <w:r>
        <w:rPr/>
        <w:t>___________________________</w:t>
        <w:br/>
      </w:r>
    </w:p>
    <w:p>
      <w:pPr>
        <w:pStyle w:val="Normal"/>
        <w:ind w:start="2160" w:end="0"/>
        <w:rPr>
          <w:u w:val="single"/>
        </w:rPr>
      </w:pPr>
      <w:r>
        <w:rPr>
          <w:u w:val="single"/>
        </w:rPr>
        <w:t>For oral notice and subsequent written confirmation:</w:t>
      </w:r>
    </w:p>
    <w:p>
      <w:pPr>
        <w:pStyle w:val="Normal"/>
        <w:ind w:start="2160" w:end="0"/>
        <w:rPr>
          <w:u w:val="single"/>
        </w:rPr>
      </w:pPr>
      <w:r>
        <w:rPr>
          <w:u w:val="single"/>
        </w:rPr>
      </w:r>
    </w:p>
    <w:p>
      <w:pPr>
        <w:pStyle w:val="Normal"/>
        <w:ind w:start="2160" w:end="0"/>
        <w:rPr/>
      </w:pPr>
      <w:r>
        <w:rPr>
          <w:u w:val="single"/>
        </w:rPr>
        <w:t>(</w:t>
      </w:r>
      <w:r>
        <w:rPr/>
        <w:t>713)___________________________</w:t>
        <w:br/>
        <w:t>Attention:  Designated Party ________________</w:t>
      </w:r>
    </w:p>
    <w:p>
      <w:pPr>
        <w:pStyle w:val="Normal"/>
        <w:ind w:start="2160" w:end="0"/>
        <w:rPr/>
      </w:pPr>
      <w:r>
        <w:rPr/>
      </w:r>
    </w:p>
    <w:p>
      <w:pPr>
        <w:pStyle w:val="Heading3"/>
        <w:ind w:hanging="0" w:start="0"/>
        <w:rPr/>
      </w:pPr>
      <w:r>
        <w:rPr/>
        <w:t>Payments to ECT:</w:t>
      </w:r>
    </w:p>
    <w:p>
      <w:pPr>
        <w:pStyle w:val="Normal"/>
        <w:ind w:start="2160" w:end="0"/>
        <w:rPr/>
      </w:pPr>
      <w:r>
        <w:rPr/>
        <w:t>Payments to ECT shall be made by wire transfer for the account of ECT at the following location:</w:t>
      </w:r>
    </w:p>
    <w:p>
      <w:pPr>
        <w:pStyle w:val="Normal"/>
        <w:rPr/>
      </w:pPr>
      <w:r>
        <w:rPr/>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t>___________________________</w:t>
      </w:r>
    </w:p>
    <w:p>
      <w:pPr>
        <w:pStyle w:val="Normal"/>
        <w:ind w:start="2160" w:end="0"/>
        <w:rPr/>
      </w:pPr>
      <w:r>
        <w:rPr/>
      </w:r>
    </w:p>
    <w:p>
      <w:pPr>
        <w:pStyle w:val="Normal"/>
        <w:ind w:start="2160" w:end="0"/>
        <w:rPr/>
      </w:pPr>
      <w:r>
        <w:rPr/>
        <w:t>Attention: ___________________</w:t>
      </w:r>
    </w:p>
    <w:p>
      <w:pPr>
        <w:pStyle w:val="Normal"/>
        <w:ind w:start="2160" w:end="0"/>
        <w:rPr/>
      </w:pPr>
      <w:r>
        <w:rPr/>
        <w:t>___________________________</w:t>
      </w:r>
    </w:p>
    <w:p>
      <w:pPr>
        <w:pStyle w:val="Normal"/>
        <w:rPr/>
      </w:pPr>
      <w:r>
        <w:rPr/>
      </w:r>
    </w:p>
    <w:p>
      <w:pPr>
        <w:pStyle w:val="Heading2"/>
        <w:ind w:hanging="0" w:start="0"/>
        <w:rPr/>
      </w:pPr>
      <w:r>
        <w:rPr/>
        <w:t>Either Party may change its address for purposes of notice, invoice, or payment by giving written notice to the other Party.</w:t>
      </w:r>
    </w:p>
    <w:p>
      <w:pPr>
        <w:pStyle w:val="Heading2"/>
        <w:ind w:hanging="0" w:start="0"/>
        <w:rPr/>
      </w:pPr>
      <w:r>
        <w:rPr/>
        <w:t>For purposes of this Agreement, all notices submitted in accordance with this Section 19 shall be deemed received by a Party upon confirmation of receipt.</w:t>
      </w:r>
      <w:r>
        <w:br w:type="page"/>
      </w:r>
    </w:p>
    <w:p>
      <w:pPr>
        <w:pStyle w:val="Heading1"/>
        <w:ind w:hanging="0" w:start="0"/>
        <w:rPr/>
      </w:pPr>
      <w:bookmarkStart w:id="19" w:name="__RefHeading___Toc457017802"/>
      <w:bookmarkEnd w:id="19"/>
      <w:r>
        <w:rPr/>
        <w:t>ARBITRATION</w:t>
      </w:r>
    </w:p>
    <w:p>
      <w:pPr>
        <w:pStyle w:val="Heading2"/>
        <w:ind w:hanging="0" w:start="0"/>
        <w:rPr/>
      </w:pPr>
      <w:r>
        <w:rPr/>
        <w:t xml:space="preserve">Whenever a dispute arises concerning this Agreement or any of the obligations hereunder, the affected Parties shall use their best efforts to resolve the dispute by mutual agreement.  In the event the Parties cannot reach such mutual agreement, the Parties shall arbitrate any disputes under this Agreement, unless otherwise agreed in writing, and the following shall apply:  </w:t>
      </w:r>
    </w:p>
    <w:p>
      <w:pPr>
        <w:pStyle w:val="Heading2"/>
        <w:ind w:hanging="0" w:start="0"/>
        <w:rPr/>
      </w:pPr>
      <w:r>
        <w:rPr/>
        <w:t>The arbitration shall be conducted in accordance with the Commercial Rules of Arbitration of the American Arbitration Association and in accordance with the provisions set forth in this Section 20.</w:t>
      </w:r>
    </w:p>
    <w:p>
      <w:pPr>
        <w:pStyle w:val="Heading2"/>
        <w:ind w:hanging="0" w:start="0"/>
        <w:rPr/>
      </w:pPr>
      <w:r>
        <w:rPr/>
        <w:t>The decision of the arbitrators with respect to such issues shall be binding on all Parties and shall be: (a) within the positions of the Parties; (b) reduced to writing with a full explanation of its factual and legal basis; and (c) rendered within thirty (30) days after all evidence and arguments have been submitted.  There shall be three (3) arbitrators.</w:t>
      </w:r>
    </w:p>
    <w:p>
      <w:pPr>
        <w:pStyle w:val="Heading2"/>
        <w:ind w:hanging="0" w:start="0"/>
        <w:rPr/>
      </w:pPr>
      <w:r>
        <w:rPr/>
        <w:t>Within twenty (20) days after the Parties’ agreement to arbitrate their dispute, the Party first requesting the arbitration shall inform the other Party of the name of its arbitrator.  The Party receiving the initial request to arbitrate shall name its arbitrator within twenty (20) days of the date of designation of the first arbitrator.  The two arbitrators so designated shall choose a third arbitrator within twenty (20) days of designation of the second arbitrator.  In the event that the Party receiving the request for arbitration fails to name an arbitrator within the time specified, then an arbitrator shall be named by the Chief Judge, United States District Court, Southern District of Florida.  In the event the Chief Judge fails to name such arbitrator within sixty (60) days, then the Party seeking arbitration shall request that the American Arbitration Association name the arbitrator.  In the event that the two arbitrators named fail to name a third arbitrator within the time specified, then the Chief Judge, United States District Court, Southern District of Florida, shall name the third arbitrator.  In the event the Chief Judge fails to name a third arbitrator within sixty (60) days, then the Party seeking arbitration shall request that the American Arbitration Association name the third arbitrator.</w:t>
      </w:r>
    </w:p>
    <w:p>
      <w:pPr>
        <w:pStyle w:val="Heading2"/>
        <w:ind w:hanging="0" w:start="0"/>
        <w:rPr/>
      </w:pPr>
      <w:r>
        <w:rPr/>
        <w:t>The Parties shall use good faith efforts to complete the arbitration hearing and collection of evidence within sixty (60) days of selection of the third arbitrator.</w:t>
      </w:r>
    </w:p>
    <w:p>
      <w:pPr>
        <w:pStyle w:val="Heading2"/>
        <w:ind w:hanging="0" w:start="0"/>
        <w:rPr/>
      </w:pPr>
      <w:r>
        <w:rPr/>
        <w:t>The Parties shall share equally the expense of the impartial arbitrator’s fee and, otherwise, each shall pay for its own costs and expenses incurred in connection with the binding arbitration.</w:t>
      </w:r>
      <w:r>
        <w:br w:type="page"/>
      </w:r>
    </w:p>
    <w:p>
      <w:pPr>
        <w:pStyle w:val="Heading1"/>
        <w:ind w:hanging="0" w:start="0"/>
        <w:rPr/>
      </w:pPr>
      <w:bookmarkStart w:id="20" w:name="__RefHeading___Toc457017803"/>
      <w:bookmarkEnd w:id="20"/>
      <w:r>
        <w:rPr/>
        <w:t>APPLICABLE STATE LAW AND CONSENT TO JURISDICTION</w:t>
      </w:r>
    </w:p>
    <w:p>
      <w:pPr>
        <w:pStyle w:val="BodyText"/>
        <w:rPr/>
      </w:pPr>
      <w:r>
        <w:rPr/>
        <w:t xml:space="preserve">THE RIGHTS, OBLIGATIONS AND REMEDIES OF THE PARTIES AS SPECIFIED UNDER THIS AGREEMENT SHALL BE INTERPRETED AND GOVERNED IN ALL RESPECTS BY THE LAWS OF THE STATE OF </w:t>
      </w:r>
      <w:r>
        <w:rPr>
          <w:b/>
        </w:rPr>
        <w:t xml:space="preserve">[FLORIDA/TEXAS—SUBJECT TO NEGOTIATION] </w:t>
      </w:r>
      <w:r>
        <w:rPr/>
        <w:t>WITHOUT REFERENCE TO ANY CONFLICT OF LAW OR CHOICE OF LAW PRINCIPLES IN THE STATE OF TEXAS THAT MIGHT APPLY THE LAW OF ANOTHER JURISDICTION.</w:t>
      </w:r>
      <w:r>
        <w:br w:type="page"/>
      </w:r>
    </w:p>
    <w:p>
      <w:pPr>
        <w:pStyle w:val="BodyText"/>
        <w:rPr/>
      </w:pPr>
      <w:r>
        <w:rPr/>
      </w:r>
    </w:p>
    <w:p>
      <w:pPr>
        <w:pStyle w:val="Heading1"/>
        <w:ind w:hanging="0" w:start="0"/>
        <w:rPr/>
      </w:pPr>
      <w:bookmarkStart w:id="21" w:name="__RefHeading___Toc457017804"/>
      <w:bookmarkEnd w:id="21"/>
      <w:r>
        <w:rPr/>
        <w:t>NOMINATION AND SCHEDULING</w:t>
      </w:r>
    </w:p>
    <w:p>
      <w:pPr>
        <w:pStyle w:val="Heading2"/>
        <w:ind w:hanging="0" w:start="0"/>
        <w:rPr/>
      </w:pPr>
      <w:r>
        <w:rPr/>
        <w:t xml:space="preserve">As of the commencement of service under the Agreement and until otherwise changed, and thereafter, upon thirty (30) days prior written request by FPL, ECT agrees to be responsible for nominating and scheduling all quantities under this Agreement.  Nominating and scheduling means that ECT shall deliver to FGT and/or SNG, or, if mutually agreed, any future Natural Gas service providers from whom FPL receives service, whichever applicable, in accordance with the provisions of their respective Tariffs, a nomination file that satisfies all the requirements of such Tariffs for confirmation and scheduling to occur.  </w:t>
      </w:r>
    </w:p>
    <w:p>
      <w:pPr>
        <w:pStyle w:val="Heading2"/>
        <w:ind w:hanging="0" w:start="0"/>
        <w:rPr/>
      </w:pPr>
      <w:r>
        <w:rPr/>
        <w:t>FPL shall have the right to take back the responsibility for nominating and scheduling all quantities under this Agreement at any time during the term of the Agreement upon thirty (30) days prior written notice.</w:t>
      </w:r>
    </w:p>
    <w:p>
      <w:pPr>
        <w:pStyle w:val="Heading2"/>
        <w:ind w:hanging="0" w:start="0"/>
        <w:rPr/>
      </w:pPr>
      <w:r>
        <w:rPr/>
        <w:t xml:space="preserve">The Party having the responsibility for nominating and scheduling shall be the sole party with the right to designate any and all Delivery Points on any day, consistent with Exhibit C and the applicable Tariff  of FGT and/or SNG.  </w:t>
      </w:r>
    </w:p>
    <w:p>
      <w:pPr>
        <w:pStyle w:val="Heading2"/>
        <w:ind w:hanging="0" w:start="0"/>
        <w:rPr/>
      </w:pPr>
      <w:r>
        <w:rPr/>
        <w:t>FPL and ECT will nominate volumes at designated firm Delivery Points up to the primary capacity, ranking these supplies with a priority of one (1).  ECT, when nominating a Delivery Point in excess of its primary capacity, will rank the volumes with a priority of fifty (50) or higher.  In the event of a change in FGT’s priority of service, both parties agree to develop a mutually agreeable resolution as to priority ranking methodology.</w:t>
      </w:r>
    </w:p>
    <w:p>
      <w:pPr>
        <w:pStyle w:val="Heading2"/>
        <w:ind w:hanging="0" w:start="0"/>
        <w:rPr/>
      </w:pPr>
      <w:r>
        <w:rPr/>
        <w:t xml:space="preserve">If, at any time, FERC approves a change to FGT’s and/or SNG’s FERC Gas Tariffs that adversely affects the priority ranking of volumes at Delivery Points, ECT and FPL agree to resolve promptly conflicts, if any, in order to restore the respective rights of the parties. </w:t>
      </w:r>
      <w:r>
        <w:br w:type="page"/>
      </w:r>
    </w:p>
    <w:p>
      <w:pPr>
        <w:pStyle w:val="Heading1"/>
        <w:ind w:hanging="0" w:start="0"/>
        <w:rPr/>
      </w:pPr>
      <w:bookmarkStart w:id="22" w:name="__RefHeading___Toc457017805"/>
      <w:bookmarkEnd w:id="22"/>
      <w:r>
        <w:rPr/>
        <w:t>MISCELLANEOUS</w:t>
      </w:r>
    </w:p>
    <w:p>
      <w:pPr>
        <w:pStyle w:val="Heading2"/>
        <w:ind w:hanging="0" w:start="0"/>
        <w:rPr/>
      </w:pPr>
      <w:r>
        <w:rPr/>
        <w:t>This Agreement shall be considered for all purposes as having been prepared through the joint efforts of the Parties.</w:t>
      </w:r>
    </w:p>
    <w:p>
      <w:pPr>
        <w:pStyle w:val="Heading2"/>
        <w:ind w:hanging="0" w:start="0"/>
        <w:rPr/>
      </w:pPr>
      <w:r>
        <w:rPr/>
        <w:t>This Agreement, including the attached Exhibits, is intended as the final, complete, and exclusive statement of the terms of the agreement between the Parties.  The Parties agree that parol or extrinsic evidence may not be used to vary or contradict the express terms of this Agreement.  This Agreement shall not be amended or modified, and no waiver of any provision hereof shall be effective, unless set forth in a written instrument authorized and executed with the same formality as this Agreement.</w:t>
      </w:r>
    </w:p>
    <w:p>
      <w:pPr>
        <w:pStyle w:val="Heading2"/>
        <w:ind w:hanging="0" w:start="0"/>
        <w:rPr/>
      </w:pPr>
      <w:r>
        <w:rPr/>
        <w:t xml:space="preserve">In the event of a conflict between the text of this Agreement and any attached Exhibits, the text of this Agreement shall govern.  In the event of a conflict between this Agreement, including the attached Exhibits, and any subsequent amendment to this Agreement, the amendment shall govern.  </w:t>
      </w:r>
    </w:p>
    <w:p>
      <w:pPr>
        <w:pStyle w:val="Heading2"/>
        <w:ind w:hanging="0" w:start="0"/>
        <w:rPr/>
      </w:pPr>
      <w:r>
        <w:rPr/>
        <w:t>Section headings appearing in this Agreement are inserted for convenience only, and shall not be deemed to establish, modify, or affect the rights and obligations of the Parties to this Agreement.</w:t>
      </w:r>
    </w:p>
    <w:p>
      <w:pPr>
        <w:pStyle w:val="Heading2"/>
        <w:ind w:hanging="0" w:start="0"/>
        <w:rPr/>
      </w:pPr>
      <w:r>
        <w:rPr/>
        <w:t>No waiver by a Party of any one or more defaults by another Party in the performance of any provision or provisions of this Agreement shall operate or be construed as a waiver of any other default or defaults, whether of a like or a different character.</w:t>
      </w:r>
    </w:p>
    <w:p>
      <w:pPr>
        <w:pStyle w:val="Heading2"/>
        <w:ind w:hanging="0" w:start="0"/>
        <w:rPr/>
      </w:pPr>
      <w:r>
        <w:rPr/>
        <w:t>This Agreement constitutes the final agreement between the Parties hereto with respect to the matters set forth herein and supersedes all prior agreements, contracts and representations, written and oral, pertaining to such matters.</w:t>
      </w:r>
      <w:r>
        <w:br w:type="page"/>
      </w:r>
    </w:p>
    <w:p>
      <w:pPr>
        <w:pStyle w:val="BodyText"/>
        <w:rPr/>
      </w:pPr>
      <w:r>
        <w:rPr/>
        <w:t>IN WITNESS WHEREOF, the Parties hereto have made an Agreement to be signed by their duly authorized officers on the dates set forth below, to be effective as of the date first written above.</w:t>
      </w:r>
    </w:p>
    <w:p>
      <w:pPr>
        <w:pStyle w:val="Normal"/>
        <w:rPr/>
      </w:pPr>
      <w:r>
        <w:rPr/>
      </w:r>
    </w:p>
    <w:p>
      <w:pPr>
        <w:pStyle w:val="Normal"/>
        <w:rPr/>
      </w:pPr>
      <w:r>
        <w:rPr/>
        <w:t>ATTEST:</w:t>
        <w:tab/>
        <w:tab/>
        <w:tab/>
        <w:tab/>
        <w:tab/>
        <w:t xml:space="preserve">ENRON CAPITAL &amp; TRADE </w:t>
      </w:r>
    </w:p>
    <w:p>
      <w:pPr>
        <w:pStyle w:val="Normal"/>
        <w:rPr/>
      </w:pPr>
      <w:r>
        <w:rPr/>
        <w:tab/>
        <w:tab/>
        <w:tab/>
        <w:tab/>
        <w:tab/>
        <w:tab/>
        <w:t>RESOURCES CORP.</w:t>
      </w:r>
    </w:p>
    <w:p>
      <w:pPr>
        <w:pStyle w:val="Normal"/>
        <w:rPr/>
      </w:pPr>
      <w:r>
        <w:rPr/>
      </w:r>
    </w:p>
    <w:p>
      <w:pPr>
        <w:pStyle w:val="Normal"/>
        <w:rPr/>
      </w:pPr>
      <w:r>
        <w:rPr/>
        <w:tab/>
        <w:tab/>
        <w:tab/>
        <w:tab/>
        <w:tab/>
        <w:tab/>
        <w:t>BY: _____________________</w:t>
      </w:r>
    </w:p>
    <w:p>
      <w:pPr>
        <w:pStyle w:val="Normal"/>
        <w:rPr/>
      </w:pPr>
      <w:r>
        <w:rPr/>
      </w:r>
    </w:p>
    <w:p>
      <w:pPr>
        <w:pStyle w:val="Normal"/>
        <w:rPr/>
      </w:pPr>
      <w:r>
        <w:rPr/>
        <w:t>BY: _____________________</w:t>
        <w:tab/>
        <w:tab/>
        <w:tab/>
        <w:t>TITLE:___________________</w:t>
      </w:r>
    </w:p>
    <w:p>
      <w:pPr>
        <w:pStyle w:val="Normal"/>
        <w:rPr/>
      </w:pPr>
      <w:r>
        <w:rPr/>
      </w:r>
    </w:p>
    <w:p>
      <w:pPr>
        <w:pStyle w:val="Normal"/>
        <w:rPr/>
      </w:pPr>
      <w:r>
        <w:rPr/>
        <w:t>TITLE: __________________</w:t>
        <w:tab/>
        <w:tab/>
        <w:tab/>
        <w:t>DATE:____________________</w:t>
      </w:r>
    </w:p>
    <w:p>
      <w:pPr>
        <w:pStyle w:val="Normal"/>
        <w:rPr/>
      </w:pPr>
      <w:r>
        <w:rPr/>
      </w:r>
    </w:p>
    <w:p>
      <w:pPr>
        <w:pStyle w:val="Normal"/>
        <w:rPr/>
      </w:pPr>
      <w:r>
        <w:rPr/>
      </w:r>
    </w:p>
    <w:p>
      <w:pPr>
        <w:pStyle w:val="Normal"/>
        <w:rPr/>
      </w:pPr>
      <w:r>
        <w:rPr/>
      </w:r>
    </w:p>
    <w:p>
      <w:pPr>
        <w:pStyle w:val="Normal"/>
        <w:rPr/>
      </w:pPr>
      <w:r>
        <w:rPr/>
        <w:t>ATTEST:</w:t>
        <w:tab/>
        <w:tab/>
        <w:tab/>
        <w:tab/>
        <w:tab/>
        <w:t>FLORIDA POWER &amp; LIGHT COMPANY</w:t>
      </w:r>
    </w:p>
    <w:p>
      <w:pPr>
        <w:pStyle w:val="Normal"/>
        <w:rPr/>
      </w:pPr>
      <w:r>
        <w:rPr/>
      </w:r>
    </w:p>
    <w:p>
      <w:pPr>
        <w:pStyle w:val="Normal"/>
        <w:rPr/>
      </w:pPr>
      <w:r>
        <w:rPr/>
        <w:tab/>
        <w:tab/>
        <w:tab/>
        <w:tab/>
        <w:tab/>
        <w:tab/>
        <w:t>BY: _____________________</w:t>
      </w:r>
    </w:p>
    <w:p>
      <w:pPr>
        <w:pStyle w:val="Normal"/>
        <w:rPr/>
      </w:pPr>
      <w:r>
        <w:rPr/>
      </w:r>
    </w:p>
    <w:p>
      <w:pPr>
        <w:pStyle w:val="Normal"/>
        <w:rPr/>
      </w:pPr>
      <w:r>
        <w:rPr/>
        <w:t>BY: _____________________</w:t>
        <w:tab/>
        <w:tab/>
        <w:tab/>
        <w:t>TITLE:___________________</w:t>
      </w:r>
    </w:p>
    <w:p>
      <w:pPr>
        <w:pStyle w:val="Normal"/>
        <w:rPr/>
      </w:pPr>
      <w:r>
        <w:rPr/>
      </w:r>
    </w:p>
    <w:p>
      <w:pPr>
        <w:pStyle w:val="Normal"/>
        <w:rPr/>
      </w:pPr>
      <w:r>
        <w:rPr/>
        <w:t>TITLE: __________________</w:t>
        <w:tab/>
        <w:tab/>
        <w:tab/>
        <w:t>DATE:___________________</w:t>
      </w:r>
    </w:p>
    <w:p>
      <w:pPr>
        <w:pStyle w:val="Normal"/>
        <w:rPr/>
      </w:pPr>
      <w:r>
        <w:rPr/>
      </w:r>
    </w:p>
    <w:p>
      <w:pPr>
        <w:pStyle w:val="Normal"/>
        <w:rPr/>
      </w:pPr>
      <w:r>
        <w:rPr/>
      </w:r>
    </w:p>
    <w:p>
      <w:pPr>
        <w:pStyle w:val="Normal"/>
        <w:rPr/>
      </w:pPr>
      <w:r>
        <w:rPr/>
      </w:r>
    </w:p>
    <w:p>
      <w:pPr>
        <w:pStyle w:val="Normal"/>
        <w:rPr/>
      </w:pPr>
      <w:r>
        <w:rPr/>
        <w:t>ATTEST:</w:t>
        <w:tab/>
        <w:tab/>
        <w:tab/>
        <w:tab/>
        <w:tab/>
        <w:t>ENRON CORP.</w:t>
      </w:r>
    </w:p>
    <w:p>
      <w:pPr>
        <w:pStyle w:val="Normal"/>
        <w:rPr/>
      </w:pPr>
      <w:r>
        <w:rPr/>
      </w:r>
    </w:p>
    <w:p>
      <w:pPr>
        <w:pStyle w:val="Normal"/>
        <w:rPr/>
      </w:pPr>
      <w:r>
        <w:rPr/>
        <w:tab/>
        <w:tab/>
        <w:tab/>
        <w:tab/>
        <w:tab/>
        <w:tab/>
        <w:t>BY: _____________________</w:t>
      </w:r>
    </w:p>
    <w:p>
      <w:pPr>
        <w:pStyle w:val="Normal"/>
        <w:rPr/>
      </w:pPr>
      <w:r>
        <w:rPr/>
      </w:r>
    </w:p>
    <w:p>
      <w:pPr>
        <w:pStyle w:val="Normal"/>
        <w:rPr/>
      </w:pPr>
      <w:r>
        <w:rPr/>
        <w:t>BY: _____________________</w:t>
        <w:tab/>
        <w:tab/>
        <w:tab/>
        <w:t>TITLE:___________________</w:t>
      </w:r>
    </w:p>
    <w:p>
      <w:pPr>
        <w:pStyle w:val="Normal"/>
        <w:rPr/>
      </w:pPr>
      <w:r>
        <w:rPr/>
      </w:r>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Normal"/>
        <w:rPr/>
      </w:pPr>
      <w:r>
        <w:rPr/>
        <w:t>TITLE: __________________</w:t>
        <w:tab/>
        <w:tab/>
        <w:tab/>
        <w:t>DATE:___________________</w:t>
      </w:r>
    </w:p>
    <w:p>
      <w:pPr>
        <w:pStyle w:val="Normal"/>
        <w:jc w:val="center"/>
        <w:rPr>
          <w:caps/>
        </w:rPr>
      </w:pPr>
      <w:r>
        <w:rPr>
          <w:caps/>
        </w:rPr>
        <w:t>exHIBIT A</w:t>
      </w:r>
      <w:r>
        <w:fldChar w:fldCharType="begin"/>
      </w:r>
      <w:r>
        <w:rPr/>
        <w:instrText xml:space="preserve"> TC "exHIBIT A CONTRACT PRICE FOR THE BASE QUANTITIES" \l 1 </w:instrText>
      </w:r>
      <w:r>
        <w:rPr/>
        <w:fldChar w:fldCharType="separate"/>
      </w:r>
      <w:r>
        <w:rPr/>
      </w:r>
      <w:r>
        <w:rPr/>
        <w:fldChar w:fldCharType="end"/>
      </w:r>
      <w:bookmarkStart w:id="23" w:name="__RefHeading___Toc457017806"/>
      <w:bookmarkEnd w:id="23"/>
    </w:p>
    <w:p>
      <w:pPr>
        <w:pStyle w:val="Normal"/>
        <w:jc w:val="center"/>
        <w:rPr>
          <w:caps/>
        </w:rPr>
      </w:pPr>
      <w:r>
        <w:rPr>
          <w:caps/>
        </w:rPr>
        <w:t>TO</w:t>
      </w:r>
    </w:p>
    <w:p>
      <w:pPr>
        <w:pStyle w:val="Normal"/>
        <w:jc w:val="center"/>
        <w:rPr>
          <w:caps/>
        </w:rPr>
      </w:pPr>
      <w:r>
        <w:rPr>
          <w:caps/>
        </w:rPr>
        <w:t>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DATED:_______________, 1999</w:t>
      </w:r>
    </w:p>
    <w:p>
      <w:pPr>
        <w:pStyle w:val="Normal"/>
        <w:jc w:val="center"/>
        <w:rPr>
          <w:caps/>
        </w:rPr>
      </w:pPr>
      <w:r>
        <w:rPr>
          <w:caps/>
        </w:rPr>
      </w:r>
    </w:p>
    <w:p>
      <w:pPr>
        <w:pStyle w:val="Normal"/>
        <w:jc w:val="center"/>
        <w:rPr>
          <w:caps/>
          <w:u w:val="single"/>
        </w:rPr>
      </w:pPr>
      <w:r>
        <w:rPr>
          <w:caps/>
          <w:u w:val="single"/>
        </w:rPr>
        <w:t>contract price for the base quantities</w:t>
      </w:r>
    </w:p>
    <w:p>
      <w:pPr>
        <w:pStyle w:val="Normal"/>
        <w:rPr>
          <w:caps/>
          <w:u w:val="single"/>
        </w:rPr>
      </w:pPr>
      <w:r>
        <w:rPr>
          <w:caps/>
          <w:u w:val="single"/>
        </w:rPr>
      </w:r>
    </w:p>
    <w:p>
      <w:pPr>
        <w:pStyle w:val="Normal"/>
        <w:jc w:val="center"/>
        <w:rPr/>
      </w:pPr>
      <w:r>
        <w:rPr>
          <w:b/>
        </w:rPr>
        <w:t xml:space="preserve">August </w:t>
      </w:r>
      <w:r>
        <w:rPr>
          <w:b/>
          <w:caps/>
        </w:rPr>
        <w:t xml:space="preserve">1999 </w:t>
      </w:r>
      <w:r>
        <w:rPr>
          <w:b/>
        </w:rPr>
        <w:t xml:space="preserve">Through June </w:t>
      </w:r>
      <w:r>
        <w:rPr>
          <w:b/>
          <w:caps/>
        </w:rPr>
        <w:t>2001*</w:t>
      </w:r>
    </w:p>
    <w:p>
      <w:pPr>
        <w:pStyle w:val="Normal"/>
        <w:jc w:val="center"/>
        <w:rPr>
          <w:b/>
          <w:caps/>
        </w:rPr>
      </w:pPr>
      <w:r>
        <w:rPr>
          <w:b/>
          <w:caps/>
        </w:rPr>
      </w:r>
    </w:p>
    <w:tbl>
      <w:tblPr>
        <w:tblW w:w="8718" w:type="dxa"/>
        <w:jc w:val="start"/>
        <w:tblInd w:w="570" w:type="dxa"/>
        <w:tblLayout w:type="fixed"/>
        <w:tblCellMar>
          <w:top w:w="0" w:type="dxa"/>
          <w:start w:w="30" w:type="dxa"/>
          <w:bottom w:w="0" w:type="dxa"/>
          <w:end w:w="30" w:type="dxa"/>
        </w:tblCellMar>
      </w:tblPr>
      <w:tblGrid>
        <w:gridCol w:w="990"/>
        <w:gridCol w:w="326"/>
        <w:gridCol w:w="617"/>
        <w:gridCol w:w="617"/>
        <w:gridCol w:w="690"/>
        <w:gridCol w:w="544"/>
        <w:gridCol w:w="616"/>
        <w:gridCol w:w="617"/>
        <w:gridCol w:w="617"/>
        <w:gridCol w:w="617"/>
        <w:gridCol w:w="617"/>
        <w:gridCol w:w="616"/>
        <w:gridCol w:w="617"/>
        <w:gridCol w:w="617"/>
      </w:tblGrid>
      <w:tr>
        <w:trPr>
          <w:trHeight w:val="151" w:hRule="atLeast"/>
        </w:trPr>
        <w:tc>
          <w:tcPr>
            <w:tcW w:w="990"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326" w:type="dxa"/>
            <w:tcBorders>
              <w:top w:val="single" w:sz="6" w:space="0" w:color="000000"/>
            </w:tcBorders>
          </w:tcPr>
          <w:p>
            <w:pPr>
              <w:pStyle w:val="Normal"/>
              <w:snapToGrid w:val="false"/>
              <w:jc w:val="center"/>
              <w:rPr>
                <w:rFonts w:ascii="Arial" w:hAnsi="Arial" w:cs="Arial"/>
                <w:color w:val="000000"/>
                <w:sz w:val="12"/>
                <w:u w:val="single"/>
                <w:lang w:eastAsia="en-US"/>
              </w:rPr>
            </w:pPr>
            <w:r>
              <w:rPr>
                <w:rFonts w:cs="Arial" w:ascii="Arial" w:hAnsi="Arial"/>
                <w:color w:val="000000"/>
                <w:sz w:val="12"/>
                <w:u w:val="single"/>
                <w:lang w:eastAsia="en-US"/>
              </w:rPr>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October</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99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131,870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131,870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131,870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35,013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131,870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131,870 </w:t>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194,130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194,130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194,130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196,987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194,130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194,130 </w:t>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r>
      <w:tr>
        <w:trPr>
          <w:trHeight w:val="151" w:hRule="atLeast"/>
        </w:trPr>
        <w:tc>
          <w:tcPr>
            <w:tcW w:w="99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316" w:type="dxa"/>
            <w:gridSpan w:val="2"/>
            <w:tcBorders>
              <w:start w:val="single" w:sz="6" w:space="0" w:color="000000"/>
              <w:bottom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0" w:type="dxa"/>
            <w:vMerge w:val="continue"/>
            <w:tcBorders>
              <w:bottom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690"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544"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6"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6"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617" w:type="dxa"/>
            <w:tcBorders>
              <w:bottom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r>
    </w:tbl>
    <w:p>
      <w:pPr>
        <w:pStyle w:val="Normal"/>
        <w:jc w:val="center"/>
        <w:rPr/>
      </w:pPr>
      <w:r>
        <w:rPr/>
      </w:r>
    </w:p>
    <w:p>
      <w:pPr>
        <w:pStyle w:val="Normal"/>
        <w:jc w:val="center"/>
        <w:rPr>
          <w:b/>
        </w:rPr>
      </w:pPr>
      <w:r>
        <w:rPr>
          <w:b/>
        </w:rPr>
        <w:t>July 2001 through June 2003</w:t>
      </w:r>
    </w:p>
    <w:p>
      <w:pPr>
        <w:pStyle w:val="Normal"/>
        <w:rPr>
          <w:b/>
        </w:rPr>
      </w:pPr>
      <w:r>
        <w:rPr>
          <w:b/>
        </w:rPr>
      </w:r>
    </w:p>
    <w:tbl>
      <w:tblPr>
        <w:tblW w:w="8751" w:type="dxa"/>
        <w:jc w:val="start"/>
        <w:tblInd w:w="570" w:type="dxa"/>
        <w:tblLayout w:type="fixed"/>
        <w:tblCellMar>
          <w:top w:w="0" w:type="dxa"/>
          <w:start w:w="30" w:type="dxa"/>
          <w:bottom w:w="0" w:type="dxa"/>
          <w:end w:w="30" w:type="dxa"/>
        </w:tblCellMar>
      </w:tblPr>
      <w:tblGrid>
        <w:gridCol w:w="990"/>
        <w:gridCol w:w="326"/>
        <w:gridCol w:w="33"/>
        <w:gridCol w:w="584"/>
        <w:gridCol w:w="33"/>
        <w:gridCol w:w="584"/>
        <w:gridCol w:w="33"/>
        <w:gridCol w:w="657"/>
        <w:gridCol w:w="33"/>
        <w:gridCol w:w="511"/>
        <w:gridCol w:w="33"/>
        <w:gridCol w:w="583"/>
        <w:gridCol w:w="33"/>
        <w:gridCol w:w="584"/>
        <w:gridCol w:w="33"/>
        <w:gridCol w:w="584"/>
        <w:gridCol w:w="33"/>
        <w:gridCol w:w="584"/>
        <w:gridCol w:w="33"/>
        <w:gridCol w:w="584"/>
        <w:gridCol w:w="33"/>
        <w:gridCol w:w="583"/>
        <w:gridCol w:w="33"/>
        <w:gridCol w:w="584"/>
        <w:gridCol w:w="33"/>
        <w:gridCol w:w="584"/>
        <w:gridCol w:w="33"/>
      </w:tblGrid>
      <w:tr>
        <w:trPr>
          <w:trHeight w:val="151" w:hRule="atLeast"/>
        </w:trPr>
        <w:tc>
          <w:tcPr>
            <w:tcW w:w="990"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326" w:type="dxa"/>
            <w:tcBorders>
              <w:top w:val="single" w:sz="6" w:space="0" w:color="000000"/>
            </w:tcBorders>
          </w:tcPr>
          <w:p>
            <w:pPr>
              <w:pStyle w:val="Normal"/>
              <w:snapToGrid w:val="false"/>
              <w:jc w:val="center"/>
              <w:rPr>
                <w:rFonts w:ascii="Arial" w:hAnsi="Arial" w:cs="Arial"/>
                <w:color w:val="000000"/>
                <w:sz w:val="12"/>
                <w:u w:val="single"/>
                <w:lang w:eastAsia="en-US"/>
              </w:rPr>
            </w:pPr>
            <w:r>
              <w:rPr>
                <w:rFonts w:cs="Arial" w:ascii="Arial" w:hAnsi="Arial"/>
                <w:color w:val="000000"/>
                <w:sz w:val="12"/>
                <w:u w:val="single"/>
                <w:lang w:eastAsia="en-US"/>
              </w:rPr>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October</w:t>
            </w:r>
          </w:p>
        </w:tc>
        <w:tc>
          <w:tcPr>
            <w:tcW w:w="616"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gridSpan w:val="2"/>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141,870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141,870 </w:t>
            </w:r>
          </w:p>
        </w:tc>
        <w:tc>
          <w:tcPr>
            <w:tcW w:w="690"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141,870 </w:t>
            </w:r>
          </w:p>
        </w:tc>
        <w:tc>
          <w:tcPr>
            <w:tcW w:w="544"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37,583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35,013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141,870 </w:t>
            </w:r>
          </w:p>
        </w:tc>
        <w:tc>
          <w:tcPr>
            <w:tcW w:w="617"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141,870 </w:t>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227,130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227,130 </w:t>
            </w:r>
          </w:p>
        </w:tc>
        <w:tc>
          <w:tcPr>
            <w:tcW w:w="690"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227,130 </w:t>
            </w:r>
          </w:p>
        </w:tc>
        <w:tc>
          <w:tcPr>
            <w:tcW w:w="544"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237,417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237,417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237,417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237,417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237,417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237,417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239,987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227,130 </w:t>
            </w:r>
          </w:p>
        </w:tc>
        <w:tc>
          <w:tcPr>
            <w:tcW w:w="617"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227,130 </w:t>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90"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544"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2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316" w:type="dxa"/>
            <w:gridSpan w:val="2"/>
            <w:tcBorders>
              <w:start w:val="single" w:sz="6" w:space="0" w:color="000000"/>
              <w:bottom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0" w:type="dxa"/>
            <w:vMerge w:val="continue"/>
            <w:tcBorders>
              <w:bottom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690"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544"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6"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6"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617" w:type="dxa"/>
            <w:gridSpan w:val="2"/>
            <w:tcBorders>
              <w:bottom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33" w:type="dxa"/>
            <w:tcBorders/>
            <w:tcMar>
              <w:start w:w="0" w:type="dxa"/>
              <w:end w:w="0" w:type="dxa"/>
            </w:tcMar>
          </w:tcPr>
          <w:p>
            <w:pPr>
              <w:pStyle w:val="Normal"/>
              <w:snapToGrid w:val="false"/>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8718" w:type="dxa"/>
            <w:gridSpan w:val="26"/>
            <w:tcBorders/>
          </w:tcPr>
          <w:p>
            <w:pPr>
              <w:pStyle w:val="Normal"/>
              <w:snapToGrid w:val="false"/>
              <w:jc w:val="center"/>
              <w:rPr>
                <w:rFonts w:ascii="Arial" w:hAnsi="Arial" w:cs="Arial"/>
                <w:b/>
                <w:color w:val="FF0000"/>
                <w:sz w:val="12"/>
                <w:lang w:eastAsia="en-US"/>
              </w:rPr>
            </w:pPr>
            <w:r>
              <w:rPr>
                <w:rFonts w:cs="Arial" w:ascii="Arial" w:hAnsi="Arial"/>
                <w:b/>
                <w:color w:val="FF0000"/>
                <w:sz w:val="12"/>
                <w:lang w:eastAsia="en-US"/>
              </w:rPr>
            </w:r>
          </w:p>
          <w:p>
            <w:pPr>
              <w:pStyle w:val="Normal"/>
              <w:jc w:val="center"/>
              <w:rPr>
                <w:b/>
                <w:color w:val="FF0000"/>
                <w:lang w:eastAsia="en-US"/>
              </w:rPr>
            </w:pPr>
            <w:r>
              <w:rPr>
                <w:b/>
                <w:color w:val="000000"/>
                <w:lang w:eastAsia="en-US"/>
              </w:rPr>
              <w:t>July 2003 Through July 2005</w:t>
            </w:r>
          </w:p>
          <w:p>
            <w:pPr>
              <w:pStyle w:val="Normal"/>
              <w:jc w:val="center"/>
              <w:rPr>
                <w:rFonts w:ascii="Arial" w:hAnsi="Arial" w:cs="Arial"/>
                <w:b/>
                <w:color w:val="000000"/>
                <w:sz w:val="12"/>
                <w:lang w:eastAsia="en-US"/>
              </w:rPr>
            </w:pPr>
            <w:r>
              <w:rPr>
                <w:rFonts w:cs="Arial" w:ascii="Arial" w:hAnsi="Arial"/>
                <w:b/>
                <w:color w:val="000000"/>
                <w:sz w:val="12"/>
                <w:lang w:eastAsia="en-US"/>
              </w:rPr>
            </w:r>
          </w:p>
        </w:tc>
        <w:tc>
          <w:tcPr>
            <w:tcW w:w="33" w:type="dxa"/>
            <w:tcBorders/>
            <w:tcMar>
              <w:start w:w="0" w:type="dxa"/>
              <w:end w:w="0" w:type="dxa"/>
            </w:tcMar>
          </w:tcPr>
          <w:p>
            <w:pPr>
              <w:pStyle w:val="Normal"/>
              <w:snapToGrid w:val="false"/>
              <w:rPr>
                <w:rFonts w:ascii="Arial" w:hAnsi="Arial" w:cs="Arial"/>
                <w:b/>
                <w:color w:val="000000"/>
                <w:sz w:val="12"/>
                <w:lang w:eastAsia="en-US"/>
              </w:rPr>
            </w:pPr>
            <w:r>
              <w:rPr>
                <w:rFonts w:cs="Arial" w:ascii="Arial" w:hAnsi="Arial"/>
                <w:b/>
                <w:color w:val="000000"/>
                <w:sz w:val="12"/>
                <w:lang w:eastAsia="en-US"/>
              </w:rPr>
            </w:r>
          </w:p>
        </w:tc>
      </w:tr>
      <w:tr>
        <w:trPr>
          <w:trHeight w:val="151" w:hRule="atLeast"/>
        </w:trPr>
        <w:tc>
          <w:tcPr>
            <w:tcW w:w="990"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359" w:type="dxa"/>
            <w:gridSpan w:val="2"/>
            <w:tcBorders>
              <w:top w:val="single" w:sz="6" w:space="0" w:color="000000"/>
            </w:tcBorders>
          </w:tcPr>
          <w:p>
            <w:pPr>
              <w:pStyle w:val="Normal"/>
              <w:snapToGrid w:val="false"/>
              <w:jc w:val="center"/>
              <w:rPr>
                <w:rFonts w:ascii="Arial" w:hAnsi="Arial" w:cs="Arial"/>
                <w:color w:val="000000"/>
                <w:sz w:val="12"/>
                <w:u w:val="single"/>
                <w:lang w:eastAsia="en-US"/>
              </w:rPr>
            </w:pPr>
            <w:r>
              <w:rPr>
                <w:rFonts w:cs="Arial" w:ascii="Arial" w:hAnsi="Arial"/>
                <w:color w:val="000000"/>
                <w:sz w:val="12"/>
                <w:u w:val="single"/>
                <w:lang w:eastAsia="en-US"/>
              </w:rPr>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gridSpan w:val="2"/>
            <w:tcBorders>
              <w:top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October</w:t>
            </w:r>
          </w:p>
        </w:tc>
        <w:tc>
          <w:tcPr>
            <w:tcW w:w="616"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gridSpan w:val="2"/>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gridSpan w:val="2"/>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99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5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35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142,072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142,072 </w:t>
            </w:r>
          </w:p>
        </w:tc>
        <w:tc>
          <w:tcPr>
            <w:tcW w:w="690"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142,072 </w:t>
            </w:r>
          </w:p>
        </w:tc>
        <w:tc>
          <w:tcPr>
            <w:tcW w:w="544"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48,923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142,072 </w:t>
            </w:r>
          </w:p>
        </w:tc>
        <w:tc>
          <w:tcPr>
            <w:tcW w:w="617"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142,072 </w:t>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35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270,528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270,528 </w:t>
            </w:r>
          </w:p>
        </w:tc>
        <w:tc>
          <w:tcPr>
            <w:tcW w:w="690"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270,528 </w:t>
            </w:r>
          </w:p>
        </w:tc>
        <w:tc>
          <w:tcPr>
            <w:tcW w:w="544"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267,107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267,107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267,107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267,107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267,107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267,107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269,677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270,528 </w:t>
            </w:r>
          </w:p>
        </w:tc>
        <w:tc>
          <w:tcPr>
            <w:tcW w:w="617"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270,528 </w:t>
            </w:r>
          </w:p>
        </w:tc>
      </w:tr>
      <w:tr>
        <w:trPr>
          <w:trHeight w:val="151" w:hRule="atLeast"/>
        </w:trPr>
        <w:tc>
          <w:tcPr>
            <w:tcW w:w="99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35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90"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544"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6"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gridSpan w:val="2"/>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r>
      <w:tr>
        <w:trPr>
          <w:trHeight w:val="151" w:hRule="atLeast"/>
        </w:trPr>
        <w:tc>
          <w:tcPr>
            <w:tcW w:w="99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359"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349" w:type="dxa"/>
            <w:gridSpan w:val="3"/>
            <w:tcBorders>
              <w:start w:val="single" w:sz="6" w:space="0" w:color="000000"/>
              <w:bottom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0" w:type="dxa"/>
            <w:vMerge w:val="continue"/>
            <w:tcBorders>
              <w:bottom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690"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544"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gridSpan w:val="2"/>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617" w:type="dxa"/>
            <w:gridSpan w:val="2"/>
            <w:tcBorders>
              <w:bottom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r>
    </w:tbl>
    <w:p>
      <w:pPr>
        <w:pStyle w:val="Normal"/>
        <w:jc w:val="center"/>
        <w:rPr>
          <w:b/>
        </w:rPr>
      </w:pPr>
      <w:r>
        <w:rPr>
          <w:b/>
        </w:rPr>
      </w:r>
    </w:p>
    <w:p>
      <w:pPr>
        <w:pStyle w:val="Normal"/>
        <w:jc w:val="center"/>
        <w:rPr>
          <w:b/>
        </w:rPr>
      </w:pPr>
      <w:r>
        <w:rPr>
          <w:b/>
        </w:rPr>
        <w:t>August 2005 Through February 2010</w:t>
      </w:r>
    </w:p>
    <w:p>
      <w:pPr>
        <w:pStyle w:val="Normal"/>
        <w:rPr>
          <w:b/>
        </w:rPr>
      </w:pPr>
      <w:r>
        <w:rPr>
          <w:b/>
        </w:rPr>
      </w:r>
    </w:p>
    <w:tbl>
      <w:tblPr>
        <w:tblW w:w="8808" w:type="dxa"/>
        <w:jc w:val="start"/>
        <w:tblInd w:w="480" w:type="dxa"/>
        <w:tblLayout w:type="fixed"/>
        <w:tblCellMar>
          <w:top w:w="0" w:type="dxa"/>
          <w:start w:w="30" w:type="dxa"/>
          <w:bottom w:w="0" w:type="dxa"/>
          <w:end w:w="30" w:type="dxa"/>
        </w:tblCellMar>
      </w:tblPr>
      <w:tblGrid>
        <w:gridCol w:w="900"/>
        <w:gridCol w:w="506"/>
        <w:gridCol w:w="617"/>
        <w:gridCol w:w="617"/>
        <w:gridCol w:w="690"/>
        <w:gridCol w:w="544"/>
        <w:gridCol w:w="616"/>
        <w:gridCol w:w="617"/>
        <w:gridCol w:w="617"/>
        <w:gridCol w:w="617"/>
        <w:gridCol w:w="617"/>
        <w:gridCol w:w="616"/>
        <w:gridCol w:w="617"/>
        <w:gridCol w:w="617"/>
      </w:tblGrid>
      <w:tr>
        <w:trPr>
          <w:trHeight w:val="151" w:hRule="atLeast"/>
        </w:trPr>
        <w:tc>
          <w:tcPr>
            <w:tcW w:w="900"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506" w:type="dxa"/>
            <w:tcBorders>
              <w:top w:val="single" w:sz="6" w:space="0" w:color="000000"/>
            </w:tcBorders>
          </w:tcPr>
          <w:p>
            <w:pPr>
              <w:pStyle w:val="Normal"/>
              <w:snapToGrid w:val="false"/>
              <w:jc w:val="center"/>
              <w:rPr>
                <w:rFonts w:ascii="Arial" w:hAnsi="Arial" w:cs="Arial"/>
                <w:color w:val="000000"/>
                <w:sz w:val="12"/>
                <w:u w:val="single"/>
                <w:lang w:eastAsia="en-US"/>
              </w:rPr>
            </w:pPr>
            <w:r>
              <w:rPr>
                <w:rFonts w:cs="Arial" w:ascii="Arial" w:hAnsi="Arial"/>
                <w:color w:val="000000"/>
                <w:sz w:val="12"/>
                <w:u w:val="single"/>
                <w:lang w:eastAsia="en-US"/>
              </w:rPr>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October</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1406" w:type="dxa"/>
            <w:gridSpan w:val="2"/>
            <w:tcBorders>
              <w:start w:val="single" w:sz="6" w:space="0" w:color="000000"/>
            </w:tcBorders>
          </w:tcPr>
          <w:p>
            <w:pPr>
              <w:pStyle w:val="Normal"/>
              <w:snapToGrid w:val="false"/>
              <w:rPr>
                <w:rFonts w:ascii="Arial" w:hAnsi="Arial" w:cs="Arial"/>
                <w:color w:val="000000"/>
                <w:sz w:val="12"/>
                <w:lang w:eastAsia="en-US"/>
              </w:rPr>
            </w:pPr>
            <w:r>
              <w:rPr>
                <w:rFonts w:cs="Arial" w:ascii="Arial" w:hAnsi="Arial"/>
                <w:color w:val="000000"/>
                <w:sz w:val="12"/>
                <w:lang w:eastAsia="en-US"/>
              </w:rPr>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90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50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116,075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116,075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116,075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51,493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48,923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116,075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116,075 </w:t>
            </w:r>
          </w:p>
        </w:tc>
      </w:tr>
      <w:tr>
        <w:trPr>
          <w:trHeight w:val="151" w:hRule="atLeast"/>
        </w:trPr>
        <w:tc>
          <w:tcPr>
            <w:tcW w:w="90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50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249,806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249,806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249,806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226,417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226,417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226,417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226,417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226,417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226,417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228,987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249,806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249,806 </w:t>
            </w:r>
          </w:p>
        </w:tc>
      </w:tr>
      <w:tr>
        <w:trPr>
          <w:trHeight w:val="151" w:hRule="atLeast"/>
        </w:trPr>
        <w:tc>
          <w:tcPr>
            <w:tcW w:w="900"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50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34,119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34,119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34,119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54,090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34,119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34,119 </w:t>
            </w:r>
          </w:p>
        </w:tc>
      </w:tr>
      <w:tr>
        <w:trPr>
          <w:trHeight w:val="151" w:hRule="atLeast"/>
        </w:trPr>
        <w:tc>
          <w:tcPr>
            <w:tcW w:w="900"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0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406" w:type="dxa"/>
            <w:gridSpan w:val="2"/>
            <w:tcBorders>
              <w:start w:val="single" w:sz="6" w:space="0" w:color="000000"/>
              <w:bottom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0" w:type="dxa"/>
            <w:vMerge w:val="continue"/>
            <w:tcBorders>
              <w:bottom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690"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544"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617" w:type="dxa"/>
            <w:tcBorders>
              <w:bottom w:val="single" w:sz="6"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r>
    </w:tbl>
    <w:p>
      <w:pPr>
        <w:pStyle w:val="BodyText"/>
        <w:spacing w:lineRule="auto" w:line="240"/>
        <w:ind w:start="0" w:end="0"/>
        <w:rPr/>
      </w:pPr>
      <w:r>
        <w:rPr/>
        <w:t xml:space="preserve">*  Any decreases in the Base Quantities pursuant to Section 7.1.2 shall be made proportionately among Zones 1, 2 and 3.  </w:t>
      </w:r>
    </w:p>
    <w:p>
      <w:pPr>
        <w:pStyle w:val="BodyText"/>
        <w:spacing w:lineRule="auto" w:line="240"/>
        <w:ind w:start="0" w:end="0"/>
        <w:rPr/>
      </w:pPr>
      <w:r>
        <w:rPr/>
      </w:r>
      <w:r>
        <w:br w:type="page"/>
      </w:r>
    </w:p>
    <w:p>
      <w:pPr>
        <w:pStyle w:val="Normal"/>
        <w:jc w:val="center"/>
        <w:rPr>
          <w:caps/>
        </w:rPr>
      </w:pPr>
      <w:r>
        <w:rPr>
          <w:caps/>
        </w:rPr>
        <w:t>exHIBIT B</w:t>
      </w:r>
      <w:r>
        <w:fldChar w:fldCharType="begin"/>
      </w:r>
      <w:r>
        <w:rPr/>
        <w:instrText xml:space="preserve"> TC "exHIBIT B ALTERNATIVE CONTRACT PRICING MECHANISMS" \l 1 </w:instrText>
      </w:r>
      <w:r>
        <w:rPr/>
        <w:fldChar w:fldCharType="separate"/>
      </w:r>
      <w:r>
        <w:rPr/>
      </w:r>
      <w:r>
        <w:rPr/>
        <w:fldChar w:fldCharType="end"/>
      </w:r>
    </w:p>
    <w:p>
      <w:pPr>
        <w:pStyle w:val="Normal"/>
        <w:jc w:val="center"/>
        <w:rPr>
          <w:caps/>
        </w:rPr>
      </w:pPr>
      <w:r>
        <w:rPr>
          <w:caps/>
        </w:rPr>
        <w:t>TO</w:t>
      </w:r>
    </w:p>
    <w:p>
      <w:pPr>
        <w:pStyle w:val="Normal"/>
        <w:jc w:val="center"/>
        <w:rPr>
          <w:caps/>
        </w:rPr>
      </w:pPr>
      <w:r>
        <w:rPr>
          <w:caps/>
        </w:rPr>
        <w:t>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DATED:_______________,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ALTERNATIVE CONTRACT PRICING MECHANISMS</w:t>
      </w:r>
    </w:p>
    <w:p>
      <w:pPr>
        <w:pStyle w:val="Normal"/>
        <w:jc w:val="center"/>
        <w:rPr>
          <w:caps/>
          <w:u w:val="single"/>
        </w:rPr>
      </w:pPr>
      <w:r>
        <w:rPr>
          <w:caps/>
          <w:u w:val="single"/>
        </w:rPr>
      </w:r>
    </w:p>
    <w:p>
      <w:pPr>
        <w:pStyle w:val="Normal"/>
        <w:jc w:val="center"/>
        <w:rPr>
          <w:caps/>
        </w:rPr>
      </w:pPr>
      <w:r>
        <w:rPr>
          <w:caps/>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b/>
          <w:caps/>
        </w:rPr>
      </w:pPr>
      <w:r>
        <w:rPr>
          <w:b/>
          <w:caps/>
        </w:rPr>
      </w:r>
    </w:p>
    <w:p>
      <w:pPr>
        <w:pStyle w:val="Normal"/>
        <w:jc w:val="center"/>
        <w:rPr>
          <w:caps/>
        </w:rPr>
      </w:pPr>
      <w:r>
        <w:rPr>
          <w:caps/>
        </w:rPr>
        <w:t>EXHIBIT c</w:t>
      </w:r>
      <w:r>
        <w:fldChar w:fldCharType="begin"/>
      </w:r>
      <w:r>
        <w:rPr/>
        <w:instrText xml:space="preserve"> TC "EXHIBIT c DELIVERY POINTS AND DELIVERY POINT ALLOCATIONS" \l 1 </w:instrText>
      </w:r>
      <w:r>
        <w:rPr/>
        <w:fldChar w:fldCharType="separate"/>
      </w:r>
      <w:r>
        <w:rPr/>
      </w:r>
      <w:r>
        <w:rPr/>
        <w:fldChar w:fldCharType="end"/>
      </w:r>
      <w:bookmarkStart w:id="24" w:name="__RefHeading___Toc457017808"/>
      <w:bookmarkEnd w:id="24"/>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DATED:______________,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delivery points and delivery point allocations</w:t>
      </w:r>
    </w:p>
    <w:p>
      <w:pPr>
        <w:pStyle w:val="Normal"/>
        <w:jc w:val="center"/>
        <w:rPr>
          <w:caps/>
          <w:u w:val="single"/>
        </w:rPr>
      </w:pPr>
      <w:r>
        <w:rPr>
          <w:caps/>
          <w:u w:val="single"/>
        </w:rPr>
      </w:r>
    </w:p>
    <w:p>
      <w:pPr>
        <w:pStyle w:val="Normal"/>
        <w:jc w:val="center"/>
        <w:rPr>
          <w:caps/>
          <w:u w:val="single"/>
        </w:rPr>
      </w:pPr>
      <w:r>
        <w:rPr>
          <w:caps/>
          <w:u w:val="single"/>
        </w:rPr>
      </w:r>
    </w:p>
    <w:p>
      <w:pPr>
        <w:pStyle w:val="Normal"/>
        <w:jc w:val="center"/>
        <w:rPr/>
      </w:pPr>
      <w:r>
        <w:rPr>
          <w:b/>
        </w:rPr>
        <w:t xml:space="preserve">August </w:t>
      </w:r>
      <w:r>
        <w:rPr>
          <w:b/>
          <w:caps/>
        </w:rPr>
        <w:t xml:space="preserve">1999 </w:t>
      </w:r>
      <w:r>
        <w:rPr>
          <w:b/>
        </w:rPr>
        <w:t xml:space="preserve">Through June </w:t>
      </w:r>
      <w:r>
        <w:rPr>
          <w:b/>
          <w:caps/>
        </w:rPr>
        <w:t>2001</w:t>
      </w:r>
    </w:p>
    <w:p>
      <w:pPr>
        <w:pStyle w:val="Normal"/>
        <w:jc w:val="center"/>
        <w:rPr>
          <w:b/>
          <w:caps/>
        </w:rPr>
      </w:pPr>
      <w:r>
        <w:rPr>
          <w:b/>
          <w:caps/>
        </w:rPr>
      </w:r>
    </w:p>
    <w:tbl>
      <w:tblPr>
        <w:tblW w:w="9288" w:type="dxa"/>
        <w:jc w:val="start"/>
        <w:tblInd w:w="0" w:type="dxa"/>
        <w:tblLayout w:type="fixed"/>
        <w:tblCellMar>
          <w:top w:w="0" w:type="dxa"/>
          <w:start w:w="30" w:type="dxa"/>
          <w:bottom w:w="0" w:type="dxa"/>
          <w:end w:w="30" w:type="dxa"/>
        </w:tblCellMar>
      </w:tblPr>
      <w:tblGrid>
        <w:gridCol w:w="617"/>
        <w:gridCol w:w="1269"/>
        <w:gridCol w:w="617"/>
        <w:gridCol w:w="617"/>
        <w:gridCol w:w="690"/>
        <w:gridCol w:w="544"/>
        <w:gridCol w:w="616"/>
        <w:gridCol w:w="617"/>
        <w:gridCol w:w="617"/>
        <w:gridCol w:w="617"/>
        <w:gridCol w:w="617"/>
        <w:gridCol w:w="616"/>
        <w:gridCol w:w="617"/>
        <w:gridCol w:w="617"/>
      </w:tblGrid>
      <w:tr>
        <w:trPr>
          <w:trHeight w:val="151" w:hRule="atLeast"/>
        </w:trPr>
        <w:tc>
          <w:tcPr>
            <w:tcW w:w="617"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1269" w:type="dxa"/>
            <w:tcBorders>
              <w:top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Delivery Points</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October</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62,430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55,340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55,340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55,340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55,340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55,340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2,570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8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184,000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184,000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184,000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184,000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184,000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8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33,000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68,454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68,454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68,454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69,722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68,454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68,454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8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109,000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80" w:hRule="atLeast"/>
        </w:trPr>
        <w:tc>
          <w:tcPr>
            <w:tcW w:w="617" w:type="dxa"/>
            <w:tcBorders>
              <w:start w:val="single" w:sz="6"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1269"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690"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544"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c>
          <w:tcPr>
            <w:tcW w:w="617" w:type="dxa"/>
            <w:tcBorders>
              <w:bottom w:val="single" w:sz="4"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326,000 </w:t>
            </w:r>
          </w:p>
        </w:tc>
      </w:tr>
    </w:tbl>
    <w:p>
      <w:pPr>
        <w:pStyle w:val="Normal"/>
        <w:jc w:val="center"/>
        <w:rPr>
          <w:b/>
        </w:rPr>
      </w:pPr>
      <w:r>
        <w:rPr>
          <w:b/>
        </w:rPr>
      </w:r>
    </w:p>
    <w:p>
      <w:pPr>
        <w:pStyle w:val="Normal"/>
        <w:jc w:val="center"/>
        <w:rPr>
          <w:b/>
        </w:rPr>
      </w:pPr>
      <w:r>
        <w:rPr>
          <w:b/>
        </w:rPr>
        <w:t>July 2001 through June 2003</w:t>
      </w:r>
    </w:p>
    <w:p>
      <w:pPr>
        <w:pStyle w:val="Normal"/>
        <w:rPr>
          <w:b/>
        </w:rPr>
      </w:pPr>
      <w:r>
        <w:rPr>
          <w:b/>
        </w:rPr>
      </w:r>
    </w:p>
    <w:tbl>
      <w:tblPr>
        <w:tblW w:w="9258" w:type="dxa"/>
        <w:jc w:val="start"/>
        <w:tblInd w:w="30" w:type="dxa"/>
        <w:tblLayout w:type="fixed"/>
        <w:tblCellMar>
          <w:top w:w="0" w:type="dxa"/>
          <w:start w:w="30" w:type="dxa"/>
          <w:bottom w:w="0" w:type="dxa"/>
          <w:end w:w="30" w:type="dxa"/>
        </w:tblCellMar>
      </w:tblPr>
      <w:tblGrid>
        <w:gridCol w:w="587"/>
        <w:gridCol w:w="1269"/>
        <w:gridCol w:w="617"/>
        <w:gridCol w:w="617"/>
        <w:gridCol w:w="690"/>
        <w:gridCol w:w="544"/>
        <w:gridCol w:w="616"/>
        <w:gridCol w:w="617"/>
        <w:gridCol w:w="617"/>
        <w:gridCol w:w="617"/>
        <w:gridCol w:w="617"/>
        <w:gridCol w:w="616"/>
        <w:gridCol w:w="617"/>
        <w:gridCol w:w="617"/>
      </w:tblGrid>
      <w:tr>
        <w:trPr>
          <w:trHeight w:val="151" w:hRule="atLeast"/>
        </w:trPr>
        <w:tc>
          <w:tcPr>
            <w:tcW w:w="587"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1269" w:type="dxa"/>
            <w:tcBorders>
              <w:top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Delivery Points</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October</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75,000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75,000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75,000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72,430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81,000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65,340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65,340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65,340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5,583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65,340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65,340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2,570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5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194,000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5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50,000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84,454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84,454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84,454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84,454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84,454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40,546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Destin</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5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132,000 </w:t>
            </w:r>
          </w:p>
        </w:tc>
      </w:tr>
      <w:tr>
        <w:trPr>
          <w:trHeight w:val="162" w:hRule="atLeast"/>
        </w:trPr>
        <w:tc>
          <w:tcPr>
            <w:tcW w:w="587" w:type="dxa"/>
            <w:tcBorders>
              <w:start w:val="single" w:sz="6"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1269"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690"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544"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282,000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c>
          <w:tcPr>
            <w:tcW w:w="617" w:type="dxa"/>
            <w:tcBorders>
              <w:bottom w:val="single" w:sz="4"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376,000 </w:t>
            </w:r>
          </w:p>
        </w:tc>
      </w:tr>
    </w:tbl>
    <w:p>
      <w:pPr>
        <w:pStyle w:val="Normal"/>
        <w:rPr/>
      </w:pPr>
      <w:r>
        <w:br w:type="page"/>
      </w:r>
      <w:r>
        <w:rPr/>
      </w:r>
    </w:p>
    <w:tbl>
      <w:tblPr>
        <w:tblW w:w="9258" w:type="dxa"/>
        <w:jc w:val="start"/>
        <w:tblInd w:w="30" w:type="dxa"/>
        <w:tblLayout w:type="fixed"/>
        <w:tblCellMar>
          <w:top w:w="0" w:type="dxa"/>
          <w:start w:w="30" w:type="dxa"/>
          <w:bottom w:w="0" w:type="dxa"/>
          <w:end w:w="30" w:type="dxa"/>
        </w:tblCellMar>
      </w:tblPr>
      <w:tblGrid>
        <w:gridCol w:w="587"/>
        <w:gridCol w:w="1269"/>
        <w:gridCol w:w="617"/>
        <w:gridCol w:w="617"/>
        <w:gridCol w:w="690"/>
        <w:gridCol w:w="544"/>
        <w:gridCol w:w="616"/>
        <w:gridCol w:w="617"/>
        <w:gridCol w:w="617"/>
        <w:gridCol w:w="617"/>
        <w:gridCol w:w="617"/>
        <w:gridCol w:w="616"/>
        <w:gridCol w:w="617"/>
        <w:gridCol w:w="617"/>
      </w:tblGrid>
      <w:tr>
        <w:trPr>
          <w:trHeight w:val="151" w:hRule="atLeast"/>
        </w:trPr>
        <w:tc>
          <w:tcPr>
            <w:tcW w:w="9258" w:type="dxa"/>
            <w:gridSpan w:val="14"/>
            <w:tcBorders/>
          </w:tcPr>
          <w:p>
            <w:pPr>
              <w:pStyle w:val="Normal"/>
              <w:snapToGrid w:val="false"/>
              <w:jc w:val="center"/>
              <w:rPr>
                <w:b/>
                <w:color w:val="FF0000"/>
                <w:lang w:eastAsia="en-US"/>
              </w:rPr>
            </w:pPr>
            <w:r>
              <w:rPr>
                <w:b/>
                <w:color w:val="FF0000"/>
                <w:lang w:eastAsia="en-US"/>
              </w:rPr>
            </w:r>
          </w:p>
          <w:p>
            <w:pPr>
              <w:pStyle w:val="Normal"/>
              <w:jc w:val="center"/>
              <w:rPr>
                <w:b/>
                <w:color w:val="FF0000"/>
                <w:lang w:eastAsia="en-US"/>
              </w:rPr>
            </w:pPr>
            <w:r>
              <w:rPr>
                <w:b/>
                <w:color w:val="000000"/>
                <w:lang w:eastAsia="en-US"/>
              </w:rPr>
              <w:t>2003 Through July 2005</w:t>
            </w:r>
          </w:p>
          <w:p>
            <w:pPr>
              <w:pStyle w:val="Normal"/>
              <w:jc w:val="center"/>
              <w:rPr>
                <w:rFonts w:ascii="Arial" w:hAnsi="Arial" w:cs="Arial"/>
                <w:b/>
                <w:color w:val="000000"/>
                <w:sz w:val="12"/>
                <w:lang w:eastAsia="en-US"/>
              </w:rPr>
            </w:pPr>
            <w:r>
              <w:rPr>
                <w:rFonts w:cs="Arial" w:ascii="Arial" w:hAnsi="Arial"/>
                <w:b/>
                <w:color w:val="000000"/>
                <w:sz w:val="12"/>
                <w:lang w:eastAsia="en-US"/>
              </w:rPr>
            </w:r>
          </w:p>
        </w:tc>
      </w:tr>
      <w:tr>
        <w:trPr>
          <w:trHeight w:val="151" w:hRule="atLeast"/>
        </w:trPr>
        <w:tc>
          <w:tcPr>
            <w:tcW w:w="587"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1269" w:type="dxa"/>
            <w:tcBorders>
              <w:top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Delivery Points</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tcBorders>
              <w:top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October</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92,398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92,398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92,398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72,690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72,690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70,120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92,398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92,398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65,542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65,542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65,542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65,542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2,570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5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205,600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205,600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205,600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111,600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205,600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205,600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LRC</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5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Sonat (2)</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r>
      <w:tr>
        <w:trPr>
          <w:trHeight w:val="151" w:hRule="atLeast"/>
        </w:trPr>
        <w:tc>
          <w:tcPr>
            <w:tcW w:w="58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Destin</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5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154,400 </w:t>
            </w:r>
          </w:p>
        </w:tc>
      </w:tr>
      <w:tr>
        <w:trPr>
          <w:trHeight w:val="151" w:hRule="atLeast"/>
        </w:trPr>
        <w:tc>
          <w:tcPr>
            <w:tcW w:w="58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35" w:hRule="atLeast"/>
        </w:trPr>
        <w:tc>
          <w:tcPr>
            <w:tcW w:w="587" w:type="dxa"/>
            <w:tcBorders>
              <w:start w:val="single" w:sz="6"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1269"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690"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544"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c>
          <w:tcPr>
            <w:tcW w:w="617" w:type="dxa"/>
            <w:tcBorders>
              <w:bottom w:val="single" w:sz="4"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426,000 </w:t>
            </w:r>
          </w:p>
        </w:tc>
      </w:tr>
    </w:tbl>
    <w:p>
      <w:pPr>
        <w:pStyle w:val="Normal"/>
        <w:jc w:val="center"/>
        <w:rPr>
          <w:b/>
        </w:rPr>
      </w:pPr>
      <w:r>
        <w:rPr>
          <w:b/>
        </w:rPr>
      </w:r>
    </w:p>
    <w:p>
      <w:pPr>
        <w:pStyle w:val="Normal"/>
        <w:jc w:val="center"/>
        <w:rPr>
          <w:b/>
        </w:rPr>
      </w:pPr>
      <w:r>
        <w:rPr>
          <w:b/>
        </w:rPr>
        <w:t>August 2005 Through February 2010</w:t>
      </w:r>
    </w:p>
    <w:p>
      <w:pPr>
        <w:pStyle w:val="Normal"/>
        <w:rPr>
          <w:b/>
        </w:rPr>
      </w:pPr>
      <w:r>
        <w:rPr>
          <w:b/>
        </w:rPr>
      </w:r>
    </w:p>
    <w:tbl>
      <w:tblPr>
        <w:tblW w:w="9288" w:type="dxa"/>
        <w:jc w:val="start"/>
        <w:tblInd w:w="0" w:type="dxa"/>
        <w:tblLayout w:type="fixed"/>
        <w:tblCellMar>
          <w:top w:w="0" w:type="dxa"/>
          <w:start w:w="30" w:type="dxa"/>
          <w:bottom w:w="0" w:type="dxa"/>
          <w:end w:w="30" w:type="dxa"/>
        </w:tblCellMar>
      </w:tblPr>
      <w:tblGrid>
        <w:gridCol w:w="617"/>
        <w:gridCol w:w="1269"/>
        <w:gridCol w:w="617"/>
        <w:gridCol w:w="617"/>
        <w:gridCol w:w="690"/>
        <w:gridCol w:w="544"/>
        <w:gridCol w:w="616"/>
        <w:gridCol w:w="617"/>
        <w:gridCol w:w="617"/>
        <w:gridCol w:w="617"/>
        <w:gridCol w:w="617"/>
        <w:gridCol w:w="616"/>
        <w:gridCol w:w="617"/>
        <w:gridCol w:w="617"/>
      </w:tblGrid>
      <w:tr>
        <w:trPr>
          <w:trHeight w:val="151" w:hRule="atLeast"/>
        </w:trPr>
        <w:tc>
          <w:tcPr>
            <w:tcW w:w="617" w:type="dxa"/>
            <w:tcBorders>
              <w:top w:val="single" w:sz="6" w:space="0" w:color="000000"/>
              <w:start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Zones</w:t>
            </w:r>
          </w:p>
        </w:tc>
        <w:tc>
          <w:tcPr>
            <w:tcW w:w="1269" w:type="dxa"/>
            <w:tcBorders>
              <w:top w:val="single" w:sz="6" w:space="0" w:color="000000"/>
            </w:tcBorders>
          </w:tcPr>
          <w:p>
            <w:pPr>
              <w:pStyle w:val="Normal"/>
              <w:jc w:val="center"/>
              <w:rPr>
                <w:rFonts w:ascii="Arial" w:hAnsi="Arial" w:cs="Arial"/>
                <w:color w:val="000000"/>
                <w:sz w:val="12"/>
                <w:u w:val="single"/>
                <w:lang w:eastAsia="en-US"/>
              </w:rPr>
            </w:pPr>
            <w:r>
              <w:rPr>
                <w:rFonts w:cs="Arial" w:ascii="Arial" w:hAnsi="Arial"/>
                <w:color w:val="000000"/>
                <w:sz w:val="12"/>
                <w:u w:val="single"/>
                <w:lang w:eastAsia="en-US"/>
              </w:rPr>
              <w:t>Delivery Points</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July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August</w:t>
            </w:r>
          </w:p>
        </w:tc>
        <w:tc>
          <w:tcPr>
            <w:tcW w:w="690"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September</w:t>
            </w:r>
          </w:p>
        </w:tc>
        <w:tc>
          <w:tcPr>
            <w:tcW w:w="544"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October</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November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December</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January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February</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March</w:t>
            </w:r>
          </w:p>
        </w:tc>
        <w:tc>
          <w:tcPr>
            <w:tcW w:w="616"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April</w:t>
            </w:r>
          </w:p>
        </w:tc>
        <w:tc>
          <w:tcPr>
            <w:tcW w:w="617" w:type="dxa"/>
            <w:tcBorders>
              <w:top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May</w:t>
            </w:r>
          </w:p>
        </w:tc>
        <w:tc>
          <w:tcPr>
            <w:tcW w:w="617" w:type="dxa"/>
            <w:tcBorders>
              <w:top w:val="single" w:sz="6" w:space="0" w:color="000000"/>
              <w:end w:val="single" w:sz="6" w:space="0" w:color="000000"/>
            </w:tcBorders>
          </w:tcPr>
          <w:p>
            <w:pPr>
              <w:pStyle w:val="Normal"/>
              <w:jc w:val="center"/>
              <w:rPr>
                <w:rFonts w:ascii="Arial" w:hAnsi="Arial" w:cs="Arial"/>
                <w:color w:val="000000"/>
                <w:sz w:val="12"/>
                <w:lang w:eastAsia="en-US"/>
              </w:rPr>
            </w:pPr>
            <w:r>
              <w:rPr>
                <w:rFonts w:cs="Arial" w:ascii="Arial" w:hAnsi="Arial"/>
                <w:color w:val="000000"/>
                <w:sz w:val="12"/>
                <w:lang w:eastAsia="en-US"/>
              </w:rPr>
              <w:t>June</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Manchester</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45,676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45,676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45,676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32,000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29,430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45,676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45,676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Centana</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8,500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Johnson’s Bayou</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65,545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65,545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65,545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19,493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65,545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65,545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Refugio</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19,417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Mops Platform (1)</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2,570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19,743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8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1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158,881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158,881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158,881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70,910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158,881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158,881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NGPL</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64,042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LRC</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1,958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8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2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66,000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Mobile Bay</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101,722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99,818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Sonat</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39,278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41,182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Destin</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13,400 </w:t>
            </w:r>
          </w:p>
        </w:tc>
      </w:tr>
      <w:tr>
        <w:trPr>
          <w:trHeight w:val="151" w:hRule="atLeast"/>
        </w:trPr>
        <w:tc>
          <w:tcPr>
            <w:tcW w:w="617" w:type="dxa"/>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w:t>
            </w:r>
          </w:p>
        </w:tc>
        <w:tc>
          <w:tcPr>
            <w:tcW w:w="1269" w:type="dxa"/>
            <w:tcBorders/>
          </w:tcPr>
          <w:p>
            <w:pPr>
              <w:pStyle w:val="Normal"/>
              <w:rPr>
                <w:rFonts w:ascii="Arial" w:hAnsi="Arial" w:cs="Arial"/>
                <w:color w:val="000000"/>
                <w:sz w:val="12"/>
                <w:lang w:eastAsia="en-US"/>
              </w:rPr>
            </w:pPr>
            <w:r>
              <w:rPr>
                <w:rFonts w:cs="Arial" w:ascii="Arial" w:hAnsi="Arial"/>
                <w:color w:val="000000"/>
                <w:sz w:val="12"/>
                <w:lang w:eastAsia="en-US"/>
              </w:rPr>
              <w:t>Destin (Manchester)</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20,719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20,719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20,719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40,690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20,719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20,719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1886" w:type="dxa"/>
            <w:gridSpan w:val="2"/>
            <w:tcBorders>
              <w:start w:val="single" w:sz="6" w:space="0" w:color="000000"/>
            </w:tcBorders>
          </w:tcPr>
          <w:p>
            <w:pPr>
              <w:pStyle w:val="Normal"/>
              <w:rPr>
                <w:rFonts w:ascii="Arial" w:hAnsi="Arial" w:cs="Arial"/>
                <w:color w:val="000000"/>
                <w:sz w:val="12"/>
                <w:lang w:eastAsia="en-US"/>
              </w:rPr>
            </w:pPr>
            <w:r>
              <w:rPr>
                <w:rFonts w:cs="Arial" w:ascii="Arial" w:hAnsi="Arial"/>
                <w:color w:val="000000"/>
                <w:sz w:val="12"/>
                <w:lang w:eastAsia="en-US"/>
              </w:rPr>
              <w:t>Zone 3 Sum</w:t>
            </w:r>
          </w:p>
        </w:tc>
        <w:tc>
          <w:tcPr>
            <w:tcW w:w="0" w:type="dxa"/>
            <w:vMerge w:val="continue"/>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175,119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175,119 </w:t>
            </w:r>
          </w:p>
        </w:tc>
        <w:tc>
          <w:tcPr>
            <w:tcW w:w="690"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175,119 </w:t>
            </w:r>
          </w:p>
        </w:tc>
        <w:tc>
          <w:tcPr>
            <w:tcW w:w="544"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6"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195,090 </w:t>
            </w:r>
          </w:p>
        </w:tc>
        <w:tc>
          <w:tcPr>
            <w:tcW w:w="617" w:type="dxa"/>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175,119 </w:t>
            </w:r>
          </w:p>
        </w:tc>
        <w:tc>
          <w:tcPr>
            <w:tcW w:w="617" w:type="dxa"/>
            <w:tcBorders>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175,119 </w:t>
            </w:r>
          </w:p>
        </w:tc>
      </w:tr>
      <w:tr>
        <w:trPr>
          <w:trHeight w:val="151" w:hRule="atLeast"/>
        </w:trPr>
        <w:tc>
          <w:tcPr>
            <w:tcW w:w="617" w:type="dxa"/>
            <w:tcBorders>
              <w:start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1269"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90"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544"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6"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end w:val="single" w:sz="6"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r>
      <w:tr>
        <w:trPr>
          <w:trHeight w:val="151" w:hRule="atLeast"/>
        </w:trPr>
        <w:tc>
          <w:tcPr>
            <w:tcW w:w="617" w:type="dxa"/>
            <w:tcBorders>
              <w:start w:val="single" w:sz="6" w:space="0" w:color="000000"/>
              <w:bottom w:val="single" w:sz="4" w:space="0" w:color="000000"/>
            </w:tcBorders>
          </w:tcPr>
          <w:p>
            <w:pPr>
              <w:pStyle w:val="Normal"/>
              <w:rPr>
                <w:rFonts w:ascii="Arial" w:hAnsi="Arial" w:cs="Arial"/>
                <w:color w:val="000000"/>
                <w:sz w:val="12"/>
                <w:lang w:eastAsia="en-US"/>
              </w:rPr>
            </w:pPr>
            <w:r>
              <w:rPr>
                <w:rFonts w:cs="Arial" w:ascii="Arial" w:hAnsi="Arial"/>
                <w:color w:val="000000"/>
                <w:sz w:val="12"/>
                <w:lang w:eastAsia="en-US"/>
              </w:rPr>
              <w:t>Total</w:t>
            </w:r>
          </w:p>
        </w:tc>
        <w:tc>
          <w:tcPr>
            <w:tcW w:w="1269" w:type="dxa"/>
            <w:tcBorders>
              <w:bottom w:val="single" w:sz="4" w:space="0" w:color="000000"/>
            </w:tcBorders>
          </w:tcPr>
          <w:p>
            <w:pPr>
              <w:pStyle w:val="Normal"/>
              <w:snapToGrid w:val="false"/>
              <w:jc w:val="end"/>
              <w:rPr>
                <w:rFonts w:ascii="Arial" w:hAnsi="Arial" w:cs="Arial"/>
                <w:color w:val="000000"/>
                <w:sz w:val="12"/>
                <w:lang w:eastAsia="en-US"/>
              </w:rPr>
            </w:pPr>
            <w:r>
              <w:rPr>
                <w:rFonts w:cs="Arial" w:ascii="Arial" w:hAnsi="Arial"/>
                <w:color w:val="000000"/>
                <w:sz w:val="12"/>
                <w:lang w:eastAsia="en-US"/>
              </w:rPr>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690"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544"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6"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332,000 </w:t>
            </w:r>
          </w:p>
        </w:tc>
        <w:tc>
          <w:tcPr>
            <w:tcW w:w="617" w:type="dxa"/>
            <w:tcBorders>
              <w:bottom w:val="single" w:sz="4"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c>
          <w:tcPr>
            <w:tcW w:w="617" w:type="dxa"/>
            <w:tcBorders>
              <w:bottom w:val="single" w:sz="4" w:space="0" w:color="000000"/>
              <w:end w:val="single" w:sz="6" w:space="0" w:color="000000"/>
            </w:tcBorders>
          </w:tcPr>
          <w:p>
            <w:pPr>
              <w:pStyle w:val="Normal"/>
              <w:jc w:val="end"/>
              <w:rPr>
                <w:rFonts w:ascii="Arial" w:hAnsi="Arial" w:cs="Arial"/>
                <w:color w:val="000000"/>
                <w:sz w:val="12"/>
                <w:lang w:eastAsia="en-US"/>
              </w:rPr>
            </w:pPr>
            <w:r>
              <w:rPr>
                <w:rFonts w:cs="Arial" w:ascii="Arial" w:hAnsi="Arial"/>
                <w:color w:val="000000"/>
                <w:sz w:val="12"/>
                <w:lang w:eastAsia="en-US"/>
              </w:rPr>
              <w:t xml:space="preserve">400,000 </w:t>
            </w:r>
          </w:p>
        </w:tc>
      </w:tr>
    </w:tbl>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Pr>
    </w:p>
    <w:p>
      <w:pPr>
        <w:pStyle w:val="Normal"/>
        <w:jc w:val="center"/>
        <w:rPr>
          <w:caps/>
        </w:rPr>
      </w:pPr>
      <w:r>
        <w:rPr>
          <w:caps/>
        </w:rPr>
        <w:t>EXHIBIT d</w:t>
      </w:r>
      <w:r>
        <w:fldChar w:fldCharType="begin"/>
      </w:r>
      <w:r>
        <w:rPr/>
        <w:instrText xml:space="preserve"> TC "EXHIBIT d BUYOUT PAYMENT SCHEDULE" \l 1 </w:instrText>
      </w:r>
      <w:r>
        <w:rPr/>
        <w:fldChar w:fldCharType="separate"/>
      </w:r>
      <w:r>
        <w:rPr/>
      </w:r>
      <w:r>
        <w:rPr/>
        <w:fldChar w:fldCharType="end"/>
      </w:r>
      <w:bookmarkStart w:id="25" w:name="__RefHeading___Toc457017809"/>
      <w:bookmarkEnd w:id="25"/>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DATED:________________,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BUYOUT payment schedule</w:t>
      </w:r>
    </w:p>
    <w:p>
      <w:pPr>
        <w:pStyle w:val="Normal"/>
        <w:jc w:val="center"/>
        <w:rPr>
          <w:caps/>
          <w:u w:val="single"/>
        </w:rPr>
      </w:pPr>
      <w:r>
        <w:rPr>
          <w:caps/>
          <w:u w:val="single"/>
        </w:rPr>
      </w:r>
    </w:p>
    <w:p>
      <w:pPr>
        <w:pStyle w:val="Normal"/>
        <w:jc w:val="center"/>
        <w:rPr>
          <w:caps/>
          <w:u w:val="single"/>
        </w:rPr>
      </w:pPr>
      <w:r>
        <w:rPr>
          <w:caps/>
          <w:u w:val="single"/>
        </w:rPr>
      </w:r>
    </w:p>
    <w:p>
      <w:pPr>
        <w:pStyle w:val="Normal"/>
        <w:jc w:val="center"/>
        <w:rPr>
          <w:caps/>
          <w:u w:val="single"/>
        </w:rPr>
      </w:pPr>
      <w:r>
        <w:rPr>
          <w:caps/>
          <w:u w:val="single"/>
        </w:rPr>
      </w:r>
    </w:p>
    <w:p>
      <w:pPr>
        <w:pStyle w:val="Normal"/>
        <w:jc w:val="center"/>
        <w:rPr>
          <w:b/>
          <w:caps/>
          <w:u w:val="single"/>
        </w:rPr>
      </w:pPr>
      <w:r>
        <w:rPr>
          <w:b/>
          <w:caps/>
          <w:u w:val="single"/>
        </w:rPr>
      </w:r>
    </w:p>
    <w:p>
      <w:pPr>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b/>
          <w:caps/>
          <w:u w:val="single"/>
        </w:rPr>
      </w:pPr>
      <w:r>
        <w:rPr>
          <w:b/>
          <w:caps/>
          <w:u w:val="single"/>
        </w:rPr>
      </w:r>
    </w:p>
    <w:p>
      <w:pPr>
        <w:pStyle w:val="Normal"/>
        <w:jc w:val="center"/>
        <w:rPr>
          <w:caps/>
        </w:rPr>
      </w:pPr>
      <w:r>
        <w:rPr>
          <w:caps/>
        </w:rPr>
        <w:t>EXHIBIT E</w:t>
      </w:r>
      <w:r>
        <w:fldChar w:fldCharType="begin"/>
      </w:r>
      <w:r>
        <w:rPr/>
        <w:instrText xml:space="preserve"> TC "EXHIBIT E TERMINATION PAYMENT" \l 1 </w:instrText>
      </w:r>
      <w:r>
        <w:rPr/>
        <w:fldChar w:fldCharType="separate"/>
      </w:r>
      <w:r>
        <w:rPr/>
      </w:r>
      <w:r>
        <w:rPr/>
        <w:fldChar w:fldCharType="end"/>
      </w:r>
      <w:bookmarkStart w:id="26" w:name="__RefHeading___Toc457017810"/>
      <w:bookmarkEnd w:id="26"/>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DATED:______________,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TERMINATION PAYMENT</w:t>
      </w:r>
    </w:p>
    <w:p>
      <w:pPr>
        <w:pStyle w:val="Normal"/>
        <w:jc w:val="center"/>
        <w:rPr>
          <w:caps/>
          <w:u w:val="single"/>
        </w:rPr>
      </w:pPr>
      <w:r>
        <w:rPr>
          <w:caps/>
          <w:u w:val="single"/>
        </w:rPr>
      </w:r>
    </w:p>
    <w:p>
      <w:pPr>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start="1" w:fmt="decimal"/>
          <w:formProt w:val="false"/>
          <w:textDirection w:val="lrTb"/>
          <w:docGrid w:type="default" w:linePitch="360" w:charSpace="0"/>
        </w:sectPr>
        <w:pStyle w:val="Normal"/>
        <w:jc w:val="center"/>
        <w:rPr>
          <w:b/>
          <w:caps/>
          <w:u w:val="single"/>
        </w:rPr>
      </w:pPr>
      <w:r>
        <w:rPr>
          <w:b/>
          <w:caps/>
          <w:u w:val="single"/>
        </w:rPr>
      </w:r>
    </w:p>
    <w:p>
      <w:pPr>
        <w:pStyle w:val="Normal"/>
        <w:jc w:val="center"/>
        <w:rPr>
          <w:caps/>
        </w:rPr>
      </w:pPr>
      <w:r>
        <w:rPr>
          <w:caps/>
        </w:rPr>
        <w:t>EXHIBIT f</w:t>
      </w:r>
      <w:r>
        <w:fldChar w:fldCharType="begin"/>
      </w:r>
      <w:r>
        <w:rPr/>
        <w:instrText xml:space="preserve"> TC "EXHIBIT f GUARANTEE" \l 1 </w:instrText>
      </w:r>
      <w:r>
        <w:rPr/>
        <w:fldChar w:fldCharType="separate"/>
      </w:r>
      <w:r>
        <w:rPr/>
      </w:r>
      <w:r>
        <w:rPr/>
        <w:fldChar w:fldCharType="end"/>
      </w:r>
      <w:bookmarkStart w:id="27" w:name="__RefHeading___Toc457017811"/>
      <w:bookmarkEnd w:id="27"/>
    </w:p>
    <w:p>
      <w:pPr>
        <w:pStyle w:val="Normal"/>
        <w:jc w:val="center"/>
        <w:rPr>
          <w:caps/>
        </w:rPr>
      </w:pPr>
      <w:r>
        <w:rPr>
          <w:caps/>
        </w:rPr>
        <w:t>TO NATURAL GAS PURCHASE AGREEMENT</w:t>
      </w:r>
    </w:p>
    <w:p>
      <w:pPr>
        <w:pStyle w:val="Normal"/>
        <w:jc w:val="center"/>
        <w:rPr>
          <w:caps/>
        </w:rPr>
      </w:pPr>
      <w:r>
        <w:rPr>
          <w:caps/>
        </w:rPr>
        <w:t>BY AND BETWEEN</w:t>
      </w:r>
    </w:p>
    <w:p>
      <w:pPr>
        <w:pStyle w:val="Normal"/>
        <w:jc w:val="center"/>
        <w:rPr>
          <w:caps/>
        </w:rPr>
      </w:pPr>
      <w:r>
        <w:rPr>
          <w:caps/>
        </w:rPr>
        <w:t>FLORIDA POWER &amp; LIGHT COMPANY</w:t>
      </w:r>
    </w:p>
    <w:p>
      <w:pPr>
        <w:pStyle w:val="Normal"/>
        <w:jc w:val="center"/>
        <w:rPr>
          <w:caps/>
        </w:rPr>
      </w:pPr>
      <w:r>
        <w:rPr>
          <w:caps/>
        </w:rPr>
        <w:t>AND</w:t>
      </w:r>
    </w:p>
    <w:p>
      <w:pPr>
        <w:pStyle w:val="Normal"/>
        <w:jc w:val="center"/>
        <w:rPr>
          <w:caps/>
        </w:rPr>
      </w:pPr>
      <w:r>
        <w:rPr>
          <w:caps/>
        </w:rPr>
        <w:t>ENRON capital &amp; trade resources corp.</w:t>
      </w:r>
    </w:p>
    <w:p>
      <w:pPr>
        <w:pStyle w:val="Normal"/>
        <w:jc w:val="center"/>
        <w:rPr>
          <w:caps/>
        </w:rPr>
      </w:pPr>
      <w:r>
        <w:rPr>
          <w:caps/>
        </w:rPr>
        <w:t>AND</w:t>
      </w:r>
    </w:p>
    <w:p>
      <w:pPr>
        <w:pStyle w:val="Normal"/>
        <w:jc w:val="center"/>
        <w:rPr>
          <w:caps/>
        </w:rPr>
      </w:pPr>
      <w:r>
        <w:rPr>
          <w:caps/>
        </w:rPr>
        <w:t>ENRON CORP.</w:t>
      </w:r>
    </w:p>
    <w:p>
      <w:pPr>
        <w:pStyle w:val="Normal"/>
        <w:jc w:val="center"/>
        <w:rPr>
          <w:caps/>
        </w:rPr>
      </w:pPr>
      <w:r>
        <w:rPr>
          <w:caps/>
        </w:rPr>
      </w:r>
    </w:p>
    <w:p>
      <w:pPr>
        <w:pStyle w:val="Normal"/>
        <w:jc w:val="center"/>
        <w:rPr>
          <w:caps/>
        </w:rPr>
      </w:pPr>
      <w:r>
        <w:rPr>
          <w:caps/>
        </w:rPr>
        <w:t>DATED:_____________, 1999</w:t>
      </w:r>
    </w:p>
    <w:p>
      <w:pPr>
        <w:pStyle w:val="Normal"/>
        <w:jc w:val="center"/>
        <w:rPr>
          <w:caps/>
        </w:rPr>
      </w:pPr>
      <w:r>
        <w:rPr>
          <w:caps/>
        </w:rPr>
      </w:r>
    </w:p>
    <w:p>
      <w:pPr>
        <w:pStyle w:val="Normal"/>
        <w:jc w:val="center"/>
        <w:rPr>
          <w:caps/>
        </w:rPr>
      </w:pPr>
      <w:r>
        <w:rPr>
          <w:caps/>
        </w:rPr>
      </w:r>
    </w:p>
    <w:p>
      <w:pPr>
        <w:pStyle w:val="Normal"/>
        <w:jc w:val="center"/>
        <w:rPr>
          <w:caps/>
          <w:u w:val="single"/>
        </w:rPr>
      </w:pPr>
      <w:r>
        <w:rPr>
          <w:caps/>
          <w:u w:val="single"/>
        </w:rPr>
        <w:t>GUARANTEE</w:t>
      </w:r>
    </w:p>
    <w:p>
      <w:pPr>
        <w:pStyle w:val="Normal"/>
        <w:rPr>
          <w:caps/>
          <w:u w:val="single"/>
        </w:rPr>
      </w:pPr>
      <w:r>
        <w:rPr>
          <w:caps/>
          <w:u w:val="single"/>
        </w:rPr>
      </w:r>
    </w:p>
    <w:p>
      <w:pPr>
        <w:pStyle w:val="NormalIndent"/>
        <w:rPr/>
      </w:pPr>
      <w:r>
        <w:rPr/>
        <w:t>This Guaranty Agreement (this “</w:t>
      </w:r>
      <w:r>
        <w:rPr>
          <w:u w:val="single"/>
        </w:rPr>
        <w:t>Guaranty</w:t>
      </w:r>
      <w:r>
        <w:rPr/>
        <w:t>”), dated as of ___________, 1999, is made and entered into between Enron Corp., an Oregon corporation (“</w:t>
      </w:r>
      <w:r>
        <w:rPr>
          <w:u w:val="single"/>
        </w:rPr>
        <w:t>Enron</w:t>
      </w:r>
      <w:r>
        <w:rPr/>
        <w:t>”), and Florida Power &amp; Light Company , a Florida corporation (“</w:t>
      </w:r>
      <w:r>
        <w:rPr>
          <w:u w:val="single"/>
        </w:rPr>
        <w:t>FPL</w:t>
      </w:r>
      <w:r>
        <w:rPr/>
        <w:t>”).</w:t>
      </w:r>
    </w:p>
    <w:p>
      <w:pPr>
        <w:pStyle w:val="Normal"/>
        <w:rPr/>
      </w:pPr>
      <w:r>
        <w:rPr/>
      </w:r>
    </w:p>
    <w:p>
      <w:pPr>
        <w:pStyle w:val="NormalIndent"/>
        <w:rPr/>
      </w:pPr>
      <w:r>
        <w:rPr/>
        <w:t>WHEREAS, (i) FPL and Enron Capital &amp; Trade Resources Corp., a wholly owned</w:t>
      </w:r>
      <w:r>
        <w:rPr>
          <w:b/>
        </w:rPr>
        <w:t xml:space="preserve"> </w:t>
      </w:r>
      <w:r>
        <w:rPr/>
        <w:t>subsidiary of Enron (“</w:t>
      </w:r>
      <w:r>
        <w:rPr>
          <w:u w:val="single"/>
        </w:rPr>
        <w:t>ECT</w:t>
      </w:r>
      <w:r>
        <w:rPr/>
        <w:t>”), are contemplating entering into the Natural Gas Purchase Agreement of even date here</w:t>
        <w:softHyphen/>
        <w:t>with and herein incorporated for all purposes (said Agreement, as the same may be from time to time extended, amended and supplemented (“Gas Sales Agreement”), (ii) Enron will directly or indirectly benefit from the Gas Sales Agreement and (iii) as a condition precedent to the consummation of the Gas Sales Agreement, FPL has required that Enron unconditionally guarantee to FPL all payment obligations of ECT under the Gas Sales Agreement.</w:t>
      </w:r>
    </w:p>
    <w:p>
      <w:pPr>
        <w:pStyle w:val="Normal"/>
        <w:rPr/>
      </w:pPr>
      <w:r>
        <w:rPr/>
      </w:r>
    </w:p>
    <w:p>
      <w:pPr>
        <w:pStyle w:val="NormalIndent"/>
        <w:rPr/>
      </w:pPr>
      <w:r>
        <w:rPr/>
        <w:t xml:space="preserve">NOW THEREFORE, to induce FPL to enter into the Gas Sales Agreement, Enron agrees as follows: </w:t>
      </w:r>
    </w:p>
    <w:p>
      <w:pPr>
        <w:pStyle w:val="Normal"/>
        <w:rPr/>
      </w:pPr>
      <w:r>
        <w:rPr/>
      </w:r>
    </w:p>
    <w:p>
      <w:pPr>
        <w:pStyle w:val="Normal"/>
        <w:rPr/>
      </w:pPr>
      <w:r>
        <w:rPr>
          <w:b/>
        </w:rPr>
        <w:t>1.</w:t>
      </w:r>
      <w:r>
        <w:rPr/>
        <w:t xml:space="preserve">  </w:t>
      </w:r>
      <w:r>
        <w:rPr>
          <w:b/>
          <w:u w:val="single"/>
        </w:rPr>
        <w:t>PAYMENT GUARANTY</w:t>
      </w:r>
      <w:r>
        <w:rPr/>
        <w:t>.  Enron absolutely, irrevocably and unconditionally guarantees to FPL all payment obligations of ECT set forth in the Gas Sales Agreement and interest thereon accrued as provided in the Gas Sales Agreement (the “</w:t>
      </w:r>
      <w:r>
        <w:rPr>
          <w:u w:val="single"/>
        </w:rPr>
        <w:t>Obligations</w:t>
      </w:r>
      <w:r>
        <w:rPr/>
        <w:t xml:space="preserve">”); provided, the applicable rate of interest shall never exceed the maximum lawful rate permitted by law.  This guaranty of payment is a continuing guaranty effective during the term of the Gas Sales Agreement and until complete performance by ECT of its obligations under the Gas Sales Agreement and payment in full of all Obligations; provided, in all instances this Guaranty shall continue for a period of six months after the termination of the Gas Sales Agreement for the purpose of guaranteeing indemnity Obligations which survive the termination of the Gas Sales Agreement as set forth in Sections 4 and 18 of the Gas Sales Agreement (the “Indemnity Period”).  With respect to any Claims threatened or filed as of the close of the Indemnity Period, the Obligations resulting from any such Claims shall be guaranteed hereunder.  No notice of the Obligations or this Agreement need be given in any form to Enron at any time and Enron WAIVES any such notice and the right to consent to the Obligations or this Agreement.  Enron WAIVES any right to require as a condition to its obligations hereunder that (i) collateral be applied to the Obligations, (ii) presentment or demand be made upon ECT or (iii) action be brought against ECT or any other person or entity except Enron, should FPL seek to enforce the obligations of Enron.  Specifically, without limitation, Enron WAIVES any right to require, substantively or procedurally, that (i) a judgment previously be rendered against ECT or any other person or entity except Enron, (ii) ECT or any other person or entity be joined in any action against Enron or (iii) an action separate from one against Enron be brought against ECT or any other person or entity.  The obligations of Enron are several from those of ECT or any other person or entity, including, without limitation, any other surety for ECT, and are primary payment obligations concerning which Enron is the principal.  To the extent ECT shall fail to timely make payment of any Obligations, Enron shall satisfy its obligations hereunder regardless of whether FPL or any other person or entity shall have taken any steps to enforce its rights against ECT or any other person or entity except Enron.  The obligations of Enron hereunder shall in no way be affected or impaired by reason, and Enron WAIVES its right to prior notice, of the happening from time to time of any of the following:  (i) extensions (whether or not material) of the time for payment of all or any portion of the Obligations, (ii) the modification or amendment in any manner (whether or not material) of the Gas Sales Agreement or the Obligations, (iii) except for applicable statutes of limitations, any failure, delay or lack of diligence on the part of FPL, or any other person or entity to enforce, assert or exercise any right, privilege, power or remedy conferred on FPL or any other person or entity in the Gas Sales Agreement or at law, or any action on the part of FPL or such other person or entity granting indulgence or extension of any kind, (iv) the settlement or compromise of any Obligations, (v) the status, composition, structure or name of ECT change, including, without limitation, by reason of merger, dissolution, consolidation or reorganization, (vi) except for releases or waivers resulting from the rights or defenses of ECT that Enron has reserved in Section 3, the release or waiver, by operation of law or otherwise, of the performance or observance by ECT of any express or implied covenant, term or condition in the Gas Sales Agreement, (vii) the release or waiver, by operation of law or otherwise, of the performance or observance by any co-Enron, surety, endorser or other ECT of any express or implied covenant, term or condition to be performed or observed by it under the Gas Sales Agreement or related document and (viii) the failure to acquire, perfect or maintain perfection of any lien on, or security interest in, any collateral provided by ECT to FPL or the release of any such collateral or the release, modification or waiver of, or failure to enforce, any pledge, security device, guaranty, surety or other indemnity agreement in respect of such collateral.  </w:t>
      </w:r>
      <w:r>
        <w:rPr>
          <w:caps/>
        </w:rPr>
        <w:t xml:space="preserve">Notwithstanding the foregoing, the liability of Enron hereunder shall be limited to direct, actual damages and, unless expressly provided in the Gas Sales Agreement, Enron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t>Upon 30 Days written notice and with the prior written consent of FPL, which consent shall not be unreasonably withheld, this Guaranty may be replaced by (i) a guaranty in identical form made by a Enron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FPL in the amount of the Maximum Limit (below defined), issued by a bank and in a form, each of which shall be reasonably satisfactory to FPL, taking into consideration all effects on the enforceability of the replacement letter of credit; provided, this Guaranty shall continue to apply to all Obligations in effect at the time this Guaranty is replaced until all such Obligations are completed and the replacement guaranty or letter of credit shall apply to only those Obligations formed after its execution and delivery.</w:t>
      </w:r>
    </w:p>
    <w:p>
      <w:pPr>
        <w:pStyle w:val="Normal"/>
        <w:rPr>
          <w:b/>
        </w:rPr>
      </w:pPr>
      <w:r>
        <w:rPr>
          <w:b/>
        </w:rPr>
      </w:r>
    </w:p>
    <w:p>
      <w:pPr>
        <w:pStyle w:val="Normal"/>
        <w:rPr/>
      </w:pPr>
      <w:r>
        <w:rPr>
          <w:b/>
        </w:rPr>
        <w:t xml:space="preserve">2.  </w:t>
      </w:r>
      <w:r>
        <w:rPr>
          <w:b/>
          <w:u w:val="single"/>
        </w:rPr>
        <w:t>MAXIMUM LIMIT</w:t>
      </w:r>
      <w:r>
        <w:rPr/>
        <w:t>.  The amount covered by this Guaranty for all Obligations in respect of the aggregate of all Transactions under the Gas Sales Agreement that ever shall be required to be paid by Enron shall not exceed the Termination Payment under the Gas Sales Agreement (the “Maximum Limit”); provided, this Guaranty shall cover and Enron shall pay, in addition to the Maximum Limit, all reasonable expenses, including, without limitation, attorneys’ fees, court costs and similar costs, of FPL in the event of judgment, settlement or other enforcement against Enron.  The Maximum Limit shall not be affected by the number or type of outstanding Obligations or the holding or application of any collateral by FPL.</w:t>
      </w:r>
    </w:p>
    <w:p>
      <w:pPr>
        <w:pStyle w:val="Normal"/>
        <w:rPr>
          <w:b/>
        </w:rPr>
      </w:pPr>
      <w:r>
        <w:rPr>
          <w:b/>
        </w:rPr>
      </w:r>
    </w:p>
    <w:p>
      <w:pPr>
        <w:pStyle w:val="Normal"/>
        <w:rPr/>
      </w:pPr>
      <w:r>
        <w:rPr>
          <w:b/>
        </w:rPr>
        <w:t xml:space="preserve">3.  </w:t>
      </w:r>
      <w:r>
        <w:rPr>
          <w:b/>
          <w:u w:val="single"/>
        </w:rPr>
        <w:t>DEFENSES</w:t>
      </w:r>
      <w:r>
        <w:rPr/>
        <w:t>.  Other than as expressly waived in this Guaranty, Enron retains its own defenses and rights hereunder.  Enron WAIVES all rights, setoffs, counterclaims and other defenses of ECT relating to the Obligations, including, without limitation, all rights, setoffs, counterclaims and other defenses arising out of the bankruptcy, insolvency, dissolution or liquidation of ECT.</w:t>
      </w:r>
    </w:p>
    <w:p>
      <w:pPr>
        <w:pStyle w:val="Normal"/>
        <w:rPr>
          <w:b/>
        </w:rPr>
      </w:pPr>
      <w:r>
        <w:rPr>
          <w:b/>
        </w:rPr>
      </w:r>
    </w:p>
    <w:p>
      <w:pPr>
        <w:pStyle w:val="Normal"/>
        <w:rPr/>
      </w:pPr>
      <w:r>
        <w:rPr>
          <w:b/>
        </w:rPr>
        <w:t xml:space="preserve">4.  </w:t>
      </w:r>
      <w:r>
        <w:rPr>
          <w:b/>
          <w:u w:val="single"/>
        </w:rPr>
        <w:t>DEFAULT</w:t>
      </w:r>
      <w:r>
        <w:rPr/>
        <w:t>.  If ECT fails or refuses to pay timely any Obligations, FPL may at its option exercise any or all of its rights, powers and remedies afforded hereunder and under all documents, if any, securing this Guaranty and may declare the unpaid amounts of all Obligations then owing under the Gas Sales Agreement to be immediately due and payable, and thereupon such amounts shall be immediately due and payable without presentation and demand for payment, protest, notice of protest or dishonor, notice of default, notice of intent to accelerate or notice of acceleration to Enron or any other person or entity, all of which Enron hereby WAIVES.</w:t>
      </w:r>
    </w:p>
    <w:p>
      <w:pPr>
        <w:pStyle w:val="Normal"/>
        <w:rPr/>
      </w:pPr>
      <w:r>
        <w:rPr/>
      </w:r>
    </w:p>
    <w:p>
      <w:pPr>
        <w:pStyle w:val="Normal"/>
        <w:rPr/>
      </w:pPr>
      <w:r>
        <w:rPr>
          <w:b/>
        </w:rPr>
        <w:t xml:space="preserve">5.  </w:t>
      </w:r>
      <w:r>
        <w:rPr>
          <w:b/>
          <w:u w:val="single"/>
        </w:rPr>
        <w:t>REPRESENTATIONS AND WARRANTIES</w:t>
      </w:r>
      <w:r>
        <w:rPr/>
        <w:t>.  Enron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Enron is required on the part of Enron for the execution and delivery of this Guaranty and (iii) assuming due authorization, execution and delivery hereof by FPL, this Guaranty constitutes a legal, valid and binding agree</w:t>
        <w:softHyphen/>
        <w:t>ment of Enron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rPr>
          <w:b/>
        </w:rPr>
      </w:pPr>
      <w:r>
        <w:rPr>
          <w:b/>
        </w:rPr>
      </w:r>
    </w:p>
    <w:p>
      <w:pPr>
        <w:pStyle w:val="Normal"/>
        <w:rPr/>
      </w:pPr>
      <w:r>
        <w:rPr>
          <w:b/>
        </w:rPr>
        <w:t xml:space="preserve">6.  </w:t>
      </w:r>
      <w:r>
        <w:rPr>
          <w:b/>
          <w:u w:val="single"/>
        </w:rPr>
        <w:t>NOTICE</w:t>
      </w:r>
      <w:r>
        <w:rPr/>
        <w:t>.  All notices and communications made pursuant to this Guaranty shall be in writing and delivered personally or mailed by certified mail, postage prepaid and return receipt requested, or sent by facsimile, as follows:</w:t>
      </w:r>
    </w:p>
    <w:p>
      <w:pPr>
        <w:pStyle w:val="Normal"/>
        <w:rPr>
          <w:u w:val="single"/>
        </w:rPr>
      </w:pPr>
      <w:r>
        <w:rPr>
          <w:u w:val="single"/>
        </w:rPr>
      </w:r>
    </w:p>
    <w:p>
      <w:pPr>
        <w:pStyle w:val="Normal"/>
        <w:rPr/>
      </w:pPr>
      <w:r>
        <w:rPr>
          <w:u w:val="single"/>
        </w:rPr>
        <w:t>To Enron</w:t>
      </w:r>
      <w:r>
        <w:rPr/>
        <w:t>:</w:t>
        <w:tab/>
      </w:r>
    </w:p>
    <w:p>
      <w:pPr>
        <w:pStyle w:val="Normal"/>
        <w:rPr/>
      </w:pPr>
      <w:r>
        <w:rPr/>
        <w:t>________________</w:t>
      </w:r>
    </w:p>
    <w:p>
      <w:pPr>
        <w:pStyle w:val="Normal"/>
        <w:rPr/>
      </w:pPr>
      <w:r>
        <w:rPr/>
        <w:t>________________</w:t>
      </w:r>
    </w:p>
    <w:p>
      <w:pPr>
        <w:pStyle w:val="Normal"/>
        <w:rPr/>
      </w:pPr>
      <w:r>
        <w:rPr/>
        <w:t>________________</w:t>
      </w:r>
    </w:p>
    <w:p>
      <w:pPr>
        <w:pStyle w:val="Normal"/>
        <w:rPr/>
      </w:pPr>
      <w:r>
        <w:rPr/>
        <w:t>Facsimile:  _______</w:t>
      </w:r>
    </w:p>
    <w:p>
      <w:pPr>
        <w:pStyle w:val="Normal"/>
        <w:rPr>
          <w:u w:val="single"/>
        </w:rPr>
      </w:pPr>
      <w:r>
        <w:rPr>
          <w:u w:val="single"/>
        </w:rPr>
      </w:r>
    </w:p>
    <w:p>
      <w:pPr>
        <w:pStyle w:val="Normal"/>
        <w:rPr/>
      </w:pPr>
      <w:r>
        <w:rPr>
          <w:u w:val="single"/>
        </w:rPr>
        <w:t>To FPL</w:t>
      </w:r>
      <w:r>
        <w:rPr/>
        <w:t>:</w:t>
      </w:r>
    </w:p>
    <w:p>
      <w:pPr>
        <w:pStyle w:val="Normal"/>
        <w:rPr/>
      </w:pPr>
      <w:r>
        <w:rPr/>
        <w:t>________________</w:t>
      </w:r>
    </w:p>
    <w:p>
      <w:pPr>
        <w:pStyle w:val="Normal"/>
        <w:rPr/>
      </w:pPr>
      <w:r>
        <w:rPr/>
        <w:t>________________</w:t>
      </w:r>
    </w:p>
    <w:p>
      <w:pPr>
        <w:pStyle w:val="Normal"/>
        <w:rPr/>
      </w:pPr>
      <w:r>
        <w:rPr/>
        <w:t>________________</w:t>
      </w:r>
    </w:p>
    <w:p>
      <w:pPr>
        <w:pStyle w:val="Normal"/>
        <w:rPr/>
      </w:pPr>
      <w:r>
        <w:rPr/>
        <w:t>Facsimile:  _______</w:t>
      </w:r>
    </w:p>
    <w:p>
      <w:pPr>
        <w:pStyle w:val="Normal"/>
        <w:rPr/>
      </w:pPr>
      <w:r>
        <w:rPr/>
      </w:r>
    </w:p>
    <w:p>
      <w:pPr>
        <w:pStyle w:val="Normal"/>
        <w:rPr/>
      </w:pPr>
      <w:r>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u w:val="single"/>
        </w:rPr>
        <w:t>Section 7</w:t>
      </w:r>
      <w:r>
        <w:rPr/>
        <w:t>.</w:t>
      </w:r>
    </w:p>
    <w:p>
      <w:pPr>
        <w:pStyle w:val="Normal"/>
        <w:rPr>
          <w:b/>
        </w:rPr>
      </w:pPr>
      <w:r>
        <w:rPr>
          <w:b/>
        </w:rPr>
      </w:r>
    </w:p>
    <w:p>
      <w:pPr>
        <w:pStyle w:val="Normal"/>
        <w:rPr/>
      </w:pPr>
      <w:r>
        <w:rPr>
          <w:b/>
        </w:rPr>
        <w:t xml:space="preserve">7.  </w:t>
      </w:r>
      <w:r>
        <w:rPr>
          <w:b/>
          <w:u w:val="single"/>
        </w:rPr>
        <w:t>LAW, WAIVERS, MISCELLANEOUS</w:t>
      </w:r>
      <w:r>
        <w:rPr/>
        <w:t>.  THIS GUARANTY SHALL IN ALL RESPECTS BE GOVERNED BY, AND CONSTRUED IN ACCORDANCE WITH, THE LAWS OF THE STATE OF TEXAS, WITHOUT REGARD TO PRINCIPLES OF CONFLICTS OF LAWS.</w:t>
      </w:r>
      <w:r>
        <w:rPr>
          <w:b/>
        </w:rPr>
        <w:t xml:space="preserve">  </w:t>
      </w:r>
      <w:r>
        <w:rPr/>
        <w:t>Enron  WAIVES all right to require marshaling of assets and liabilities, sale in inverse order of alienation, notice of disposition of collateral and notice of acceptance of this Guaranty.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Sales Agreement.  This Guaranty shall be binding upon and inure to the benefit of and be enforceable by the respective successors and assigns of Enron and FPL.  This Guaranty embodies the entire agreement and under</w:t>
        <w:softHyphen/>
        <w:t>standing between Enron and FPL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rPr/>
      </w:pPr>
      <w:r>
        <w:rPr/>
      </w:r>
    </w:p>
    <w:p>
      <w:pPr>
        <w:pStyle w:val="NormalIndent"/>
        <w:rPr/>
      </w:pPr>
      <w:r>
        <w:rPr/>
        <w:t>The parties hereto have caused this Guaranty to be executed as of the day and year first above written.</w:t>
      </w:r>
    </w:p>
    <w:p>
      <w:pPr>
        <w:pStyle w:val="Normal"/>
        <w:rPr/>
      </w:pPr>
      <w:r>
        <w:rPr/>
      </w:r>
    </w:p>
    <w:p>
      <w:pPr>
        <w:pStyle w:val="Normal"/>
        <w:rPr/>
      </w:pPr>
      <w:r>
        <w:rPr/>
        <w:t>ENRON CORP.</w:t>
        <w:tab/>
        <w:tab/>
        <w:tab/>
        <w:tab/>
        <w:tab/>
        <w:tab/>
        <w:t>FLORIDA POWER &amp; LIGHT COMPANY</w:t>
      </w:r>
    </w:p>
    <w:p>
      <w:pPr>
        <w:pStyle w:val="Normal"/>
        <w:rPr/>
      </w:pPr>
      <w:r>
        <w:rPr/>
      </w:r>
    </w:p>
    <w:p>
      <w:pPr>
        <w:pStyle w:val="Normal"/>
        <w:rPr/>
      </w:pPr>
      <w:r>
        <w:rPr>
          <w:u w:val="single"/>
        </w:rPr>
        <w:tab/>
        <w:tab/>
        <w:tab/>
        <w:tab/>
        <w:tab/>
        <w:tab/>
      </w:r>
      <w:r>
        <w:rPr/>
        <w:tab/>
      </w:r>
      <w:r>
        <w:rPr>
          <w:u w:val="single"/>
        </w:rPr>
        <w:tab/>
        <w:tab/>
        <w:tab/>
        <w:tab/>
        <w:tab/>
        <w:tab/>
      </w:r>
    </w:p>
    <w:p>
      <w:pPr>
        <w:pStyle w:val="Normal"/>
        <w:rPr/>
      </w:pPr>
      <w:r>
        <w:rPr/>
        <w:t>Signature</w:t>
        <w:tab/>
        <w:tab/>
        <w:tab/>
        <w:tab/>
        <w:tab/>
        <w:tab/>
        <w:t>Signature</w:t>
      </w:r>
    </w:p>
    <w:p>
      <w:pPr>
        <w:pStyle w:val="Normal"/>
        <w:rPr/>
      </w:pPr>
      <w:r>
        <w:rPr/>
      </w:r>
    </w:p>
    <w:p>
      <w:pPr>
        <w:pStyle w:val="Normal"/>
        <w:rPr/>
      </w:pPr>
      <w:r>
        <w:rPr/>
        <w:t xml:space="preserve">Printed </w:t>
        <w:tab/>
        <w:tab/>
        <w:tab/>
        <w:tab/>
        <w:tab/>
        <w:tab/>
        <w:tab/>
        <w:t>Printed</w:t>
        <w:tab/>
      </w:r>
    </w:p>
    <w:p>
      <w:pPr>
        <w:pStyle w:val="Normal"/>
        <w:rPr/>
      </w:pPr>
      <w:r>
        <w:rPr/>
        <w:t>Name:</w:t>
      </w:r>
      <w:r>
        <w:rPr>
          <w:u w:val="single"/>
        </w:rPr>
        <w:tab/>
        <w:tab/>
        <w:tab/>
        <w:tab/>
        <w:tab/>
        <w:tab/>
      </w:r>
      <w:r>
        <w:rPr/>
        <w:tab/>
        <w:t>Name:</w:t>
      </w:r>
      <w:r>
        <w:rPr>
          <w:u w:val="single"/>
        </w:rPr>
        <w:tab/>
        <w:tab/>
        <w:tab/>
        <w:tab/>
        <w:tab/>
        <w:tab/>
      </w:r>
    </w:p>
    <w:p>
      <w:pPr>
        <w:pStyle w:val="Normal"/>
        <w:rPr/>
      </w:pPr>
      <w:r>
        <w:rPr/>
        <w:tab/>
        <w:tab/>
        <w:tab/>
        <w:tab/>
        <w:tab/>
      </w:r>
    </w:p>
    <w:p>
      <w:pPr>
        <w:pStyle w:val="Normal"/>
        <w:rPr/>
      </w:pPr>
      <w:r>
        <w:rPr/>
        <w:t>Title:</w:t>
      </w:r>
      <w:r>
        <w:rPr>
          <w:u w:val="single"/>
        </w:rPr>
        <w:tab/>
        <w:tab/>
        <w:tab/>
        <w:tab/>
        <w:tab/>
        <w:tab/>
      </w:r>
      <w:r>
        <w:rPr/>
        <w:tab/>
        <w:t>Title:</w:t>
      </w:r>
      <w:r>
        <w:rPr>
          <w:u w:val="single"/>
        </w:rPr>
        <w:tab/>
        <w:tab/>
        <w:tab/>
        <w:tab/>
        <w:tab/>
        <w:tab/>
      </w:r>
    </w:p>
    <w:p>
      <w:pPr>
        <w:pStyle w:val="Normal"/>
        <w:rPr/>
      </w:pPr>
      <w:r>
        <w:rPr/>
      </w:r>
    </w:p>
    <w:p>
      <w:pPr>
        <w:pStyle w:val="Normal"/>
        <w:rPr/>
      </w:pPr>
      <w:r>
        <w:rPr/>
      </w:r>
    </w:p>
    <w:sectPr>
      <w:headerReference w:type="default" r:id="rId28"/>
      <w:headerReference w:type="first" r:id="rId29"/>
      <w:footerReference w:type="default" r:id="rId30"/>
      <w:footerReference w:type="first" r:id="rId31"/>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99014ctr.doc</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99013rctr.doc</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99013rctr.doc</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tab/>
      <w:tab/>
      <w:tab/>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99014ctr.doc</w:t>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ab/>
      <w:tab/>
      <w:tab/>
      <w:tab/>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99014ctr.doc</w:t>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99014ctr.doc</w:t>
      <w:tab/>
    </w:r>
    <w:r>
      <w:rPr>
        <w:rStyle w:val="PageNumber"/>
      </w:rPr>
      <w:fldChar w:fldCharType="begin"/>
    </w:r>
    <w:r>
      <w:rPr>
        <w:rStyle w:val="PageNumber"/>
      </w:rPr>
      <w:instrText xml:space="preserve"> PAGE </w:instrText>
    </w:r>
    <w:r>
      <w:rPr>
        <w:rStyle w:val="PageNumber"/>
      </w:rPr>
      <w:fldChar w:fldCharType="separate"/>
    </w:r>
    <w:r>
      <w:rPr>
        <w:rStyle w:val="PageNumber"/>
      </w:rPr>
      <w:t>49</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99013rctr.doc</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99013rctr.doc</w:t>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w:t>
    </w:r>
  </w:p>
  <w:p>
    <w:pPr>
      <w:pStyle w:val="Header"/>
      <w:jc w:val="end"/>
      <w:rPr/>
    </w:pPr>
    <w:r>
      <w:rPr/>
      <w:t>FOR DISCUSSION PURPOSES ONLY</w:t>
    </w:r>
  </w:p>
  <w:p>
    <w:pPr>
      <w:pStyle w:val="Header"/>
      <w:jc w:val="end"/>
      <w:rPr/>
    </w:pPr>
    <w:r>
      <w:rPr/>
      <w:t>SUBJECT TO SENIOR</w:t>
    </w:r>
  </w:p>
  <w:p>
    <w:pPr>
      <w:pStyle w:val="Header"/>
      <w:jc w:val="end"/>
      <w:rPr/>
    </w:pPr>
    <w:r>
      <w:rPr/>
      <w:t>MANAGEMENT APPROVAL</w:t>
    </w:r>
  </w:p>
  <w:p>
    <w:pPr>
      <w:pStyle w:val="Header"/>
      <w:jc w:val="end"/>
      <w:rPr/>
    </w:pPr>
    <w:r>
      <w:rPr/>
      <w:t>7/26/99</w:t>
    </w:r>
  </w:p>
  <w:p>
    <w:pPr>
      <w:pStyle w:val="Header"/>
      <w:jc w:val="end"/>
      <w:rPr>
        <w:i/>
        <w:i/>
      </w:rPr>
    </w:pPr>
    <w:r>
      <w:rPr>
        <w:i/>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
      <w:lvlJc w:val="start"/>
      <w:pPr>
        <w:tabs>
          <w:tab w:val="num" w:pos="360"/>
        </w:tabs>
        <w:ind w:start="72" w:hanging="72"/>
      </w:pPr>
      <w:rPr>
        <w:u w:val="none"/>
      </w:rPr>
    </w:lvl>
    <w:lvl w:ilvl="1">
      <w:start w:val="1"/>
      <w:pStyle w:val="Heading2"/>
      <w:numFmt w:val="decimal"/>
      <w:lvlText w:val="%1.%2"/>
      <w:lvlJc w:val="start"/>
      <w:pPr>
        <w:tabs>
          <w:tab w:val="num" w:pos="1440"/>
        </w:tabs>
        <w:ind w:start="1440" w:hanging="720"/>
      </w:pPr>
      <w:rPr>
        <w:u w:val="none"/>
      </w:rPr>
    </w:lvl>
    <w:lvl w:ilvl="2">
      <w:start w:val="1"/>
      <w:pStyle w:val="Heading3"/>
      <w:numFmt w:val="decimal"/>
      <w:lvlText w:val="%1.%2.%3"/>
      <w:lvlJc w:val="start"/>
      <w:pPr>
        <w:tabs>
          <w:tab w:val="num" w:pos="2160"/>
        </w:tabs>
        <w:ind w:start="2160" w:hanging="720"/>
      </w:pPr>
      <w:rPr>
        <w:u w:val="none"/>
      </w:rPr>
    </w:lvl>
    <w:lvl w:ilvl="3">
      <w:start w:val="1"/>
      <w:pStyle w:val="Heading4"/>
      <w:numFmt w:val="lowerLetter"/>
      <w:lvlText w:val="(%4)"/>
      <w:lvlJc w:val="start"/>
      <w:pPr>
        <w:tabs>
          <w:tab w:val="num" w:pos="2880"/>
        </w:tabs>
        <w:ind w:start="2880" w:hanging="720"/>
      </w:pPr>
      <w:rPr/>
    </w:lvl>
    <w:lvl w:ilvl="4">
      <w:start w:val="1"/>
      <w:numFmt w:val="decimal"/>
      <w:lvlText w:val="%1.%2.%3.%4.%5"/>
      <w:lvlJc w:val="start"/>
      <w:pPr>
        <w:tabs>
          <w:tab w:val="num" w:pos="6840"/>
        </w:tabs>
        <w:ind w:start="6840" w:hanging="1080"/>
      </w:pPr>
      <w:rPr/>
    </w:lvl>
    <w:lvl w:ilvl="5">
      <w:start w:val="1"/>
      <w:numFmt w:val="decimal"/>
      <w:lvlText w:val="%1.%2.%3.%4.%5.%6"/>
      <w:lvlJc w:val="start"/>
      <w:pPr>
        <w:tabs>
          <w:tab w:val="num" w:pos="8280"/>
        </w:tabs>
        <w:ind w:start="8280" w:hanging="1080"/>
      </w:pPr>
      <w:rPr/>
    </w:lvl>
    <w:lvl w:ilvl="6">
      <w:start w:val="1"/>
      <w:numFmt w:val="decimal"/>
      <w:lvlText w:val="%1.%2.%3.%4.%5.%6.%7"/>
      <w:lvlJc w:val="start"/>
      <w:pPr>
        <w:tabs>
          <w:tab w:val="num" w:pos="10080"/>
        </w:tabs>
        <w:ind w:start="10080" w:hanging="1440"/>
      </w:pPr>
      <w:rPr/>
    </w:lvl>
    <w:lvl w:ilvl="7">
      <w:start w:val="1"/>
      <w:numFmt w:val="decimal"/>
      <w:lvlText w:val="%1.%2.%3.%4.%5.%6.%7.%8"/>
      <w:lvlJc w:val="start"/>
      <w:pPr>
        <w:tabs>
          <w:tab w:val="num" w:pos="11520"/>
        </w:tabs>
        <w:ind w:start="11520" w:hanging="1440"/>
      </w:pPr>
      <w:rPr/>
    </w:lvl>
    <w:lvl w:ilvl="8">
      <w:start w:val="1"/>
      <w:numFmt w:val="decimal"/>
      <w:lvlText w:val="%1.%2.%3.%4.%5.%6.%7.%8.%9"/>
      <w:lvlJc w:val="start"/>
      <w:pPr>
        <w:tabs>
          <w:tab w:val="num" w:pos="13320"/>
        </w:tabs>
        <w:ind w:start="13320" w:hanging="1800"/>
      </w:pPr>
      <w:rPr/>
    </w:lvl>
  </w:abstractNum>
  <w:abstractNum w:abstractNumId="2">
    <w:lvl w:ilvl="0">
      <w:start w:val="1"/>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0" w:after="240"/>
      <w:jc w:val="both"/>
      <w:outlineLvl w:val="0"/>
    </w:pPr>
    <w:rPr>
      <w:caps/>
      <w:kern w:val="2"/>
      <w:sz w:val="24"/>
      <w:u w:val="single"/>
    </w:rPr>
  </w:style>
  <w:style w:type="paragraph" w:styleId="Heading2">
    <w:name w:val="heading 2"/>
    <w:basedOn w:val="Normal"/>
    <w:next w:val="Normal"/>
    <w:qFormat/>
    <w:pPr>
      <w:numPr>
        <w:ilvl w:val="1"/>
        <w:numId w:val="1"/>
      </w:numPr>
      <w:spacing w:lineRule="auto" w:line="480"/>
      <w:jc w:val="both"/>
      <w:outlineLvl w:val="1"/>
    </w:pPr>
    <w:rPr>
      <w:sz w:val="24"/>
    </w:rPr>
  </w:style>
  <w:style w:type="paragraph" w:styleId="Heading3">
    <w:name w:val="heading 3"/>
    <w:basedOn w:val="Normal"/>
    <w:next w:val="Normal"/>
    <w:qFormat/>
    <w:pPr>
      <w:numPr>
        <w:ilvl w:val="2"/>
        <w:numId w:val="1"/>
      </w:numPr>
      <w:spacing w:lineRule="auto" w:line="480"/>
      <w:jc w:val="both"/>
      <w:outlineLvl w:val="2"/>
    </w:pPr>
    <w:rPr>
      <w:sz w:val="24"/>
    </w:rPr>
  </w:style>
  <w:style w:type="paragraph" w:styleId="Heading4">
    <w:name w:val="heading 4"/>
    <w:basedOn w:val="Normal"/>
    <w:next w:val="Normal"/>
    <w:qFormat/>
    <w:pPr>
      <w:numPr>
        <w:ilvl w:val="3"/>
        <w:numId w:val="1"/>
      </w:numPr>
      <w:tabs>
        <w:tab w:val="clear" w:pos="720"/>
        <w:tab w:val="left" w:pos="2160" w:leader="none"/>
      </w:tabs>
      <w:spacing w:lineRule="auto" w:line="480"/>
      <w:jc w:val="both"/>
      <w:outlineLvl w:val="3"/>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u w:val="none"/>
    </w:rPr>
  </w:style>
  <w:style w:type="character" w:styleId="WW8Num12z3">
    <w:name w:val="WW8Num12z3"/>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i w:val="false"/>
      <w:caps w:val="false"/>
      <w:smallCaps w:val="false"/>
      <w:strike w:val="false"/>
      <w:dstrike w:val="false"/>
      <w:outline w:val="false"/>
      <w:shadow w:val="false"/>
      <w:vanish w:val="false"/>
      <w:position w:val="0"/>
      <w:sz w:val="24"/>
      <w:sz w:val="24"/>
      <w:u w:val="none"/>
      <w:vertAlign w:val="baseline"/>
    </w:rPr>
  </w:style>
  <w:style w:type="character" w:styleId="WW8Num19z1">
    <w:name w:val="WW8Num19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9z2">
    <w:name w:val="WW8Num19z2"/>
    <w:qFormat/>
    <w:rPr>
      <w:rFonts w:ascii="Times New Roman" w:hAnsi="Times New Roman" w:cs="Times New Roman"/>
      <w:b w:val="false"/>
      <w:i w:val="false"/>
      <w:caps w:val="false"/>
      <w:smallCaps w:val="false"/>
      <w:strike w:val="false"/>
      <w:dstrike w:val="false"/>
      <w:outline w:val="false"/>
      <w:shadow w:val="false"/>
      <w:vanish w:val="false"/>
      <w:position w:val="0"/>
      <w:sz w:val="24"/>
      <w:sz w:val="24"/>
      <w:vertAlign w:val="baseline"/>
    </w:rPr>
  </w:style>
  <w:style w:type="character" w:styleId="WW8Num19z3">
    <w:name w:val="WW8Num19z3"/>
    <w:qFormat/>
    <w:rPr>
      <w:rFonts w:ascii="Times New Roman" w:hAnsi="Times New Roman" w:cs="Times New Roman"/>
      <w:b w:val="false"/>
      <w:i w:val="false"/>
      <w:sz w:val="24"/>
    </w:rPr>
  </w:style>
  <w:style w:type="character" w:styleId="WW8Num19z4">
    <w:name w:val="WW8Num19z4"/>
    <w:qFormat/>
    <w:rPr>
      <w:rFonts w:ascii="Times New Roman" w:hAnsi="Times New Roman" w:cs="Times New Roman"/>
      <w:b w:val="false"/>
      <w:i w:val="false"/>
    </w:rPr>
  </w:style>
  <w:style w:type="character" w:styleId="WW8Num20z0">
    <w:name w:val="WW8Num20z0"/>
    <w:qFormat/>
    <w:rPr/>
  </w:style>
  <w:style w:type="character" w:styleId="WW8Num21z0">
    <w:name w:val="WW8Num21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hanging="0" w:start="72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jc w:val="both"/>
    </w:pPr>
    <w:rPr>
      <w:caps/>
      <w:sz w:val="24"/>
    </w:rPr>
  </w:style>
  <w:style w:type="paragraph" w:styleId="BodyTextIndent">
    <w:name w:val="Body Text Indent"/>
    <w:basedOn w:val="Normal"/>
    <w:pPr>
      <w:spacing w:lineRule="auto" w:line="480"/>
      <w:ind w:firstLine="720" w:start="720" w:end="0"/>
      <w:jc w:val="both"/>
    </w:pPr>
    <w:rPr>
      <w:sz w:val="24"/>
    </w:rPr>
  </w:style>
  <w:style w:type="paragraph" w:styleId="NormalIndent">
    <w:name w:val="Normal Indent"/>
    <w:basedOn w:val="Normal"/>
    <w:qFormat/>
    <w:pPr>
      <w:spacing w:before="0" w:after="240"/>
      <w:ind w:firstLine="144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5040" w:leader="none"/>
        <w:tab w:val="right" w:pos="8640" w:leader="none"/>
      </w:tabs>
      <w:jc w:val="both"/>
    </w:pPr>
    <w:rPr>
      <w:sz w:val="24"/>
    </w:rPr>
  </w:style>
  <w:style w:type="paragraph" w:styleId="Footer">
    <w:name w:val="footer"/>
    <w:basedOn w:val="Normal"/>
    <w:pPr>
      <w:tabs>
        <w:tab w:val="clear" w:pos="720"/>
        <w:tab w:val="center" w:pos="4680" w:leader="none"/>
        <w:tab w:val="right" w:pos="8640" w:leader="none"/>
      </w:tabs>
      <w:jc w:val="both"/>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1999-07-26T17:40:00Z</dcterms:created>
  <dc:creator>Daniel J. Hyvl</dc:creator>
  <dc:description/>
  <dc:language>en-CA</dc:language>
  <cp:lastModifiedBy>Daniel J. Hyvl</cp:lastModifiedBy>
  <dcterms:modified xsi:type="dcterms:W3CDTF">1999-07-26T17:43:00Z</dcterms:modified>
  <cp:revision>2</cp:revision>
  <dc:subject/>
  <dc:title>NATURAL GAS PURCHASE AGREEMENT</dc:title>
</cp:coreProperties>
</file>