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STATE OF NEW YORK</w:t>
      </w:r>
    </w:p>
    <w:p>
      <w:pPr>
        <w:pStyle w:val="Normal"/>
        <w:jc w:val="center"/>
        <w:rPr>
          <w:sz w:val="24"/>
        </w:rPr>
      </w:pPr>
      <w:r>
        <w:rPr>
          <w:sz w:val="24"/>
        </w:rPr>
        <w:t>PUBLIC SERVICE COMMISSION</w:t>
      </w:r>
    </w:p>
    <w:p>
      <w:pPr>
        <w:pStyle w:val="Normal"/>
        <w:jc w:val="center"/>
        <w:rPr>
          <w:sz w:val="24"/>
        </w:rPr>
      </w:pPr>
      <w:r>
        <w:rPr>
          <w:sz w:val="24"/>
        </w:rPr>
      </w:r>
    </w:p>
    <w:p>
      <w:pPr>
        <w:pStyle w:val="Normal"/>
        <w:jc w:val="center"/>
        <w:rPr>
          <w:sz w:val="24"/>
        </w:rPr>
      </w:pPr>
      <w:r>
        <w:rPr>
          <w:sz w:val="24"/>
        </w:rPr>
        <w:t>CASE 98-M-0667 – In the Matter of Electronic Data Interchange.</w:t>
      </w:r>
    </w:p>
    <w:p>
      <w:pPr>
        <w:pStyle w:val="Normal"/>
        <w:jc w:val="center"/>
        <w:rPr>
          <w:sz w:val="24"/>
        </w:rPr>
      </w:pPr>
      <w:r>
        <w:rPr>
          <w:sz w:val="24"/>
        </w:rPr>
      </w:r>
    </w:p>
    <w:p>
      <w:pPr>
        <w:pStyle w:val="Heading5"/>
        <w:ind w:hanging="0" w:start="0"/>
        <w:rPr/>
      </w:pPr>
      <w:r>
        <w:rPr/>
        <w:t>NOTICE SOLICITING COMMENTS</w:t>
      </w:r>
    </w:p>
    <w:p>
      <w:pPr>
        <w:pStyle w:val="Normal"/>
        <w:jc w:val="center"/>
        <w:rPr>
          <w:sz w:val="24"/>
        </w:rPr>
      </w:pPr>
      <w:r>
        <w:rPr>
          <w:sz w:val="24"/>
        </w:rPr>
      </w:r>
    </w:p>
    <w:p>
      <w:pPr>
        <w:pStyle w:val="Normal"/>
        <w:jc w:val="center"/>
        <w:rPr>
          <w:sz w:val="24"/>
        </w:rPr>
      </w:pPr>
      <w:r>
        <w:rPr>
          <w:sz w:val="24"/>
        </w:rPr>
        <w:t>(Issued November 6, 2000)</w:t>
      </w:r>
    </w:p>
    <w:p>
      <w:pPr>
        <w:pStyle w:val="Normal"/>
        <w:jc w:val="center"/>
        <w:rPr>
          <w:sz w:val="24"/>
        </w:rPr>
      </w:pPr>
      <w:r>
        <w:rPr>
          <w:sz w:val="24"/>
        </w:rPr>
      </w:r>
    </w:p>
    <w:p>
      <w:pPr>
        <w:pStyle w:val="Normal"/>
        <w:jc w:val="center"/>
        <w:rPr>
          <w:sz w:val="24"/>
        </w:rPr>
      </w:pPr>
      <w:r>
        <w:rPr>
          <w:sz w:val="24"/>
        </w:rPr>
      </w:r>
    </w:p>
    <w:p>
      <w:pPr>
        <w:pStyle w:val="Normal"/>
        <w:spacing w:lineRule="auto" w:line="360"/>
        <w:rPr>
          <w:sz w:val="24"/>
        </w:rPr>
      </w:pPr>
      <w:r>
        <w:rPr>
          <w:sz w:val="24"/>
        </w:rPr>
        <w:tab/>
        <w:tab/>
        <w:t xml:space="preserve">In Opinion No. 00-05 (Order on Implementation of Electronic Data Interchange, issued and effective April 12, 2000) the Commission directed that, beginning in 2001, all market participants use EDI for the exchange of retail access data.  To facilitate the migration to EDI, the Commission directed the Utilities, individually, and the New York EDI Collaborative, collectively, to make various filings during 2000.  By this notice, the Commission invites comments on an October 10, 2000 filing made by the New York EDI Collaborative.  This filing includes: proposed business processes for enrolling and dropping retail access customers in an EDI environment; EDI data standards for the TS814 Enrollment and the TS814 Drop transactions; a recommendation on a data transfer mechanism for EDI; a proposed testing plan for EDI; a description of the architectural framework for EDI; web site design guidelines and a revised file format for the exchange of gas ADDQ data. </w:t>
      </w:r>
    </w:p>
    <w:p>
      <w:pPr>
        <w:pStyle w:val="Normal"/>
        <w:spacing w:lineRule="auto" w:line="360"/>
        <w:rPr/>
      </w:pPr>
      <w:r>
        <w:rPr>
          <w:sz w:val="24"/>
        </w:rPr>
        <w:tab/>
        <w:tab/>
        <w:t xml:space="preserve">This filing can be downloaded from the New York PSC web site at </w:t>
      </w:r>
      <w:hyperlink r:id="rId2">
        <w:r>
          <w:rPr>
            <w:rStyle w:val="Hyperlink"/>
            <w:sz w:val="24"/>
          </w:rPr>
          <w:t>http://www.dps.state.ny.us/98m0667.htm</w:t>
        </w:r>
      </w:hyperlink>
      <w:r>
        <w:rPr>
          <w:sz w:val="24"/>
        </w:rPr>
        <w:t xml:space="preserve"> or obtained in hardcopy by contacting the PSC’s Filing Services Unit at 518-474-2500.  </w:t>
      </w:r>
    </w:p>
    <w:p>
      <w:pPr>
        <w:pStyle w:val="BodyTextIndent2"/>
        <w:ind w:firstLine="720" w:end="0"/>
        <w:rPr/>
      </w:pPr>
      <w:r>
        <w:rPr/>
        <w:t>Parties wishing to comment should file six copies of</w:t>
      </w:r>
    </w:p>
    <w:p>
      <w:pPr>
        <w:pStyle w:val="BodyTextIndent2"/>
        <w:ind w:hanging="0" w:start="0" w:end="0"/>
        <w:rPr/>
      </w:pPr>
      <w:r>
        <w:rPr/>
        <w:t xml:space="preserve">their comments with Janet Hand Deixler, Secretary, Three Empire State Plaza, Albany, New York 12223-1350, by the close of business on December 18, 2000.  In addition, we would appreciate a courtesy copy of your comments in an electronic format directed to </w:t>
      </w:r>
      <w:hyperlink r:id="rId3">
        <w:r>
          <w:rPr>
            <w:rStyle w:val="Hyperlink"/>
            <w:u w:val="none"/>
          </w:rPr>
          <w:t>john_daloia@dps.state.ny.us</w:t>
        </w:r>
      </w:hyperlink>
      <w:r>
        <w:rPr/>
        <w:t xml:space="preserve"> for distribution to interested parties via the New York EDI listserv. Reply comments should be filed with the Secretary by the close of business on January 3, 2001. </w:t>
      </w:r>
    </w:p>
    <w:p>
      <w:pPr>
        <w:pStyle w:val="Normal"/>
        <w:spacing w:lineRule="auto" w:line="360"/>
        <w:ind w:firstLine="720" w:end="0"/>
        <w:rPr>
          <w:sz w:val="24"/>
        </w:rPr>
      </w:pPr>
      <w:r>
        <w:rPr>
          <w:sz w:val="24"/>
        </w:rPr>
      </w:r>
    </w:p>
    <w:p>
      <w:pPr>
        <w:pStyle w:val="Normal"/>
        <w:ind w:firstLine="720" w:end="0"/>
        <w:rPr>
          <w:sz w:val="24"/>
        </w:rPr>
      </w:pPr>
      <w:r>
        <w:rPr>
          <w:sz w:val="24"/>
        </w:rPr>
        <w:tab/>
        <w:tab/>
        <w:tab/>
        <w:tab/>
        <w:tab/>
        <w:tab/>
      </w:r>
    </w:p>
    <w:p>
      <w:pPr>
        <w:pStyle w:val="Normal"/>
        <w:ind w:firstLine="720" w:end="0"/>
        <w:rPr>
          <w:sz w:val="24"/>
        </w:rPr>
      </w:pPr>
      <w:r>
        <w:rPr>
          <w:sz w:val="24"/>
        </w:rPr>
      </w:r>
    </w:p>
    <w:p>
      <w:pPr>
        <w:pStyle w:val="Normal"/>
        <w:ind w:firstLine="720" w:start="4320" w:end="0"/>
        <w:rPr>
          <w:sz w:val="24"/>
        </w:rPr>
      </w:pPr>
      <w:r>
        <w:rPr>
          <w:sz w:val="24"/>
        </w:rPr>
      </w:r>
    </w:p>
    <w:p>
      <w:pPr>
        <w:pStyle w:val="Normal"/>
        <w:ind w:firstLine="720" w:start="4320" w:end="0"/>
        <w:rPr>
          <w:sz w:val="24"/>
        </w:rPr>
      </w:pPr>
      <w:r>
        <w:rPr>
          <w:sz w:val="24"/>
        </w:rPr>
        <w:t>JANET HAND DEIXLER</w:t>
      </w:r>
    </w:p>
    <w:p>
      <w:pPr>
        <w:pStyle w:val="Normal"/>
        <w:ind w:firstLine="720" w:start="4320" w:end="0"/>
        <w:rPr>
          <w:sz w:val="24"/>
        </w:rPr>
      </w:pPr>
      <w:r>
        <w:rPr>
          <w:rFonts w:eastAsia="Courier New"/>
          <w:sz w:val="24"/>
        </w:rPr>
        <w:t xml:space="preserve">     </w:t>
      </w:r>
      <w:r>
        <w:rPr>
          <w:sz w:val="24"/>
        </w:rPr>
        <w:t>Secretary</w:t>
      </w:r>
    </w:p>
    <w:sectPr>
      <w:headerReference w:type="default" r:id="rId4"/>
      <w:headerReference w:type="first" r:id="rId5"/>
      <w:footerReference w:type="default" r:id="rId6"/>
      <w:footerReference w:type="first" r:id="rId7"/>
      <w:type w:val="nextPage"/>
      <w:pgSz w:w="12240" w:h="15840"/>
      <w:pgMar w:left="1440" w:right="1440" w:gutter="0" w:header="720" w:top="776"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Fonts w:cs="Courier New" w:ascii="Courier New" w:hAnsi="Courier New"/>
        <w:b w:val="false"/>
        <w:sz w:val="24"/>
      </w:rPr>
      <w:t>-</w:t>
    </w:r>
    <w:r>
      <w:rPr>
        <w:rStyle w:val="PageNumber"/>
        <w:rFonts w:cs="Courier New" w:ascii="Courier New" w:hAnsi="Courier New"/>
        <w:b/>
        <w:sz w:val="24"/>
      </w:rPr>
      <w:fldChar w:fldCharType="begin"/>
    </w:r>
    <w:r>
      <w:rPr>
        <w:rStyle w:val="PageNumber"/>
        <w:sz w:val="24"/>
        <w:b/>
        <w:rFonts w:cs="Courier New" w:ascii="Courier New" w:hAnsi="Courier New"/>
      </w:rPr>
      <w:instrText xml:space="preserve"> PAGE </w:instrText>
    </w:r>
    <w:r>
      <w:rPr>
        <w:rStyle w:val="PageNumber"/>
        <w:sz w:val="24"/>
        <w:b/>
        <w:rFonts w:cs="Courier New" w:ascii="Courier New" w:hAnsi="Courier New"/>
      </w:rPr>
      <w:fldChar w:fldCharType="separate"/>
    </w:r>
    <w:r>
      <w:rPr>
        <w:rStyle w:val="PageNumber"/>
        <w:sz w:val="24"/>
        <w:b/>
        <w:rFonts w:cs="Courier New" w:ascii="Courier New" w:hAnsi="Courier New"/>
      </w:rPr>
      <w:t>2</w:t>
    </w:r>
    <w:r>
      <w:rPr>
        <w:rStyle w:val="PageNumber"/>
        <w:sz w:val="24"/>
        <w:b/>
        <w:rFonts w:cs="Courier New" w:ascii="Courier New" w:hAnsi="Courier New"/>
      </w:rPr>
      <w:fldChar w:fldCharType="end"/>
    </w:r>
    <w:r>
      <w:rPr>
        <w:rStyle w:val="PageNumber"/>
        <w:rFonts w:cs="Courier New" w:ascii="Courier New" w:hAnsi="Courier New"/>
        <w:b/>
        <w:sz w:val="24"/>
      </w:rPr>
      <w:t>-</w:t>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ourier New" w:hAnsi="Courier New" w:cs="Courier New"/>
        <w:b w:val="false"/>
        <w:sz w:val="24"/>
      </w:rPr>
    </w:pPr>
    <w:r>
      <w:rPr>
        <w:rFonts w:cs="Courier New" w:ascii="Courier New" w:hAnsi="Courier New"/>
        <w:b w:val="false"/>
        <w:sz w:val="24"/>
      </w:rPr>
      <w:t>CASE 98-M-0607</w:t>
    </w:r>
  </w:p>
  <w:p>
    <w:pPr>
      <w:pStyle w:val="Header"/>
      <w:rPr>
        <w:rFonts w:ascii="Courier New" w:hAnsi="Courier New" w:cs="Courier New"/>
        <w:b w:val="false"/>
        <w:sz w:val="24"/>
      </w:rPr>
    </w:pPr>
    <w:r>
      <w:rPr>
        <w:rFonts w:cs="Courier New" w:ascii="Courier New" w:hAnsi="Courier New"/>
        <w:b w:val="false"/>
        <w:sz w:val="24"/>
      </w:rPr>
    </w:r>
  </w:p>
  <w:p>
    <w:pPr>
      <w:pStyle w:val="Header"/>
      <w:rPr>
        <w:rFonts w:ascii="Courier New" w:hAnsi="Courier New" w:cs="Courier New"/>
        <w:b w:val="false"/>
        <w:sz w:val="24"/>
      </w:rPr>
    </w:pPr>
    <w:r>
      <w:rPr>
        <w:rFonts w:cs="Courier New" w:ascii="Courier New" w:hAnsi="Courier New"/>
        <w:b w:val="false"/>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eastAsia="zh-CN" w:bidi="hi-IN"/>
    </w:rPr>
  </w:style>
  <w:style w:type="paragraph" w:styleId="Heading1">
    <w:name w:val="heading 1"/>
    <w:basedOn w:val="Normal"/>
    <w:next w:val="Normal"/>
    <w:qFormat/>
    <w:pPr>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pPr>
    <w:rPr>
      <w:rFonts w:ascii="Arial" w:hAnsi="Arial" w:cs="Arial"/>
      <w:b/>
      <w:sz w:val="32"/>
      <w:lang w:eastAsia="en-US"/>
    </w:rPr>
  </w:style>
  <w:style w:type="paragraph" w:styleId="Heading2">
    <w:name w:val="heading 2"/>
    <w:basedOn w:val="Normal"/>
    <w:next w:val="Normal"/>
    <w:qFormat/>
    <w:pPr>
      <w:widowControl w:val="fals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1"/>
    </w:pPr>
    <w:rPr>
      <w:rFonts w:ascii="Arial" w:hAnsi="Arial" w:cs="Arial"/>
      <w:b/>
      <w:sz w:val="28"/>
      <w:u w:val="single"/>
      <w:lang w:eastAsia="en-US"/>
    </w:rPr>
  </w:style>
  <w:style w:type="paragraph" w:styleId="Heading3">
    <w:name w:val="heading 3"/>
    <w:basedOn w:val="Normal"/>
    <w:next w:val="Normal"/>
    <w:qFormat/>
    <w:pPr>
      <w:widowControl w:val="false"/>
      <w:numPr>
        <w:ilvl w:val="2"/>
        <w:numId w:val="1"/>
      </w:numPr>
      <w:outlineLvl w:val="2"/>
    </w:pPr>
    <w:rPr>
      <w:rFonts w:ascii="Arial" w:hAnsi="Arial" w:cs="Arial"/>
      <w:b/>
      <w:sz w:val="24"/>
      <w:u w:val="single"/>
      <w:lang w:eastAsia="en-US"/>
    </w:rPr>
  </w:style>
  <w:style w:type="paragraph" w:styleId="Heading4">
    <w:name w:val="heading 4"/>
    <w:basedOn w:val="Normal"/>
    <w:next w:val="Normal"/>
    <w:qFormat/>
    <w:pPr>
      <w:keepNext w:val="true"/>
      <w:numPr>
        <w:ilvl w:val="3"/>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3"/>
    </w:pPr>
    <w:rPr>
      <w:rFonts w:ascii="Arial" w:hAnsi="Arial" w:cs="Arial"/>
      <w:b/>
      <w:u w:val="single"/>
      <w:lang w:eastAsia="en-US"/>
    </w:rPr>
  </w:style>
  <w:style w:type="paragraph" w:styleId="Heading5">
    <w:name w:val="heading 5"/>
    <w:basedOn w:val="Normal"/>
    <w:next w:val="Normal"/>
    <w:qFormat/>
    <w:pPr>
      <w:keepNext w:val="true"/>
      <w:numPr>
        <w:ilvl w:val="4"/>
        <w:numId w:val="1"/>
      </w:numPr>
      <w:jc w:val="center"/>
      <w:outlineLvl w:val="4"/>
    </w:pPr>
    <w:rPr>
      <w:sz w:val="24"/>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rPr>
      <w:rFonts w:ascii="Arial" w:hAnsi="Arial" w:cs="Arial"/>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pPr>
    <w:rPr>
      <w:rFonts w:ascii="Arial" w:hAnsi="Arial" w:cs="Arial"/>
      <w:b/>
      <w:lang w:eastAsia="en-US"/>
    </w:rPr>
  </w:style>
  <w:style w:type="paragraph" w:styleId="Header">
    <w:name w:val="header"/>
    <w:basedOn w:val="Normal"/>
    <w:pPr>
      <w:widowControl w:val="false"/>
      <w:tabs>
        <w:tab w:val="clear" w:pos="720"/>
        <w:tab w:val="left" w:pos="0" w:leader="none"/>
        <w:tab w:val="center" w:pos="4320" w:leader="none"/>
        <w:tab w:val="right" w:pos="8640" w:leader="none"/>
      </w:tabs>
    </w:pPr>
    <w:rPr>
      <w:rFonts w:ascii="Arial" w:hAnsi="Arial" w:cs="Arial"/>
      <w:b/>
      <w:lang w:eastAsia="en-US"/>
    </w:rPr>
  </w:style>
  <w:style w:type="paragraph" w:styleId="BodyTextIndent">
    <w:name w:val="Body Text Indent"/>
    <w:basedOn w:val="Normal"/>
    <w:pPr>
      <w:spacing w:lineRule="auto" w:line="360"/>
      <w:ind w:firstLine="720" w:start="0" w:end="0"/>
    </w:pPr>
    <w:rPr/>
  </w:style>
  <w:style w:type="paragraph" w:styleId="BodyTextIndent2">
    <w:name w:val="Body Text Indent 2"/>
    <w:basedOn w:val="Normal"/>
    <w:qFormat/>
    <w:pPr>
      <w:spacing w:lineRule="auto" w:line="360"/>
      <w:ind w:hanging="720" w:start="720" w:end="0"/>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ps.state.ny.us/98m0667.htm" TargetMode="External"/><Relationship Id="rId3" Type="http://schemas.openxmlformats.org/officeDocument/2006/relationships/hyperlink" Target="mailto:john_daloia@dps.state.ny.u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2000-11-06T14:15:00Z</dcterms:created>
  <dc:creator>NYS</dc:creator>
  <dc:description/>
  <dc:language>en-CA</dc:language>
  <cp:lastModifiedBy>NYS</cp:lastModifiedBy>
  <cp:lastPrinted>2000-11-06T11:59:00Z</cp:lastPrinted>
  <dcterms:modified xsi:type="dcterms:W3CDTF">2000-11-06T14:29:00Z</dcterms:modified>
  <cp:revision>5</cp:revision>
  <dc:subject/>
  <dc:title>STATE OF NEW YORK</dc:title>
</cp:coreProperties>
</file>