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hanging="0" w:start="0"/>
        <w:rPr>
          <w:rStyle w:val="MessageHeaderLabel"/>
          <w:rFonts w:ascii="Times New Roman" w:hAnsi="Times New Roman" w:cs="Times New Roman"/>
          <w:spacing w:val="-5"/>
          <w:sz w:val="20"/>
          <w:lang w:val="en-CA"/>
        </w:rPr>
      </w:pPr>
      <w:r>
        <w:rPr/>
      </w:r>
    </w:p>
    <w:p>
      <w:pPr>
        <w:pStyle w:val="Heading2"/>
        <w:spacing w:before="0" w:after="0"/>
        <w:ind w:hanging="0" w:start="0"/>
        <w:rPr/>
      </w:pPr>
      <w:r>
        <w:rPr>
          <w:rStyle w:val="MessageHeaderLabel"/>
          <w:rFonts w:cs="Times New Roman"/>
          <w:spacing w:val="-5"/>
          <w:sz w:val="22"/>
          <w:lang w:val="en-CA"/>
        </w:rPr>
        <w:t>March 30, 2000</w:t>
      </w:r>
    </w:p>
    <w:p>
      <w:pPr>
        <w:pStyle w:val="Normal"/>
        <w:rPr/>
      </w:pPr>
      <w:r>
        <w:rPr>
          <w:rStyle w:val="MessageHeaderLabel"/>
          <w:rFonts w:cs="Times New Roman"/>
          <w:spacing w:val="-5"/>
          <w:sz w:val="16"/>
          <w:lang w:val="en-CA"/>
        </w:rPr>
        <w:t>98-10947-LO-035</w:t>
      </w:r>
    </w:p>
    <w:p>
      <w:pPr>
        <w:pStyle w:val="Normal"/>
        <w:rPr>
          <w:rStyle w:val="MessageHeaderLabel"/>
          <w:rFonts w:ascii="Times New Roman" w:hAnsi="Times New Roman" w:cs="Times New Roman"/>
          <w:spacing w:val="-5"/>
          <w:sz w:val="22"/>
          <w:lang w:val="en-CA"/>
        </w:rPr>
      </w:pPr>
      <w:r>
        <w:rPr/>
      </w:r>
    </w:p>
    <w:p>
      <w:pPr>
        <w:pStyle w:val="Heading3"/>
        <w:ind w:hanging="0" w:start="0"/>
        <w:rPr/>
      </w:pPr>
      <w:r>
        <w:rPr>
          <w:rStyle w:val="MessageHeaderLabel"/>
          <w:rFonts w:cs="Times New Roman"/>
          <w:spacing w:val="-5"/>
          <w:sz w:val="22"/>
        </w:rPr>
        <w:t>PG&amp;E Company</w:t>
      </w:r>
    </w:p>
    <w:p>
      <w:pPr>
        <w:pStyle w:val="Normal"/>
        <w:rPr/>
      </w:pPr>
      <w:r>
        <w:rPr>
          <w:rStyle w:val="MessageHeaderLabel"/>
          <w:rFonts w:cs="Times New Roman"/>
          <w:spacing w:val="-5"/>
          <w:sz w:val="22"/>
          <w:lang w:val="en-CA"/>
        </w:rPr>
        <w:t>705 P Street, Third Floor</w:t>
      </w:r>
    </w:p>
    <w:p>
      <w:pPr>
        <w:pStyle w:val="Normal"/>
        <w:rPr/>
      </w:pPr>
      <w:r>
        <w:rPr>
          <w:rStyle w:val="MessageHeaderLabel"/>
          <w:rFonts w:cs="Times New Roman"/>
          <w:spacing w:val="-5"/>
          <w:sz w:val="22"/>
          <w:lang w:val="en-CA"/>
        </w:rPr>
        <w:t>Fresno, CA 93760</w:t>
      </w:r>
    </w:p>
    <w:p>
      <w:pPr>
        <w:pStyle w:val="Normal"/>
        <w:rPr/>
      </w:pPr>
      <w:r>
        <w:rPr>
          <w:rStyle w:val="MessageHeaderLabel"/>
          <w:rFonts w:cs="Times New Roman"/>
          <w:spacing w:val="-5"/>
          <w:sz w:val="22"/>
          <w:lang w:val="en-CA"/>
        </w:rPr>
        <w:t xml:space="preserve">Attn: </w:t>
        <w:tab/>
        <w:t>Mr. Don Fantz</w:t>
      </w:r>
    </w:p>
    <w:p>
      <w:pPr>
        <w:pStyle w:val="Normal"/>
        <w:rPr>
          <w:rStyle w:val="MessageHeaderLabel"/>
          <w:rFonts w:ascii="Times New Roman" w:hAnsi="Times New Roman" w:cs="Times New Roman"/>
          <w:spacing w:val="-5"/>
          <w:sz w:val="22"/>
          <w:lang w:val="en-CA"/>
        </w:rPr>
      </w:pPr>
      <w:r>
        <w:rPr/>
      </w:r>
    </w:p>
    <w:p>
      <w:pPr>
        <w:pStyle w:val="Normal"/>
        <w:rPr/>
      </w:pPr>
      <w:r>
        <w:rPr>
          <w:rStyle w:val="MessageHeaderLabel"/>
          <w:rFonts w:cs="Times New Roman"/>
          <w:spacing w:val="-5"/>
          <w:sz w:val="22"/>
          <w:lang w:val="en-CA"/>
        </w:rPr>
        <w:t xml:space="preserve">Subject:    </w:t>
        <w:tab/>
        <w:t>115kV Substation, CSU Fresno</w:t>
      </w:r>
    </w:p>
    <w:p>
      <w:pPr>
        <w:pStyle w:val="Normal"/>
        <w:rPr>
          <w:rStyle w:val="MessageHeaderLabel"/>
          <w:rFonts w:ascii="Times New Roman" w:hAnsi="Times New Roman" w:cs="Times New Roman"/>
          <w:spacing w:val="-5"/>
          <w:sz w:val="22"/>
          <w:lang w:val="en-CA"/>
        </w:rPr>
      </w:pPr>
      <w:r>
        <w:rPr/>
      </w:r>
    </w:p>
    <w:p>
      <w:pPr>
        <w:pStyle w:val="Normal"/>
        <w:rPr/>
      </w:pPr>
      <w:r>
        <w:rPr>
          <w:rStyle w:val="MessageHeaderLabel"/>
          <w:rFonts w:cs="Times New Roman"/>
          <w:spacing w:val="-5"/>
          <w:sz w:val="22"/>
          <w:lang w:val="en-CA"/>
        </w:rPr>
        <w:t>Reference:</w:t>
        <w:tab/>
        <w:t>PG&amp;E Detailed Study Design Meeting at PG&amp;E Learning Center</w:t>
      </w:r>
    </w:p>
    <w:p>
      <w:pPr>
        <w:pStyle w:val="Normal"/>
        <w:rPr>
          <w:rStyle w:val="MessageHeaderLabel"/>
          <w:rFonts w:ascii="Times New Roman" w:hAnsi="Times New Roman" w:cs="Times New Roman"/>
          <w:b/>
          <w:spacing w:val="-5"/>
          <w:sz w:val="22"/>
          <w:lang w:val="en-CA"/>
        </w:rPr>
      </w:pPr>
      <w:r>
        <w:rPr/>
      </w:r>
    </w:p>
    <w:p>
      <w:pPr>
        <w:pStyle w:val="Normal"/>
        <w:rPr/>
      </w:pPr>
      <w:r>
        <w:rPr>
          <w:rStyle w:val="MessageHeaderLabel"/>
          <w:rFonts w:cs="Times New Roman"/>
          <w:spacing w:val="-5"/>
          <w:sz w:val="22"/>
          <w:lang w:val="en-CA"/>
        </w:rPr>
        <w:t xml:space="preserve">Dear  </w:t>
      </w:r>
      <w:bookmarkStart w:id="0" w:name="bmDear"/>
      <w:bookmarkEnd w:id="0"/>
      <w:r>
        <w:rPr>
          <w:rStyle w:val="MessageHeaderLabel"/>
          <w:rFonts w:cs="Times New Roman"/>
          <w:spacing w:val="-5"/>
          <w:sz w:val="22"/>
          <w:lang w:val="en-CA"/>
        </w:rPr>
        <w:t>Don:</w:t>
      </w:r>
    </w:p>
    <w:p>
      <w:pPr>
        <w:pStyle w:val="Normal"/>
        <w:rPr>
          <w:rStyle w:val="MessageHeaderLabel"/>
          <w:rFonts w:ascii="Times New Roman" w:hAnsi="Times New Roman" w:cs="Times New Roman"/>
          <w:spacing w:val="-5"/>
          <w:sz w:val="22"/>
          <w:lang w:val="en-CA"/>
        </w:rPr>
      </w:pPr>
      <w:r>
        <w:rPr/>
      </w:r>
    </w:p>
    <w:p>
      <w:pPr>
        <w:pStyle w:val="Normal"/>
        <w:rPr/>
      </w:pPr>
      <w:r>
        <w:rPr>
          <w:rStyle w:val="MessageHeaderLabel"/>
          <w:rFonts w:cs="Times New Roman"/>
          <w:spacing w:val="-5"/>
          <w:sz w:val="22"/>
        </w:rPr>
        <w:t>Enron Energy Services (EES) and California State University, Fresno (CSUF) were pleased that the designs completed by EES and PG&amp;E for the Herndon/Bullard Substation Yard work are very similar. These designs reveal we were comparing “apples to apples” at the March 7</w:t>
      </w:r>
      <w:r>
        <w:rPr>
          <w:rStyle w:val="MessageHeaderLabel"/>
          <w:rFonts w:cs="Times New Roman"/>
          <w:spacing w:val="-5"/>
          <w:sz w:val="22"/>
          <w:vertAlign w:val="superscript"/>
        </w:rPr>
        <w:t>th</w:t>
      </w:r>
      <w:r>
        <w:rPr>
          <w:rStyle w:val="MessageHeaderLabel"/>
          <w:rFonts w:cs="Times New Roman"/>
          <w:spacing w:val="-5"/>
          <w:sz w:val="22"/>
        </w:rPr>
        <w:t xml:space="preserve"> cost comparison meeting at our San Ramon office.  However, after PG&amp;E’s Project Manager explained their costs, we are</w:t>
      </w:r>
      <w:r>
        <w:rPr>
          <w:rStyle w:val="MessageHeaderLabel"/>
          <w:rFonts w:cs="Times New Roman"/>
          <w:b/>
          <w:spacing w:val="-5"/>
          <w:sz w:val="22"/>
        </w:rPr>
        <w:t xml:space="preserve"> </w:t>
      </w:r>
      <w:r>
        <w:rPr>
          <w:rStyle w:val="MessageHeaderLabel"/>
          <w:rFonts w:cs="Times New Roman"/>
          <w:spacing w:val="-5"/>
          <w:sz w:val="22"/>
        </w:rPr>
        <w:t xml:space="preserve">extremely disappointed with their comment implying that the costs for the Detailed Study are known to be “high” and the “worst case scenario” was determined for all installations.  </w:t>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The only breakout that has been provided to date was the listing of seventeen categories on the January 24, 2000 letter by PG&amp;E.   EES and CSUF requested to obtain a copy of PG&amp;E’s itemized man-hour costs, subcontractor costs, and material costs to review and substantiate their underlying practicality. However, PG&amp;E stated at yesterday’s meeting that there is a policy refusing to grant access to this breakout.  EES is unfamiliar with any written policy that states this provision.  At this time, I am requesting that PG&amp;E provide the complete breakout.</w:t>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 xml:space="preserve">By PG&amp;E figuring the “worst case scenario” for all installations, the inflated Interconnection Costs are having a detrimental affect on the Project.  In addition to PG&amp;E utilizing these inflated costs, EES and CSUF have numerous issues in response to the costs as they were verbally explained at yesterday’s meeting.  Listed below are </w:t>
      </w:r>
      <w:r>
        <w:rPr>
          <w:rStyle w:val="MessageHeaderLabel"/>
          <w:rFonts w:cs="Times New Roman"/>
          <w:spacing w:val="-5"/>
          <w:sz w:val="22"/>
          <w:u w:val="single"/>
        </w:rPr>
        <w:t>some</w:t>
      </w:r>
      <w:r>
        <w:rPr>
          <w:rStyle w:val="MessageHeaderLabel"/>
          <w:rFonts w:cs="Times New Roman"/>
          <w:spacing w:val="-5"/>
          <w:sz w:val="22"/>
        </w:rPr>
        <w:t xml:space="preserve"> of the most conspicuous points we observed.</w:t>
      </w:r>
    </w:p>
    <w:p>
      <w:pPr>
        <w:pStyle w:val="Normal"/>
        <w:rPr>
          <w:rStyle w:val="MessageHeaderLabel"/>
          <w:rFonts w:ascii="Times New Roman" w:hAnsi="Times New Roman" w:cs="Times New Roman"/>
          <w:spacing w:val="-5"/>
          <w:sz w:val="22"/>
        </w:rPr>
      </w:pPr>
      <w:r>
        <w:rPr/>
      </w:r>
    </w:p>
    <w:p>
      <w:pPr>
        <w:pStyle w:val="Normal"/>
        <w:numPr>
          <w:ilvl w:val="0"/>
          <w:numId w:val="2"/>
        </w:numPr>
        <w:rPr>
          <w:rStyle w:val="MessageHeaderLabel"/>
          <w:rFonts w:ascii="Times New Roman" w:hAnsi="Times New Roman" w:cs="Times New Roman"/>
          <w:spacing w:val="-5"/>
          <w:sz w:val="22"/>
        </w:rPr>
      </w:pPr>
      <w:r>
        <w:rPr>
          <w:rStyle w:val="MessageHeaderLabel"/>
          <w:rFonts w:cs="Times New Roman"/>
          <w:spacing w:val="-5"/>
          <w:sz w:val="22"/>
        </w:rPr>
        <w:t>The substation engineering was described to take a total of 255 man-days to conduct.  We find it hard to comprehend that such a simple design would require this much time, even if the numerous branches within PG&amp;E were utilized, as described by your Project Manager.</w:t>
      </w:r>
    </w:p>
    <w:p>
      <w:pPr>
        <w:pStyle w:val="Normal"/>
        <w:numPr>
          <w:ilvl w:val="0"/>
          <w:numId w:val="2"/>
        </w:numPr>
        <w:rPr>
          <w:rStyle w:val="MessageHeaderLabel"/>
          <w:rFonts w:ascii="Times New Roman" w:hAnsi="Times New Roman" w:cs="Times New Roman"/>
          <w:spacing w:val="-5"/>
          <w:sz w:val="22"/>
        </w:rPr>
      </w:pPr>
      <w:r>
        <w:rPr>
          <w:rStyle w:val="MessageHeaderLabel"/>
          <w:rFonts w:cs="Times New Roman"/>
          <w:spacing w:val="-5"/>
          <w:sz w:val="22"/>
        </w:rPr>
        <w:t>Property improvement category was explained to have activities such as road repair and yard repair.  With a Project of this size, any repair of the sort would be none to minimal.  However, this category has a cost of $11,605 before applicable taxes.</w:t>
      </w:r>
    </w:p>
    <w:p>
      <w:pPr>
        <w:pStyle w:val="Normal"/>
        <w:numPr>
          <w:ilvl w:val="0"/>
          <w:numId w:val="2"/>
        </w:numPr>
        <w:rPr>
          <w:rStyle w:val="MessageHeaderLabel"/>
          <w:rFonts w:ascii="Times New Roman" w:hAnsi="Times New Roman" w:cs="Times New Roman"/>
          <w:spacing w:val="-5"/>
          <w:sz w:val="22"/>
        </w:rPr>
      </w:pPr>
      <w:r>
        <w:rPr>
          <w:rStyle w:val="MessageHeaderLabel"/>
          <w:rFonts w:cs="Times New Roman"/>
          <w:spacing w:val="-5"/>
          <w:sz w:val="22"/>
        </w:rPr>
        <w:t>Land and land rights category was described as containing monies to acquire the land rights for overbuilding the existing line.  Since the route is in an existing franchise land system, PG&amp;E has stated that it is their policy to acquire these rights upon installing a transmission level system.  EES and CSUF do not agree with this view and request to see where this is a written policy within PG&amp;E.   This category has $52,569 worth of costs before applicable taxes.</w:t>
      </w:r>
    </w:p>
    <w:p>
      <w:pPr>
        <w:pStyle w:val="Normal"/>
        <w:numPr>
          <w:ilvl w:val="0"/>
          <w:numId w:val="2"/>
        </w:numPr>
        <w:rPr>
          <w:rStyle w:val="MessageHeaderLabel"/>
          <w:rFonts w:ascii="Times New Roman" w:hAnsi="Times New Roman" w:cs="Times New Roman"/>
          <w:spacing w:val="-5"/>
          <w:sz w:val="22"/>
        </w:rPr>
      </w:pPr>
      <w:r>
        <w:rPr>
          <w:rStyle w:val="MessageHeaderLabel"/>
          <w:rFonts w:cs="Times New Roman"/>
          <w:spacing w:val="-5"/>
          <w:sz w:val="22"/>
        </w:rPr>
        <w:t>With the overbuild of the existing 12kV line, we inquired why all the poles were required to be removed and replaced.  We request that PG&amp;E look at replacing every other pole to accommodate the new 115kV circuit.  The spanning requirement for the 115kV would allow this consideration.  This would help reduce the costs within the transmission line construction category.</w:t>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At the end of the meeting, PG&amp;E proposed that for an unknown percentage of the two Engineering categories (transmission line and substation) a more accurate estimate could be provided.  The figure of $25,000 and the three months duration (an approximation provided by PG&amp;E) seem ridiculous to conduct an exercise of refining numbers on such a basic Project.</w:t>
      </w:r>
    </w:p>
    <w:p>
      <w:pPr>
        <w:pStyle w:val="Normal"/>
        <w:rPr>
          <w:rStyle w:val="MessageHeaderLabel"/>
          <w:rFonts w:ascii="Times New Roman" w:hAnsi="Times New Roman" w:cs="Times New Roman"/>
          <w:spacing w:val="-5"/>
          <w:sz w:val="22"/>
        </w:rPr>
      </w:pPr>
      <w:r>
        <w:rPr/>
      </w:r>
    </w:p>
    <w:p>
      <w:pPr>
        <w:pStyle w:val="BodyText3"/>
        <w:rPr/>
      </w:pPr>
      <w:r>
        <w:rPr>
          <w:rStyle w:val="MessageHeaderLabel"/>
          <w:rFonts w:cs="Times New Roman"/>
          <w:spacing w:val="-5"/>
          <w:sz w:val="22"/>
        </w:rPr>
        <w:t>EES and CSUF feel that the conceptual estimating techniques described by PG&amp;E to calculate costs are severely impacting this Project.  I was surprised to hear the level of accuracy behind the development of the costs for the Detailed Study.  It was our understanding that with the money the University paid for a Detailed Study, a more thorough and accurate cost would be provided</w:t>
      </w:r>
    </w:p>
    <w:p>
      <w:pPr>
        <w:pStyle w:val="BodyText3"/>
        <w:rPr>
          <w:rStyle w:val="MessageHeaderLabel"/>
          <w:rFonts w:ascii="Times New Roman" w:hAnsi="Times New Roman" w:cs="Times New Roman"/>
          <w:spacing w:val="-5"/>
          <w:sz w:val="22"/>
        </w:rPr>
      </w:pPr>
      <w:r>
        <w:rPr/>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Should you have any question or comments, please feel free to contact me.</w:t>
      </w:r>
    </w:p>
    <w:p>
      <w:pPr>
        <w:pStyle w:val="BodyText2"/>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Sincerely,</w:t>
      </w:r>
    </w:p>
    <w:p>
      <w:pPr>
        <w:pStyle w:val="Heading2"/>
        <w:ind w:hanging="0" w:start="0"/>
        <w:rPr/>
      </w:pPr>
      <w:r>
        <w:rPr>
          <w:rStyle w:val="MessageHeaderLabel"/>
          <w:rFonts w:cs="Times New Roman"/>
          <w:b/>
          <w:spacing w:val="-5"/>
          <w:sz w:val="22"/>
        </w:rPr>
        <w:t>ENRON ENERGY SERVICES</w:t>
      </w:r>
    </w:p>
    <w:p>
      <w:pPr>
        <w:pStyle w:val="Normal"/>
        <w:rPr>
          <w:rStyle w:val="MessageHeaderLabel"/>
          <w:rFonts w:ascii="Times New Roman" w:hAnsi="Times New Roman" w:cs="Times New Roman"/>
          <w:b/>
          <w:spacing w:val="-5"/>
          <w:sz w:val="22"/>
        </w:rPr>
      </w:pPr>
      <w:r>
        <w:rPr/>
      </w:r>
    </w:p>
    <w:p>
      <w:pPr>
        <w:pStyle w:val="Normal"/>
        <w:rPr>
          <w:rStyle w:val="MessageHeaderLabel"/>
          <w:rFonts w:ascii="Times New Roman" w:hAnsi="Times New Roman" w:cs="Times New Roman"/>
          <w:spacing w:val="-5"/>
          <w:sz w:val="22"/>
        </w:rPr>
      </w:pPr>
      <w:r>
        <w:rPr/>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Robert M. Cone</w:t>
      </w:r>
    </w:p>
    <w:p>
      <w:pPr>
        <w:pStyle w:val="Normal"/>
        <w:rPr/>
      </w:pPr>
      <w:r>
        <w:rPr>
          <w:rStyle w:val="MessageHeaderLabel"/>
          <w:rFonts w:cs="Times New Roman"/>
          <w:spacing w:val="-5"/>
          <w:sz w:val="22"/>
        </w:rPr>
        <w:t>Lead Project Manager</w:t>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cc:</w:t>
        <w:tab/>
        <w:t>Dick Smith, CSUF</w:t>
      </w:r>
    </w:p>
    <w:p>
      <w:pPr>
        <w:pStyle w:val="Normal"/>
        <w:rPr/>
      </w:pPr>
      <w:r>
        <w:rPr>
          <w:rStyle w:val="MessageHeaderLabel"/>
          <w:rFonts w:cs="Times New Roman"/>
          <w:spacing w:val="-5"/>
          <w:sz w:val="22"/>
        </w:rPr>
        <w:tab/>
        <w:t>Dirk van Ulden, EES</w:t>
      </w:r>
    </w:p>
    <w:p>
      <w:pPr>
        <w:pStyle w:val="Normal"/>
        <w:rPr/>
      </w:pPr>
      <w:r>
        <w:rPr>
          <w:rStyle w:val="MessageHeaderLabel"/>
          <w:rFonts w:cs="Times New Roman"/>
          <w:spacing w:val="-5"/>
          <w:sz w:val="22"/>
        </w:rPr>
        <w:tab/>
        <w:t>Richard Crevelt, EES</w:t>
      </w:r>
    </w:p>
    <w:p>
      <w:pPr>
        <w:pStyle w:val="Normal"/>
        <w:rPr/>
      </w:pPr>
      <w:r>
        <w:rPr>
          <w:rStyle w:val="MessageHeaderLabel"/>
          <w:rFonts w:cs="Times New Roman"/>
          <w:spacing w:val="-5"/>
          <w:sz w:val="22"/>
        </w:rPr>
        <w:tab/>
        <w:t>Jeff Dasovich, Enron</w:t>
      </w:r>
    </w:p>
    <w:p>
      <w:pPr>
        <w:pStyle w:val="Normal"/>
        <w:rPr/>
      </w:pPr>
      <w:r>
        <w:rPr>
          <w:rStyle w:val="MessageHeaderLabel"/>
          <w:rFonts w:cs="Times New Roman"/>
          <w:spacing w:val="-5"/>
          <w:sz w:val="22"/>
        </w:rPr>
        <w:tab/>
        <w:t>Andy Wu, EES</w:t>
      </w:r>
    </w:p>
    <w:p>
      <w:pPr>
        <w:pStyle w:val="Normal"/>
        <w:rPr/>
      </w:pPr>
      <w:r>
        <w:rPr>
          <w:rStyle w:val="MessageHeaderLabel"/>
          <w:rFonts w:cs="Times New Roman"/>
          <w:spacing w:val="-5"/>
          <w:sz w:val="22"/>
        </w:rPr>
        <w:tab/>
        <w:t>Bob Kinert, PG&amp;E</w:t>
      </w:r>
    </w:p>
    <w:sectPr>
      <w:footerReference w:type="default" r:id="rId2"/>
      <w:footerReference w:type="first" r:id="rId3"/>
      <w:type w:val="nextPage"/>
      <w:pgSz w:w="12240" w:h="15840"/>
      <w:pgMar w:left="1440" w:right="1440" w:gutter="0" w:header="0" w:top="3024" w:footer="158" w:bottom="11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Bodoni Bk BT">
    <w:altName w:val="Times New Roman"/>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snapToGrid w:val="false"/>
            <w:jc w:val="center"/>
            <w:rPr>
              <w:rFonts w:ascii="Bodoni Bk BT;Times New Roman" w:hAnsi="Bodoni Bk BT;Times New Roman" w:cs="Bodoni Bk BT;Times New Roman"/>
              <w:sz w:val="18"/>
            </w:rPr>
          </w:pPr>
          <w:r>
            <w:rPr>
              <w:rFonts w:cs="Bodoni Bk BT;Times New Roman" w:ascii="Bodoni Bk BT;Times New Roman" w:hAnsi="Bodoni Bk BT;Times New Roman"/>
              <w:sz w:val="18"/>
            </w:rPr>
          </w:r>
        </w:p>
      </w:tc>
    </w:tr>
    <w:tr>
      <w:trPr/>
      <w:tc>
        <w:tcPr>
          <w:tcW w:w="946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cPr>
        <w:p>
          <w:pPr>
            <w:pStyle w:val="Normal"/>
            <w:snapToGrid w:val="false"/>
            <w:jc w:val="center"/>
            <w:rPr>
              <w:rFonts w:ascii="Bodoni Bk BT;Times New Roman" w:hAnsi="Bodoni Bk BT;Times New Roman" w:cs="Bodoni Bk BT;Times New Roman"/>
              <w:sz w:val="18"/>
            </w:rPr>
          </w:pPr>
          <w:r>
            <w:rPr>
              <w:rFonts w:cs="Bodoni Bk BT;Times New Roman" w:ascii="Bodoni Bk BT;Times New Roman" w:hAnsi="Bodoni Bk BT;Times New Roman"/>
              <w:sz w:val="18"/>
            </w:rPr>
          </w:r>
          <w:bookmarkStart w:id="1" w:name="bmTable"/>
          <w:bookmarkStart w:id="2" w:name="bmTable"/>
          <w:bookmarkEnd w:id="2"/>
        </w:p>
      </w:tc>
    </w:tr>
    <w:tr>
      <w:trPr/>
      <w:tc>
        <w:tcPr>
          <w:tcW w:w="955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Normal"/>
    <w:qFormat/>
    <w:pPr>
      <w:keepNext w:val="true"/>
      <w:numPr>
        <w:ilvl w:val="1"/>
        <w:numId w:val="1"/>
      </w:numPr>
      <w:spacing w:before="120" w:after="0"/>
      <w:outlineLvl w:val="1"/>
    </w:pPr>
    <w:rPr>
      <w:spacing w:val="-5"/>
      <w:sz w:val="24"/>
    </w:rPr>
  </w:style>
  <w:style w:type="paragraph" w:styleId="Heading3">
    <w:name w:val="heading 3"/>
    <w:basedOn w:val="Normal"/>
    <w:next w:val="Normal"/>
    <w:qFormat/>
    <w:pPr>
      <w:keepNext w:val="true"/>
      <w:numPr>
        <w:ilvl w:val="2"/>
        <w:numId w:val="1"/>
      </w:numPr>
      <w:outlineLvl w:val="2"/>
    </w:pPr>
    <w:rPr>
      <w:b/>
      <w:spacing w:val="-5"/>
      <w:sz w:val="24"/>
      <w:lang w:val="en-CA"/>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Lead-inEmphasis">
    <w:name w:val="Lead-in Emphasis"/>
    <w:qFormat/>
    <w:rPr>
      <w:rFonts w:ascii="Arial Black" w:hAnsi="Arial Black" w:cs="Arial Black"/>
      <w:sz w:val="18"/>
    </w:rPr>
  </w:style>
  <w:style w:type="character" w:styleId="PageNumber">
    <w:name w:val="page number"/>
    <w:rPr>
      <w:sz w:val="18"/>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DocumentLabel">
    <w:name w:val="Document Label"/>
    <w:basedOn w:val="Normal"/>
    <w:next w:val="MessageHeaderFirst"/>
    <w:qFormat/>
    <w:pPr>
      <w:keepNext w:val="true"/>
      <w:keepLines/>
      <w:spacing w:lineRule="atLeast" w:line="240" w:before="400" w:after="120"/>
      <w:ind w:hanging="0" w:start="-840" w:end="0"/>
    </w:pPr>
    <w:rPr>
      <w:rFonts w:ascii="Arial Black" w:hAnsi="Arial Black" w:cs="Arial Black"/>
      <w:kern w:val="2"/>
      <w:sz w:val="108"/>
    </w:rPr>
  </w:style>
  <w:style w:type="paragraph" w:styleId="MessageHeaderFirst">
    <w:name w:val="Message Header First"/>
    <w:basedOn w:val="MessageHeader"/>
    <w:next w:val="MessageHeader"/>
    <w:qFormat/>
    <w:pPr>
      <w:spacing w:before="2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180" w:before="600" w:after="0"/>
      <w:jc w:val="both"/>
    </w:pPr>
    <w:rPr>
      <w:rFonts w:ascii="Arial" w:hAnsi="Arial" w:cs="Arial"/>
      <w:spacing w:val="-5"/>
      <w:sz w:val="18"/>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TOC1">
    <w:name w:val="toc 1"/>
    <w:basedOn w:val="Normal"/>
    <w:next w:val="Normal"/>
    <w:pPr>
      <w:tabs>
        <w:tab w:val="clear" w:pos="720"/>
        <w:tab w:val="right" w:pos="8640" w:leader="dot"/>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pacing w:val="-5"/>
      <w:sz w:val="24"/>
    </w:rPr>
  </w:style>
  <w:style w:type="paragraph" w:styleId="BodyText3">
    <w:name w:val="Body Text 3"/>
    <w:basedOn w:val="Normal"/>
    <w:qFormat/>
    <w:pPr/>
    <w:rPr>
      <w:spacing w:val="-5"/>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EnronLetFormal.wiz</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2000-03-30T22:24:00Z</dcterms:created>
  <dc:creator>User</dc:creator>
  <dc:description/>
  <dc:language>en-CA</dc:language>
  <cp:lastModifiedBy>rob cone</cp:lastModifiedBy>
  <cp:lastPrinted>2000-03-30T15:43:00Z</cp:lastPrinted>
  <dcterms:modified xsi:type="dcterms:W3CDTF">2000-03-30T22:24:00Z</dcterms:modified>
  <cp:revision>2</cp:revision>
  <dc:subject/>
  <dc:title>Bentley Letter</dc:title>
</cp:coreProperties>
</file>