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standard"/>
              <w:spacing w:lineRule="exact" w:line="240" w:before="120" w:after="0"/>
              <w:ind w:hanging="0" w:end="0"/>
              <w:rPr>
                <w:rFonts w:ascii="Times New Roman" w:hAnsi="Times New Roman" w:cs="Times New Roman"/>
                <w:sz w:val="24"/>
              </w:rPr>
            </w:pPr>
            <w:r>
              <w:rPr>
                <w:rFonts w:cs="Times New Roman" w:ascii="Times New Roman" w:hAnsi="Times New Roman"/>
                <w:sz w:val="24"/>
              </w:rPr>
              <w:t>Application of PG&amp;E for Verification, etc.</w:t>
            </w:r>
          </w:p>
        </w:tc>
        <w:tc>
          <w:tcPr>
            <w:tcW w:w="3600" w:type="dxa"/>
            <w:tcBorders/>
          </w:tcPr>
          <w:p>
            <w:pPr>
              <w:pStyle w:val="standard"/>
              <w:spacing w:lineRule="exact" w:line="240" w:before="120" w:after="120"/>
              <w:ind w:hanging="0" w:end="0"/>
              <w:rPr>
                <w:rFonts w:ascii="Times New Roman" w:hAnsi="Times New Roman" w:cs="Times New Roman"/>
                <w:sz w:val="24"/>
              </w:rPr>
            </w:pPr>
            <w:r>
              <w:rPr>
                <w:rFonts w:cs="Times New Roman" w:ascii="Times New Roman" w:hAnsi="Times New Roman"/>
                <w:sz w:val="24"/>
              </w:rPr>
              <w:t>A.98-07-003</w:t>
            </w:r>
          </w:p>
          <w:p>
            <w:pPr>
              <w:pStyle w:val="standard"/>
              <w:spacing w:lineRule="exact" w:line="240" w:before="0" w:after="120"/>
              <w:ind w:hanging="0" w:end="0"/>
              <w:rPr>
                <w:rFonts w:ascii="Times New Roman" w:hAnsi="Times New Roman" w:cs="Times New Roman"/>
                <w:sz w:val="24"/>
              </w:rPr>
            </w:pPr>
            <w:r>
              <w:rPr>
                <w:rFonts w:cs="Times New Roman" w:ascii="Times New Roman" w:hAnsi="Times New Roman"/>
                <w:sz w:val="24"/>
              </w:rPr>
              <w:t>(Implementation of Suspension of Direct Access)</w:t>
            </w:r>
          </w:p>
        </w:tc>
      </w:tr>
    </w:tbl>
    <w:p>
      <w:pPr>
        <w:pStyle w:val="Normal"/>
        <w:suppressAutoHyphens w:val="true"/>
        <w:rPr/>
      </w:pPr>
      <w:r>
        <w:rPr/>
      </w:r>
    </w:p>
    <w:p>
      <w:pPr>
        <w:pStyle w:val="Heading"/>
        <w:rPr/>
      </w:pPr>
      <w:r>
        <w:rPr/>
      </w:r>
    </w:p>
    <w:p>
      <w:pPr>
        <w:pStyle w:val="Heading"/>
        <w:rPr/>
      </w:pPr>
      <w:r>
        <w:rPr/>
      </w:r>
    </w:p>
    <w:p>
      <w:pPr>
        <w:pStyle w:val="Normal"/>
        <w:jc w:val="center"/>
        <w:rPr>
          <w:b/>
        </w:rPr>
      </w:pPr>
      <w:r>
        <w:rPr>
          <w:b/>
        </w:rPr>
        <w:t>JOINT PROPOSAL OF THE UTILITIES TO IMPLEMENT THE COMMISSION’S SUSPENSION OF DIRECT ACCESS</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ind w:firstLine="720" w:start="4320" w:end="0"/>
        <w:rPr/>
      </w:pPr>
      <w:r>
        <w:rPr/>
        <w:t>Paul A. Szymanski</w:t>
      </w:r>
    </w:p>
    <w:p>
      <w:pPr>
        <w:pStyle w:val="Normal"/>
        <w:rPr/>
      </w:pPr>
      <w:r>
        <w:rPr/>
        <w:tab/>
        <w:tab/>
        <w:tab/>
        <w:tab/>
        <w:tab/>
        <w:tab/>
        <w:tab/>
        <w:t>Attorney for:</w:t>
      </w:r>
    </w:p>
    <w:p>
      <w:pPr>
        <w:pStyle w:val="Normal"/>
        <w:rPr/>
      </w:pPr>
      <w:r>
        <w:rPr/>
        <w:tab/>
        <w:tab/>
        <w:tab/>
        <w:tab/>
        <w:tab/>
        <w:tab/>
        <w:tab/>
        <w:t>San Diego Gas &amp; Electric Company</w:t>
      </w:r>
    </w:p>
    <w:p>
      <w:pPr>
        <w:pStyle w:val="Normal"/>
        <w:rPr/>
      </w:pPr>
      <w:r>
        <w:rPr/>
        <w:tab/>
        <w:tab/>
        <w:tab/>
        <w:tab/>
        <w:tab/>
        <w:tab/>
        <w:tab/>
        <w:t>101 Ash Street</w:t>
      </w:r>
    </w:p>
    <w:p>
      <w:pPr>
        <w:pStyle w:val="Normal"/>
        <w:rPr/>
      </w:pPr>
      <w:r>
        <w:rPr/>
        <w:tab/>
        <w:tab/>
        <w:tab/>
        <w:tab/>
        <w:tab/>
        <w:tab/>
        <w:tab/>
        <w:t>San Diego, CA  92112</w:t>
      </w:r>
    </w:p>
    <w:p>
      <w:pPr>
        <w:pStyle w:val="Normal"/>
        <w:rPr/>
      </w:pPr>
      <w:r>
        <w:rPr/>
        <w:tab/>
        <w:tab/>
        <w:tab/>
        <w:tab/>
        <w:tab/>
        <w:tab/>
        <w:tab/>
        <w:t>Phone:  (619) 699-5078</w:t>
      </w:r>
    </w:p>
    <w:p>
      <w:pPr>
        <w:pStyle w:val="Normal"/>
        <w:rPr/>
      </w:pPr>
      <w:r>
        <w:rPr/>
        <w:tab/>
        <w:tab/>
        <w:tab/>
        <w:tab/>
        <w:tab/>
        <w:tab/>
        <w:tab/>
        <w:t>Fax:  (619) 699-5027</w:t>
      </w:r>
    </w:p>
    <w:p>
      <w:pPr>
        <w:pStyle w:val="Normal"/>
        <w:rPr/>
      </w:pPr>
      <w:r>
        <w:rPr/>
        <w:tab/>
        <w:tab/>
        <w:tab/>
        <w:tab/>
        <w:tab/>
        <w:tab/>
        <w:tab/>
        <w:t>E-mail: pszymanski@sempra.com</w:t>
      </w:r>
    </w:p>
    <w:p>
      <w:pPr>
        <w:pStyle w:val="Normal"/>
        <w:rPr/>
      </w:pPr>
      <w:r>
        <w:rPr/>
      </w:r>
    </w:p>
    <w:p>
      <w:pPr>
        <w:pStyle w:val="Normal"/>
        <w:rPr/>
      </w:pPr>
      <w:r>
        <w:rPr/>
      </w:r>
    </w:p>
    <w:p>
      <w:pPr>
        <w:pStyle w:val="Normal"/>
        <w:rPr/>
      </w:pPr>
      <w:r>
        <w:rPr/>
      </w:r>
    </w:p>
    <w:p>
      <w:pPr>
        <w:pStyle w:val="Normal"/>
        <w:rPr/>
      </w:pPr>
      <w:r>
        <w:rPr/>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Heading"/>
        <w:jc w:val="start"/>
        <w:rPr>
          <w:b w:val="false"/>
        </w:rPr>
      </w:pPr>
      <w:r>
        <w:rPr>
          <w:b w:val="false"/>
        </w:rPr>
        <w:t>November 16, 2001</w:t>
      </w:r>
    </w:p>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standard"/>
              <w:spacing w:lineRule="exact" w:line="240" w:before="120" w:after="0"/>
              <w:ind w:hanging="0" w:end="0"/>
              <w:rPr>
                <w:rFonts w:ascii="Times New Roman" w:hAnsi="Times New Roman" w:cs="Times New Roman"/>
                <w:sz w:val="24"/>
              </w:rPr>
            </w:pPr>
            <w:r>
              <w:rPr>
                <w:rFonts w:cs="Times New Roman" w:ascii="Times New Roman" w:hAnsi="Times New Roman"/>
                <w:sz w:val="24"/>
              </w:rPr>
              <w:t>Application of PG&amp;E for Verification, etc.</w:t>
            </w:r>
          </w:p>
        </w:tc>
        <w:tc>
          <w:tcPr>
            <w:tcW w:w="3600" w:type="dxa"/>
            <w:tcBorders/>
          </w:tcPr>
          <w:p>
            <w:pPr>
              <w:pStyle w:val="standard"/>
              <w:spacing w:lineRule="exact" w:line="240" w:before="120" w:after="120"/>
              <w:ind w:hanging="0" w:end="0"/>
              <w:rPr>
                <w:rFonts w:ascii="Times New Roman" w:hAnsi="Times New Roman" w:cs="Times New Roman"/>
                <w:sz w:val="24"/>
              </w:rPr>
            </w:pPr>
            <w:r>
              <w:rPr>
                <w:rFonts w:cs="Times New Roman" w:ascii="Times New Roman" w:hAnsi="Times New Roman"/>
                <w:sz w:val="24"/>
              </w:rPr>
              <w:t>A.98-07-003</w:t>
            </w:r>
          </w:p>
          <w:p>
            <w:pPr>
              <w:pStyle w:val="standard"/>
              <w:spacing w:lineRule="exact" w:line="240" w:before="0" w:after="120"/>
              <w:ind w:hanging="0" w:end="0"/>
              <w:rPr>
                <w:rFonts w:ascii="Times New Roman" w:hAnsi="Times New Roman" w:cs="Times New Roman"/>
                <w:sz w:val="24"/>
              </w:rPr>
            </w:pPr>
            <w:r>
              <w:rPr>
                <w:rFonts w:cs="Times New Roman" w:ascii="Times New Roman" w:hAnsi="Times New Roman"/>
                <w:sz w:val="24"/>
              </w:rPr>
              <w:t>(Implementation of Suspension of Direct Access)</w:t>
            </w:r>
          </w:p>
        </w:tc>
      </w:tr>
    </w:tbl>
    <w:p>
      <w:pPr>
        <w:pStyle w:val="Heading"/>
        <w:rPr/>
      </w:pPr>
      <w:r>
        <w:rPr/>
      </w:r>
    </w:p>
    <w:p>
      <w:pPr>
        <w:pStyle w:val="Heading"/>
        <w:rPr/>
      </w:pPr>
      <w:r>
        <w:rPr/>
      </w:r>
    </w:p>
    <w:p>
      <w:pPr>
        <w:pStyle w:val="Heading"/>
        <w:rPr/>
      </w:pPr>
      <w:r>
        <w:rPr/>
      </w:r>
    </w:p>
    <w:p>
      <w:pPr>
        <w:pStyle w:val="Heading"/>
        <w:rPr/>
      </w:pPr>
      <w:r>
        <w:rPr/>
        <w:t>JOINT PROPOSAL OF THE UTILITIES TO IMPLEMENT THE COMMISSION’S SUSPENSION OF DIRECT ACCESS</w:t>
      </w:r>
    </w:p>
    <w:p>
      <w:pPr>
        <w:pStyle w:val="Heading"/>
        <w:rPr/>
      </w:pPr>
      <w:r>
        <w:rPr/>
      </w:r>
    </w:p>
    <w:p>
      <w:pPr>
        <w:pStyle w:val="Heading"/>
        <w:rPr/>
      </w:pPr>
      <w:r>
        <w:rPr/>
      </w:r>
    </w:p>
    <w:p>
      <w:pPr>
        <w:pStyle w:val="Normal"/>
        <w:rPr>
          <w:b/>
        </w:rPr>
      </w:pPr>
      <w:r>
        <w:rPr>
          <w:b/>
        </w:rPr>
        <w:t>I.</w:t>
        <w:tab/>
        <w:t>INTRODUCTION</w:t>
      </w:r>
    </w:p>
    <w:p>
      <w:pPr>
        <w:pStyle w:val="Normal"/>
        <w:rPr>
          <w:b/>
        </w:rPr>
      </w:pPr>
      <w:r>
        <w:rPr>
          <w:b/>
        </w:rPr>
      </w:r>
    </w:p>
    <w:p>
      <w:pPr>
        <w:pStyle w:val="Normal"/>
        <w:ind w:firstLine="720" w:end="0"/>
        <w:rPr/>
      </w:pPr>
      <w:r>
        <w:rPr/>
        <w:t>Pursuant to the direction of the Assigned Administrative Law Judge (“ALJ”) at the November 7, 2001, Prehearing Conference in A.98-07-003, Pacific Gas &amp; Electric Company (“PG&amp;E”), San Diego Gas &amp; Electric Company (“SDG&amp;E”) and Southern California Edison (“SCE”) (collectively, the “UDCs”) hereby submit this Joint Proposal for implementation of D.01-09-060 and D. 01-10-036, which decisions suspended Direct Access effective September 20, 2001.</w:t>
      </w:r>
      <w:r>
        <w:rPr>
          <w:rStyle w:val="FootnoteCharacters"/>
          <w:rStyle w:val="FootnoteReference"/>
          <w:color w:val="008000"/>
        </w:rPr>
        <w:footnoteReference w:id="2"/>
      </w:r>
    </w:p>
    <w:p>
      <w:pPr>
        <w:pStyle w:val="Normal"/>
        <w:rPr/>
      </w:pPr>
      <w:r>
        <w:rPr/>
      </w:r>
    </w:p>
    <w:p>
      <w:pPr>
        <w:pStyle w:val="Normal"/>
        <w:ind w:firstLine="720" w:end="0"/>
        <w:rPr/>
      </w:pPr>
      <w:r>
        <w:rPr/>
        <w:t>The UDCs greatly appreciate the Commission’s interest, conveyed by ALJ Barnett at the Prehearing Conference noted above, in providing the UDCs with “prompt guidance” in implementing the suspension of Direct Access.  To that end, the UDCs have developed a number of Direct Access Service Request (DASR) acceptance rules and procedures that are intended to implement the intention of D. 01-09-060.  At a minimum, the Commission must adopt these rules, which appear in Section III.A., below, regardless of how the Commission acts on the UDC’s three additional implementation options in Section III.B., below.  The UDCs have designed these three options for further implementing the suspension of Direct Access to comply with the requirement in D.01-10-036 that the utilities “take appropriate measures to ensure that any DASRs they do accept are for contracts executed or agreements entered into on or before September 20, 2001”.  These options are explained in detail in Section III.B., below.  By way of summary, these options are as follows:</w:t>
      </w:r>
      <w:r>
        <w:br w:type="page"/>
      </w:r>
    </w:p>
    <w:p>
      <w:pPr>
        <w:pStyle w:val="Normal"/>
        <w:ind w:firstLine="720" w:end="0"/>
        <w:rPr/>
      </w:pPr>
      <w:r>
        <w:rPr/>
      </w:r>
    </w:p>
    <w:p>
      <w:pPr>
        <w:pStyle w:val="Normal"/>
        <w:rPr/>
      </w:pPr>
      <w:r>
        <w:rPr/>
      </w:r>
    </w:p>
    <w:p>
      <w:pPr>
        <w:pStyle w:val="Normal"/>
        <w:ind w:start="720" w:end="0"/>
        <w:rPr/>
      </w:pPr>
      <w:r>
        <w:rPr>
          <w:b/>
        </w:rPr>
        <w:t>Option 1</w:t>
      </w:r>
      <w:r>
        <w:rPr/>
        <w:t xml:space="preserve">:  </w:t>
      </w:r>
      <w:r>
        <w:rPr>
          <w:u w:val="single"/>
        </w:rPr>
        <w:t>DASR Cut-off Date</w:t>
      </w:r>
      <w:r>
        <w:rPr/>
        <w:t>:  A complete and valid DASR submitted on behalf of a customer must be received and accepted by the UDC by a specified date (the “DASR Cut-off Date”).</w:t>
      </w:r>
      <w:r>
        <w:rPr>
          <w:rStyle w:val="FootnoteCharacters"/>
          <w:rStyle w:val="FootnoteReference"/>
        </w:rPr>
        <w:footnoteReference w:id="3"/>
      </w:r>
      <w:r>
        <w:rPr/>
        <w:t xml:space="preserve">  The DASR Cut-off Date shall be the date on which the Commission issues a decision adopting this UDC proposal for a DASR Cut-Off Date.  The UDCs would process only those DASRs for customers whose names appear on the customer lists that Energy Service Providers (ESPs) were required to submit to the applicable UDCs by October 5, 2001.  This option is explained in greater detail in Section III.B.1, below.</w:t>
      </w:r>
    </w:p>
    <w:p>
      <w:pPr>
        <w:pStyle w:val="Normal"/>
        <w:rPr/>
      </w:pPr>
      <w:r>
        <w:rPr/>
      </w:r>
    </w:p>
    <w:p>
      <w:pPr>
        <w:pStyle w:val="Normal"/>
        <w:ind w:start="720" w:end="0"/>
        <w:rPr/>
      </w:pPr>
      <w:r>
        <w:rPr>
          <w:b/>
        </w:rPr>
        <w:t xml:space="preserve">Option 2:  </w:t>
      </w:r>
      <w:r>
        <w:rPr>
          <w:u w:val="single"/>
        </w:rPr>
        <w:t>DASR Cut-off Date with an Exemption Process</w:t>
      </w:r>
      <w:r>
        <w:rPr/>
        <w:t>:  This proposal is similar to Option 1 but if the Commission wishes to allow exemptions to the DASR Cut-off date, it can adopt a rule that any ESP wishing to have a DASR processed after the DASR Cut-off Date must submit their account-specific DASR information and ESP/Customer Contract to the Commission along with an explanation of why their customer is eligible to receive Direct Access service beyond the DASR Cut-off Date.  The UDCs will process a DASR after the DASR Cut-off Date only if they receive direction from the Commission to process the specific DASR.  (In the alternative, if the Commission does not wish to review ESP/Customer Contracts, the Commission should adopt an absolute DASR Cut-off Date, reflected in Option 1, and not allow any DASR processing beyond that DASR Cut-off Date.)  Option 2 is explained in greater detail in Section III.B.2, below.</w:t>
      </w:r>
    </w:p>
    <w:p>
      <w:pPr>
        <w:pStyle w:val="Normal"/>
        <w:ind w:hanging="720" w:start="720" w:end="0"/>
        <w:rPr/>
      </w:pPr>
      <w:r>
        <w:rPr/>
      </w:r>
    </w:p>
    <w:p>
      <w:pPr>
        <w:pStyle w:val="Normal"/>
        <w:ind w:start="720" w:end="0"/>
        <w:rPr/>
      </w:pPr>
      <w:r>
        <w:rPr>
          <w:b/>
        </w:rPr>
        <w:t xml:space="preserve">Option 3:  </w:t>
      </w:r>
      <w:r>
        <w:rPr>
          <w:u w:val="single"/>
        </w:rPr>
        <w:t>Certified Affidavit Verification Process</w:t>
      </w:r>
      <w:r>
        <w:rPr/>
        <w:t>:  The UDCs have developed an affidavit process by which UDCs would try to ensure that no DASRs are accepted for any contracts between ESPs and their customers entered into after September 20, 2001.  This process would endeavor to validate DASR requests through the use of a certified affidavit which would be prepared and certified by the ESP and attested to by an Independent Certified Public Accountant.  Option 3 is explained in greater detail in Section III.B.3, below.</w:t>
      </w:r>
    </w:p>
    <w:p>
      <w:pPr>
        <w:pStyle w:val="Normal"/>
        <w:rPr/>
      </w:pPr>
      <w:r>
        <w:rPr/>
      </w:r>
    </w:p>
    <w:p>
      <w:pPr>
        <w:pStyle w:val="Normal"/>
        <w:rPr>
          <w:b/>
        </w:rPr>
      </w:pPr>
      <w:r>
        <w:rPr>
          <w:b/>
        </w:rPr>
        <w:t>II.</w:t>
        <w:tab/>
        <w:t>BACKGROUND</w:t>
      </w:r>
    </w:p>
    <w:p>
      <w:pPr>
        <w:pStyle w:val="Normal"/>
        <w:rPr>
          <w:b/>
        </w:rPr>
      </w:pPr>
      <w:r>
        <w:rPr>
          <w:b/>
        </w:rPr>
      </w:r>
    </w:p>
    <w:p>
      <w:pPr>
        <w:pStyle w:val="Normal"/>
        <w:ind w:firstLine="720" w:end="0"/>
        <w:rPr/>
      </w:pPr>
      <w:r>
        <w:rPr/>
        <w:t>On September 20, 2001, the Commission issued D.01-09-060 suspending Direct Access effective September 20, 2001.  D.01-09-060 ordered the UDCs to inform the Director of the Energy Division of the steps they had taken to ensure that no DASRs are accepted for any Direct Access contracts executed or agreements entered into after September 20, 2001.</w:t>
      </w:r>
      <w:r>
        <w:rPr>
          <w:rStyle w:val="FootnoteCharacters"/>
          <w:rStyle w:val="FootnoteReference"/>
        </w:rPr>
        <w:footnoteReference w:id="4"/>
      </w:r>
      <w:r>
        <w:rPr/>
        <w:t xml:space="preserve">   </w:t>
      </w:r>
    </w:p>
    <w:p>
      <w:pPr>
        <w:pStyle w:val="Normal"/>
        <w:rPr/>
      </w:pPr>
      <w:r>
        <w:rPr/>
      </w:r>
    </w:p>
    <w:p>
      <w:pPr>
        <w:pStyle w:val="Normal"/>
        <w:ind w:firstLine="720" w:end="0"/>
        <w:rPr/>
      </w:pPr>
      <w:r>
        <w:rPr/>
        <w:t>On October 12, 2001, PG&amp;E and SDG&amp;E filed identical Advice Letters with the Energy Division outlining the steps they had taken to suspend Direct Access.</w:t>
      </w:r>
      <w:r>
        <w:rPr>
          <w:rStyle w:val="FootnoteCharacters"/>
          <w:rStyle w:val="FootnoteReference"/>
        </w:rPr>
        <w:footnoteReference w:id="5"/>
      </w:r>
      <w:r>
        <w:rPr/>
        <w:t xml:space="preserve">  SCE sent a letter to the Director of the Energy Division on October 4, 2001, outlining the steps that it had taken to suspend Direct Access.  All three UDCs proposed a DASR Cut-off Date in their initial implementation plans.  Following the direction given by the Commission, all three UDCs also required ESPs to submit certified lists of their customers who had contracts or agreements executed on or before September 20, 2001, but for whom DASRs had not yet been submitted.</w:t>
      </w:r>
      <w:r>
        <w:rPr>
          <w:rStyle w:val="FootnoteCharacters"/>
          <w:rStyle w:val="FootnoteReference"/>
        </w:rPr>
        <w:footnoteReference w:id="6"/>
      </w:r>
    </w:p>
    <w:p>
      <w:pPr>
        <w:pStyle w:val="Normal"/>
        <w:rPr/>
      </w:pPr>
      <w:r>
        <w:rPr/>
      </w:r>
    </w:p>
    <w:p>
      <w:pPr>
        <w:pStyle w:val="Normal"/>
        <w:ind w:firstLine="720" w:end="0"/>
        <w:rPr/>
      </w:pPr>
      <w:r>
        <w:rPr/>
        <w:t>On October 10, 2001, the Commission issued D.01-10-036 clarifying that “unless otherwise directed or allowed in a subsequent Commission decision,” the UDCs cannot set a deadline for submission of DASRs.</w:t>
      </w:r>
      <w:r>
        <w:rPr>
          <w:rStyle w:val="FootnoteCharacters"/>
          <w:rStyle w:val="FootnoteReference"/>
        </w:rPr>
        <w:footnoteReference w:id="7"/>
      </w:r>
      <w:r>
        <w:rPr/>
        <w:t xml:space="preserve">   </w:t>
      </w:r>
    </w:p>
    <w:p>
      <w:pPr>
        <w:pStyle w:val="Normal"/>
        <w:rPr/>
      </w:pPr>
      <w:r>
        <w:rPr/>
      </w:r>
    </w:p>
    <w:p>
      <w:pPr>
        <w:pStyle w:val="Normal"/>
        <w:ind w:firstLine="720" w:end="0"/>
        <w:rPr/>
      </w:pPr>
      <w:r>
        <w:rPr/>
        <w:t xml:space="preserve">On November 7, 2001, the Assigned ALJ held a Prehearing Conference in </w:t>
      </w:r>
    </w:p>
    <w:p>
      <w:pPr>
        <w:pStyle w:val="Normal"/>
        <w:rPr/>
      </w:pPr>
      <w:r>
        <w:rPr/>
        <w:t xml:space="preserve">A.98-07-003, and addressed, among other things, issues relating to the implementation of suspension of Direct Access.  The Assigned ALJ ordered the UDCs to file by </w:t>
      </w:r>
    </w:p>
    <w:p>
      <w:pPr>
        <w:pStyle w:val="Normal"/>
        <w:rPr/>
      </w:pPr>
      <w:r>
        <w:rPr/>
        <w:t>November 16, 2001, a Joint Proposal on the steps to implement the suspension of Direct Access assuming that a September 20, 2001 suspension date was ultimately maintained by the Commission.</w:t>
      </w:r>
      <w:r>
        <w:rPr>
          <w:rStyle w:val="FootnoteCharacters"/>
          <w:rStyle w:val="FootnoteReference"/>
        </w:rPr>
        <w:footnoteReference w:id="8"/>
      </w:r>
      <w:r>
        <w:rPr/>
        <w:t xml:space="preserve"> </w:t>
      </w:r>
    </w:p>
    <w:p>
      <w:pPr>
        <w:pStyle w:val="Normal"/>
        <w:rPr/>
      </w:pPr>
      <w:r>
        <w:rPr/>
      </w:r>
    </w:p>
    <w:p>
      <w:pPr>
        <w:pStyle w:val="Normal"/>
        <w:numPr>
          <w:ilvl w:val="0"/>
          <w:numId w:val="2"/>
        </w:numPr>
        <w:rPr>
          <w:b/>
        </w:rPr>
      </w:pPr>
      <w:r>
        <w:rPr>
          <w:b/>
        </w:rPr>
        <w:t>DISCUSSION</w:t>
      </w:r>
    </w:p>
    <w:p>
      <w:pPr>
        <w:pStyle w:val="Normal"/>
        <w:rPr>
          <w:b/>
        </w:rPr>
      </w:pPr>
      <w:r>
        <w:rPr>
          <w:b/>
        </w:rPr>
      </w:r>
    </w:p>
    <w:p>
      <w:pPr>
        <w:pStyle w:val="Normal"/>
        <w:ind w:firstLine="720" w:end="0"/>
        <w:rPr/>
      </w:pPr>
      <w:r>
        <w:rPr/>
        <w:t xml:space="preserve">This section presents, in Section III.A., the procedures that the Commission should adopt regardless of which of the three options the Commission chooses to implement the suspension of Direct Access.  Additionally, in Section III.B., the UDCs propose three options for further implementing the suspension of Direct Access. </w:t>
      </w:r>
    </w:p>
    <w:p>
      <w:pPr>
        <w:pStyle w:val="Normal"/>
        <w:rPr>
          <w:b/>
        </w:rPr>
      </w:pPr>
      <w:r>
        <w:rPr>
          <w:b/>
        </w:rPr>
      </w:r>
    </w:p>
    <w:p>
      <w:pPr>
        <w:pStyle w:val="Normal"/>
        <w:ind w:hanging="720" w:start="720" w:end="0"/>
        <w:rPr/>
      </w:pPr>
      <w:r>
        <w:rPr/>
        <w:t>A.</w:t>
        <w:tab/>
      </w:r>
      <w:r>
        <w:rPr>
          <w:u w:val="single"/>
        </w:rPr>
        <w:t>Regardless of the Commission’s Decision on the Three Proposed Options, the Commission Needs to Approve Rules and Procedures Previously Proposed by the UDCs</w:t>
      </w:r>
      <w:r>
        <w:rPr/>
        <w:t>.</w:t>
      </w:r>
    </w:p>
    <w:p>
      <w:pPr>
        <w:pStyle w:val="Normal"/>
        <w:ind w:hanging="720" w:start="720" w:end="0"/>
        <w:rPr>
          <w:u w:val="single"/>
        </w:rPr>
      </w:pPr>
      <w:r>
        <w:rPr>
          <w:u w:val="single"/>
        </w:rPr>
      </w:r>
    </w:p>
    <w:p>
      <w:pPr>
        <w:pStyle w:val="Normal"/>
        <w:ind w:firstLine="720" w:end="0"/>
        <w:rPr/>
      </w:pPr>
      <w:r>
        <w:rPr/>
        <w:t>The implementation of a September 20, 2001 suspension date raises a host of implementation issues for the UDCs that come into play regardless of which option is selected.  The UDCs raised these issues in their prior letters to the Energy Division.  At the Prehearing Conference, the Assigned ALJ asked the UDCs to raise those issues in this proceeding so that the Commission can provide guidance to the UDCs.</w:t>
      </w:r>
      <w:r>
        <w:rPr>
          <w:rStyle w:val="FootnoteCharacters"/>
          <w:rStyle w:val="FootnoteReference"/>
        </w:rPr>
        <w:footnoteReference w:id="9"/>
      </w:r>
      <w:r>
        <w:rPr/>
        <w:t xml:space="preserve">  </w:t>
      </w:r>
    </w:p>
    <w:p>
      <w:pPr>
        <w:pStyle w:val="Normal"/>
        <w:rPr/>
      </w:pPr>
      <w:r>
        <w:rPr/>
      </w:r>
      <w:r>
        <w:br w:type="page"/>
      </w:r>
    </w:p>
    <w:p>
      <w:pPr>
        <w:pStyle w:val="Normal"/>
        <w:ind w:firstLine="720" w:end="0"/>
        <w:rPr/>
      </w:pPr>
      <w:r>
        <w:rPr/>
        <w:t>The UDCs propose the following process, timeline and rules that should apply to all DASRs submitted after September 20, 2001, as a reasonable method of implementing the suspension of Direct Access.  The following rules should be adopted by the Commission in addition to the proposed options in Section III.B.</w:t>
      </w:r>
    </w:p>
    <w:p>
      <w:pPr>
        <w:pStyle w:val="Normal"/>
        <w:rPr/>
      </w:pPr>
      <w:r>
        <w:rPr/>
      </w:r>
    </w:p>
    <w:p>
      <w:pPr>
        <w:pStyle w:val="Normal"/>
        <w:ind w:firstLine="720" w:end="0"/>
        <w:rPr/>
      </w:pPr>
      <w:r>
        <w:rPr/>
        <w:t xml:space="preserve">The UDCs have attempted to craft implementation steps for likely scenarios  which have arisen or might arise in which UDCs would be called upon to increase their Direct Access load or take action that might conflict with the general intent of </w:t>
      </w:r>
    </w:p>
    <w:p>
      <w:pPr>
        <w:pStyle w:val="Normal"/>
        <w:rPr/>
      </w:pPr>
      <w:r>
        <w:rPr/>
        <w:t xml:space="preserve">D.01-09-060 and D.01-10-036.  In filing this Joint Proposal, the UDCs request that the Commission specifically approve each of the proposed implementation rules, or provide clear guidance on an alternative implementation procedure.  </w:t>
      </w:r>
    </w:p>
    <w:p>
      <w:pPr>
        <w:pStyle w:val="Normal"/>
        <w:rPr/>
      </w:pPr>
      <w:r>
        <w:rPr/>
      </w:r>
    </w:p>
    <w:p>
      <w:pPr>
        <w:pStyle w:val="Normal"/>
        <w:rPr/>
      </w:pPr>
      <w:r>
        <w:rPr/>
        <w:t xml:space="preserve">1. </w:t>
        <w:tab/>
      </w:r>
      <w:r>
        <w:rPr>
          <w:u w:val="single"/>
        </w:rPr>
        <w:t>ESP Lists</w:t>
      </w:r>
    </w:p>
    <w:p>
      <w:pPr>
        <w:pStyle w:val="Normal"/>
        <w:rPr/>
      </w:pPr>
      <w:r>
        <w:rPr/>
      </w:r>
    </w:p>
    <w:p>
      <w:pPr>
        <w:pStyle w:val="Normal"/>
        <w:ind w:firstLine="720" w:end="0"/>
        <w:rPr/>
      </w:pPr>
      <w:r>
        <w:rPr/>
        <w:t>As stated above, the UDCs required ESPs to provide, by October 5, 2001, a list of names of all customers with Direct Access contracts in place as of September 20, 2001 which would allow accounts not currently on Direct Access to switch to Direct Access.  The October 5, 2001 deadline for submission of ESP Lists allowed each ESP 15 days after the date of D.01-09-060 to specify by name those customers whose contracts qualify them to submit additional DASRs.  This was a reasonable amount of time for ESPs to submit their lists, and, as noted above, was in compliance with the direction given in D.01</w:t>
        <w:noBreakHyphen/>
        <w:t>09</w:t>
        <w:noBreakHyphen/>
        <w:t>060.  The Commission should therefore adopt the rule that DASRs can only be processed if the customer name appears on the ESP List submitted as of October 5, 2001.</w:t>
      </w:r>
      <w:r>
        <w:rPr>
          <w:rStyle w:val="FootnoteCharacters"/>
          <w:rStyle w:val="FootnoteReference"/>
        </w:rPr>
        <w:footnoteReference w:id="10"/>
      </w:r>
    </w:p>
    <w:p>
      <w:pPr>
        <w:pStyle w:val="Normal"/>
        <w:rPr/>
      </w:pPr>
      <w:r>
        <w:rPr/>
      </w:r>
    </w:p>
    <w:p>
      <w:pPr>
        <w:pStyle w:val="Normal"/>
        <w:rPr/>
      </w:pPr>
      <w:r>
        <w:rPr/>
        <w:t xml:space="preserve">2.  </w:t>
        <w:tab/>
      </w:r>
      <w:r>
        <w:rPr>
          <w:u w:val="single"/>
        </w:rPr>
        <w:t>ESP Eligibility to Submit Lists</w:t>
      </w:r>
      <w:r>
        <w:rPr/>
        <w:t xml:space="preserve"> </w:t>
      </w:r>
    </w:p>
    <w:p>
      <w:pPr>
        <w:pStyle w:val="Normal"/>
        <w:rPr/>
      </w:pPr>
      <w:r>
        <w:rPr/>
      </w:r>
    </w:p>
    <w:p>
      <w:pPr>
        <w:pStyle w:val="Normal"/>
        <w:ind w:firstLine="720" w:end="0"/>
        <w:rPr/>
      </w:pPr>
      <w:r>
        <w:rPr/>
        <w:t>The Commission should order that to submit an ESP List, or to submit DASRs for those accounts, an ESP must (1) have in effect a valid ESP/UDC Service Agreement as of September 20, 2001, and (2) ESPs serving small customers must have in effect as of  September 20, 2001 valid Commission registration as required by law.  The UDCs will not execute any new ESP/UDC Service Agreements after September 20, 2001, nor will they review new ESP/UDC Service Agreements sent to the UDCs after September 20, 2001 that were executed by an ESP on or before September 20, 2001.  Additionally, for those ESPs who have master agreements with certain entities (other than the customers of record) whose terms and conditions allow specific customers to elect direct access in the future (through execution of individual implementing agreements with customers), the UDCs will void new requests for direct access for those customers unless those new customers signed implementing agreements and elected direct access under the terms of the master agreement on or before September 20, 2001.</w:t>
      </w:r>
    </w:p>
    <w:p>
      <w:pPr>
        <w:pStyle w:val="Normal"/>
        <w:rPr/>
      </w:pPr>
      <w:r>
        <w:rPr/>
        <w:t xml:space="preserve">3.  </w:t>
        <w:tab/>
      </w:r>
      <w:r>
        <w:rPr>
          <w:u w:val="single"/>
        </w:rPr>
        <w:t>No Third Party Verification Allowed After September 20</w:t>
      </w:r>
    </w:p>
    <w:p>
      <w:pPr>
        <w:pStyle w:val="Normal"/>
        <w:rPr/>
      </w:pPr>
      <w:r>
        <w:rPr/>
      </w:r>
    </w:p>
    <w:p>
      <w:pPr>
        <w:pStyle w:val="Normal"/>
        <w:ind w:firstLine="720" w:end="0"/>
        <w:rPr/>
      </w:pPr>
      <w:r>
        <w:rPr/>
        <w:t xml:space="preserve">Decision 01-09-060 states:  "The execution of any new contracts for direct access service, or the entering into </w:t>
      </w:r>
      <w:r>
        <w:rPr>
          <w:i/>
        </w:rPr>
        <w:t>or verification of</w:t>
      </w:r>
      <w:r>
        <w:rPr/>
        <w:t>, any new arrangements for direct access service pursuant to Public Utilities Code 366 or 366.5, after the effective date of this order is prohibited."  Conclusion of Law 3.  Accordingly, only residential and small commercial accounts that were verified on or before September 20, 2001 in accordance with the relevant statutes qualify for inclusion on the ESP Lists provided to the UDCs and for DASR submission.  For a DASR to be processed for a residential and small commercial account, the ESP must be able to demonstrate that the required verification took place prior to September 20, 2001.</w:t>
      </w:r>
    </w:p>
    <w:p>
      <w:pPr>
        <w:pStyle w:val="Normal"/>
        <w:rPr/>
      </w:pPr>
      <w:r>
        <w:rPr/>
      </w:r>
    </w:p>
    <w:p>
      <w:pPr>
        <w:pStyle w:val="Normal"/>
        <w:ind w:hanging="720" w:start="720" w:end="0"/>
        <w:rPr/>
      </w:pPr>
      <w:r>
        <w:rPr/>
        <w:t xml:space="preserve">4.  </w:t>
        <w:tab/>
      </w:r>
      <w:r>
        <w:rPr>
          <w:u w:val="single"/>
        </w:rPr>
        <w:t>Customer May Switch From One ESP To Another If The Contract Date is September 20 or Before</w:t>
      </w:r>
    </w:p>
    <w:p>
      <w:pPr>
        <w:pStyle w:val="Normal"/>
        <w:rPr/>
      </w:pPr>
      <w:r>
        <w:rPr/>
      </w:r>
    </w:p>
    <w:p>
      <w:pPr>
        <w:pStyle w:val="Normal"/>
        <w:ind w:firstLine="720" w:end="0"/>
        <w:rPr/>
      </w:pPr>
      <w:r>
        <w:rPr/>
        <w:t>Except as provided for in Rule 7, the UDCs believe that customers should not be allowed to switch from one ESP to another after September 20 unless the new ESP had a valid ESP-customer contract in place on or before September 20, 2001, and the customer’s name appeared on the list submitted by that new ESP by October 5, 2001.  To rule otherwise (</w:t>
      </w:r>
      <w:r>
        <w:rPr>
          <w:u w:val="single"/>
        </w:rPr>
        <w:t>i.e.</w:t>
      </w:r>
      <w:r>
        <w:rPr/>
        <w:t>, to allow a Direct Access switch agreed to after September 20) would be a "new arrangement" for direct access service prohibited by the Decision.</w:t>
      </w:r>
    </w:p>
    <w:p>
      <w:pPr>
        <w:pStyle w:val="Normal"/>
        <w:rPr/>
      </w:pPr>
      <w:r>
        <w:rPr/>
      </w:r>
    </w:p>
    <w:p>
      <w:pPr>
        <w:pStyle w:val="Normal"/>
        <w:rPr/>
      </w:pPr>
      <w:r>
        <w:rPr/>
        <w:t xml:space="preserve">5.  </w:t>
        <w:tab/>
      </w:r>
      <w:r>
        <w:rPr>
          <w:u w:val="single"/>
        </w:rPr>
        <w:t>Seamless Moves Allowed</w:t>
      </w:r>
    </w:p>
    <w:p>
      <w:pPr>
        <w:pStyle w:val="Normal"/>
        <w:rPr/>
      </w:pPr>
      <w:r>
        <w:rPr/>
      </w:r>
    </w:p>
    <w:p>
      <w:pPr>
        <w:pStyle w:val="Normal"/>
        <w:ind w:firstLine="720" w:end="0"/>
        <w:rPr/>
      </w:pPr>
      <w:r>
        <w:rPr/>
        <w:t>The UDCs propose to allow existing direct access small customers moving from one address to another within the UDC service area under the so-called "seamless move" process developed by the Rule 22 working group to continue on Direct Access.  In this case, because new Direct Access service would not be contemplated by the move, the seamless move would be allowed.</w:t>
      </w:r>
    </w:p>
    <w:p>
      <w:pPr>
        <w:pStyle w:val="Normal"/>
        <w:ind w:firstLine="720" w:end="0"/>
        <w:rPr/>
      </w:pPr>
      <w:r>
        <w:rPr/>
      </w:r>
    </w:p>
    <w:p>
      <w:pPr>
        <w:pStyle w:val="Normal"/>
        <w:spacing w:before="100" w:after="100"/>
        <w:ind w:hanging="720" w:start="720" w:end="0"/>
        <w:rPr>
          <w:color w:val="000000"/>
          <w:szCs w:val="24"/>
        </w:rPr>
      </w:pPr>
      <w:r>
        <w:rPr/>
        <w:t xml:space="preserve">6.  </w:t>
        <w:tab/>
      </w:r>
      <w:r>
        <w:rPr>
          <w:color w:val="000000"/>
          <w:u w:val="single"/>
        </w:rPr>
        <w:t>ESP’s Former Book of Residential and Small Commercial Customer Business Returned to Bundled Service Before September 20, 2001 Should Not Be Allowed Back On Direct Access Except On Demonstration of Independent Verification</w:t>
      </w:r>
    </w:p>
    <w:p>
      <w:pPr>
        <w:pStyle w:val="BodyText2"/>
        <w:ind w:firstLine="720" w:end="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BodyText2"/>
        <w:ind w:firstLine="720" w:end="0"/>
        <w:rPr/>
      </w:pPr>
      <w:r>
        <w:rPr>
          <w:rFonts w:cs="Times New Roman" w:ascii="Times New Roman" w:hAnsi="Times New Roman"/>
          <w:color w:val="000000"/>
          <w:sz w:val="24"/>
        </w:rPr>
        <w:t xml:space="preserve">This is an area where the UDCs seek specific Commission guidance.  Each UDC has certain ESPs who returned all but a </w:t>
      </w:r>
      <w:r>
        <w:rPr>
          <w:rFonts w:cs="Times New Roman" w:ascii="Times New Roman" w:hAnsi="Times New Roman"/>
          <w:i/>
          <w:iCs/>
          <w:color w:val="000000"/>
          <w:sz w:val="24"/>
        </w:rPr>
        <w:t>de minimus</w:t>
      </w:r>
      <w:r>
        <w:rPr>
          <w:rFonts w:cs="Times New Roman" w:ascii="Times New Roman" w:hAnsi="Times New Roman"/>
          <w:color w:val="000000"/>
          <w:sz w:val="24"/>
        </w:rPr>
        <w:t xml:space="preserve"> number of their residential and small commercial customers to bundled service prior to September 20, 2001.  These ESPs have now submitted what appears to be the entire list of former residential and small commercial customers as customers that may potentially be placed back on direct access.  The customers on these lists number approximately six thousand, in the case of SDG&amp;E, over twenty thousand, in the case of PG&amp;E, and approximately eight thousand, in the case of SCE.  Based on the number of these customers it would appear that the ESPs would not have been able to confirm these customer’s interest in returning to Direct Access before September 20, 2001. One of the ESPs trying to re-start direct access for its customers purportedly still under contract has advised Rule 22 working group it does not intend to submit DASRs for these customers but wishes to assign the contracts to another ESP.</w:t>
      </w:r>
    </w:p>
    <w:p>
      <w:pPr>
        <w:pStyle w:val="BodyText2"/>
        <w:ind w:firstLine="720" w:end="0"/>
        <w:rPr>
          <w:rFonts w:ascii="Times New Roman" w:hAnsi="Times New Roman" w:cs="Times New Roman"/>
          <w:color w:val="000000"/>
          <w:sz w:val="24"/>
        </w:rPr>
      </w:pPr>
      <w:r>
        <w:rPr>
          <w:rFonts w:cs="Times New Roman" w:ascii="Times New Roman" w:hAnsi="Times New Roman"/>
          <w:color w:val="000000"/>
          <w:sz w:val="24"/>
        </w:rPr>
      </w:r>
    </w:p>
    <w:p>
      <w:pPr>
        <w:pStyle w:val="Normal"/>
        <w:spacing w:before="100" w:after="100"/>
        <w:rPr>
          <w:color w:val="000000"/>
        </w:rPr>
      </w:pPr>
      <w:r>
        <w:rPr>
          <w:color w:val="000000"/>
        </w:rPr>
        <w:t> </w:t>
      </w:r>
      <w:r>
        <w:rPr>
          <w:color w:val="000000"/>
        </w:rPr>
        <w:tab/>
        <w:t>The UDCs propose to establish a presumption that these customers’ re-election of direct access service was not verified before September 20 as required by D. 01-09-060.  The UDCs would process individual DASRs, however, if the ESP demonstrates that between the time the residential or small commercial customer returned to bundled service and September 20, 2001, independent verification occurred confirming the customer’s election to return to direct access.</w:t>
      </w:r>
    </w:p>
    <w:p>
      <w:pPr>
        <w:pStyle w:val="Normal"/>
        <w:rPr/>
      </w:pPr>
      <w:r>
        <w:rPr/>
      </w:r>
    </w:p>
    <w:p>
      <w:pPr>
        <w:pStyle w:val="Normal"/>
        <w:rPr/>
      </w:pPr>
      <w:r>
        <w:rPr/>
        <w:t xml:space="preserve">7.  </w:t>
        <w:tab/>
      </w:r>
      <w:r>
        <w:rPr>
          <w:u w:val="single"/>
        </w:rPr>
        <w:t xml:space="preserve">Assignment of ESP Contracts To Another ESP </w:t>
      </w:r>
    </w:p>
    <w:p>
      <w:pPr>
        <w:pStyle w:val="Normal"/>
        <w:rPr/>
      </w:pPr>
      <w:r>
        <w:rPr/>
      </w:r>
    </w:p>
    <w:p>
      <w:pPr>
        <w:pStyle w:val="BodyText2"/>
        <w:ind w:firstLine="720" w:end="0"/>
        <w:rPr>
          <w:rFonts w:ascii="Times New Roman" w:hAnsi="Times New Roman" w:cs="Times New Roman"/>
          <w:sz w:val="24"/>
        </w:rPr>
      </w:pPr>
      <w:r>
        <w:rPr>
          <w:rFonts w:cs="Times New Roman" w:ascii="Times New Roman" w:hAnsi="Times New Roman"/>
          <w:sz w:val="24"/>
        </w:rPr>
        <w:t xml:space="preserve">This situation occurs when one ESP transfers or assigns all or a part of its direct access accounts to another ESP.  </w:t>
      </w:r>
    </w:p>
    <w:p>
      <w:pPr>
        <w:pStyle w:val="BodyText2"/>
        <w:ind w:firstLine="720" w:end="0"/>
        <w:rPr>
          <w:rFonts w:ascii="Times New Roman" w:hAnsi="Times New Roman" w:cs="Times New Roman"/>
          <w:sz w:val="24"/>
        </w:rPr>
      </w:pPr>
      <w:r>
        <w:rPr>
          <w:rFonts w:cs="Times New Roman" w:ascii="Times New Roman" w:hAnsi="Times New Roman"/>
          <w:sz w:val="24"/>
        </w:rPr>
      </w:r>
    </w:p>
    <w:p>
      <w:pPr>
        <w:pStyle w:val="Normal"/>
        <w:rPr>
          <w:highlight w:val="yellow"/>
        </w:rPr>
      </w:pPr>
      <w:r>
        <w:rPr>
          <w:b/>
        </w:rPr>
        <w:t>a)</w:t>
      </w:r>
      <w:r>
        <w:rPr/>
        <w:tab/>
      </w:r>
      <w:r>
        <w:rPr>
          <w:b/>
        </w:rPr>
        <w:t>All Accounts based on a merger</w:t>
      </w:r>
      <w:r>
        <w:rPr/>
        <w:t xml:space="preserve">: In this situation, all of one ESP’s direct access accounts become the accounts of another ESP as a result of a merger, necessitating a global name change of the ESP.  This situation would be allowed since no new DASRs would be required. </w:t>
      </w:r>
    </w:p>
    <w:p>
      <w:pPr>
        <w:pStyle w:val="IndexHeading"/>
        <w:rPr>
          <w:rFonts w:ascii="Times New Roman" w:hAnsi="Times New Roman" w:cs="Times New Roman"/>
          <w:highlight w:val="yellow"/>
        </w:rPr>
      </w:pPr>
      <w:r>
        <w:rPr>
          <w:rFonts w:cs="Times New Roman" w:ascii="Times New Roman" w:hAnsi="Times New Roman"/>
          <w:highlight w:val="yellow"/>
        </w:rPr>
      </w:r>
    </w:p>
    <w:p>
      <w:pPr>
        <w:pStyle w:val="BodyText"/>
        <w:spacing w:lineRule="auto" w:line="240"/>
        <w:ind w:hanging="360" w:start="360" w:end="0"/>
        <w:rPr/>
      </w:pPr>
      <w:r>
        <w:rPr/>
        <w:t>b)</w:t>
        <w:tab/>
        <w:tab/>
        <w:t xml:space="preserve">Individual ESP Accounts:  </w:t>
      </w:r>
      <w:r>
        <w:rPr>
          <w:b w:val="false"/>
        </w:rPr>
        <w:t xml:space="preserve">Requests for an individual account to be switched </w:t>
      </w:r>
    </w:p>
    <w:p>
      <w:pPr>
        <w:pStyle w:val="BodyText"/>
        <w:spacing w:lineRule="auto" w:line="240"/>
        <w:ind w:hanging="360" w:start="360" w:end="0"/>
        <w:rPr>
          <w:b w:val="false"/>
        </w:rPr>
      </w:pPr>
      <w:r>
        <w:rPr>
          <w:b w:val="false"/>
        </w:rPr>
        <w:t>from one ESP to another ESP would be permitted provided the requirements of rule</w:t>
      </w:r>
    </w:p>
    <w:p>
      <w:pPr>
        <w:pStyle w:val="BodyText"/>
        <w:spacing w:lineRule="auto" w:line="240"/>
        <w:ind w:hanging="360" w:start="360" w:end="0"/>
        <w:rPr>
          <w:b w:val="false"/>
        </w:rPr>
      </w:pPr>
      <w:r>
        <w:rPr>
          <w:b w:val="false"/>
        </w:rPr>
        <w:t>4 are met.</w:t>
      </w:r>
    </w:p>
    <w:p>
      <w:pPr>
        <w:pStyle w:val="BodyText"/>
        <w:spacing w:lineRule="auto" w:line="240"/>
        <w:ind w:hanging="360" w:start="360" w:end="0"/>
        <w:rPr>
          <w:b w:val="false"/>
          <w:i/>
          <w:i/>
        </w:rPr>
      </w:pPr>
      <w:r>
        <w:rPr>
          <w:b w:val="false"/>
          <w:i/>
        </w:rPr>
      </w:r>
    </w:p>
    <w:p>
      <w:pPr>
        <w:pStyle w:val="Normal"/>
        <w:rPr>
          <w:b/>
          <w:i/>
          <w:i/>
        </w:rPr>
      </w:pPr>
      <w:r>
        <w:rPr/>
        <w:t xml:space="preserve">8. </w:t>
        <w:tab/>
      </w:r>
      <w:r>
        <w:rPr>
          <w:u w:val="single"/>
        </w:rPr>
        <w:t>Changes in Customer Identity Allowed On A Case-By-Case Basis</w:t>
      </w:r>
    </w:p>
    <w:p>
      <w:pPr>
        <w:pStyle w:val="Normal"/>
        <w:rPr>
          <w:b/>
          <w:i/>
          <w:i/>
        </w:rPr>
      </w:pPr>
      <w:r>
        <w:rPr>
          <w:b/>
          <w:i/>
        </w:rPr>
      </w:r>
    </w:p>
    <w:p>
      <w:pPr>
        <w:pStyle w:val="Normal"/>
        <w:ind w:firstLine="720" w:end="0"/>
        <w:rPr>
          <w:b/>
        </w:rPr>
      </w:pPr>
      <w:r>
        <w:rPr/>
        <w:t xml:space="preserve">Changes in customer identity will be permitted on a case-by-case review.  In general, if a direct access customer changes its identity or account name but ownership remains essentially as the same customer, the customer may remain on direct access.  However, if the customer changes its type of business, e.g. hotel to tire company, the customer will be returned to bundled service. </w:t>
      </w:r>
    </w:p>
    <w:p>
      <w:pPr>
        <w:pStyle w:val="Normal"/>
        <w:rPr>
          <w:b/>
        </w:rPr>
      </w:pPr>
      <w:r>
        <w:rPr>
          <w:b/>
        </w:rPr>
      </w:r>
    </w:p>
    <w:p>
      <w:pPr>
        <w:pStyle w:val="Normal"/>
        <w:rPr/>
      </w:pPr>
      <w:r>
        <w:rPr/>
        <w:t>9.</w:t>
        <w:tab/>
      </w:r>
      <w:r>
        <w:rPr>
          <w:u w:val="single"/>
        </w:rPr>
        <w:t>No Transfer of Direct Access Service From One Customer Account to Another</w:t>
      </w:r>
    </w:p>
    <w:p>
      <w:pPr>
        <w:pStyle w:val="Normal"/>
        <w:rPr/>
      </w:pPr>
      <w:r>
        <w:rPr/>
      </w:r>
    </w:p>
    <w:p>
      <w:pPr>
        <w:pStyle w:val="Normal"/>
        <w:ind w:firstLine="720" w:end="0"/>
        <w:rPr/>
      </w:pPr>
      <w:r>
        <w:rPr/>
        <w:t>The UDCs propose to prohibit one customer from transferring or assigning its direct access rights to another customer.  For example, a grocery store chain could not transfer its direct access contract to a department store chain (or any other customer even if it is the same type of business), even if the customers and ESP agree to the transfer.  Such an option would be a new agreement of the seller and new buyer, thus violating  D.01-09-060.</w:t>
      </w:r>
    </w:p>
    <w:p>
      <w:pPr>
        <w:pStyle w:val="Normal"/>
        <w:rPr/>
      </w:pPr>
      <w:r>
        <w:rPr/>
      </w:r>
    </w:p>
    <w:p>
      <w:pPr>
        <w:pStyle w:val="Normal"/>
        <w:rPr/>
      </w:pPr>
      <w:r>
        <w:rPr/>
        <w:t>10.</w:t>
        <w:tab/>
      </w:r>
      <w:r>
        <w:rPr>
          <w:u w:val="single"/>
        </w:rPr>
        <w:t>Community Choice Aggregation Programs</w:t>
      </w:r>
    </w:p>
    <w:p>
      <w:pPr>
        <w:pStyle w:val="Normal"/>
        <w:rPr/>
      </w:pPr>
      <w:r>
        <w:rPr/>
      </w:r>
    </w:p>
    <w:p>
      <w:pPr>
        <w:pStyle w:val="Normal"/>
        <w:ind w:firstLine="720" w:end="0"/>
        <w:rPr/>
      </w:pPr>
      <w:r>
        <w:rPr/>
        <w:t>In prior filings, the cities of Cerritos and Corona have requested that the Commission allow an indefinite period of time for their citizens to participate in Direct Access through community choice aggregation programs.  Under the Public Utilities Code Section 366(b), currently such aggregation programs require “opt-in” by the interested customers.  The City of Cerritos attached Ordinance No. 832 to its Comments filed November 2, 2001, which states that contracts under the community aggregation program should have as the effective date the date that the Ordinance was issued (June 28, 2001) (even if the contracts were actually signed after September 20, 2001).  The ordinance also contemplates that contracts may not be necessary for customers to participate in the program.</w:t>
      </w:r>
    </w:p>
    <w:p>
      <w:pPr>
        <w:pStyle w:val="Normal"/>
        <w:rPr/>
      </w:pPr>
      <w:r>
        <w:rPr/>
      </w:r>
    </w:p>
    <w:p>
      <w:pPr>
        <w:pStyle w:val="Normal"/>
        <w:ind w:firstLine="720" w:end="0"/>
        <w:rPr/>
      </w:pPr>
      <w:r>
        <w:rPr/>
        <w:t xml:space="preserve">Because customers will have to opt into the aggregation program </w:t>
      </w:r>
      <w:r>
        <w:rPr>
          <w:u w:val="single"/>
        </w:rPr>
        <w:t>after</w:t>
      </w:r>
      <w:r>
        <w:rPr/>
        <w:t xml:space="preserve"> the September 20, 2001, suspension date, the UDCs believe that, whether or not a contract is used for the program, the act of opting in after the suspension date constitutes a “new arrangement” for direct access service prohibited by D.01-09-060.  Therefore, the Commission should adopt a rule that prevents processing of DASRs submitted for customers who attempt to opt into a community aggregation program after the suspension date.  </w:t>
      </w:r>
    </w:p>
    <w:p>
      <w:pPr>
        <w:pStyle w:val="Normal"/>
        <w:ind w:hanging="720" w:start="720" w:end="0"/>
        <w:rPr/>
      </w:pPr>
      <w:r>
        <w:rPr/>
      </w:r>
    </w:p>
    <w:p>
      <w:pPr>
        <w:pStyle w:val="Normal"/>
        <w:ind w:hanging="720" w:start="720" w:end="0"/>
        <w:rPr>
          <w:b/>
        </w:rPr>
      </w:pPr>
      <w:r>
        <w:rPr>
          <w:b/>
        </w:rPr>
        <w:t>B.</w:t>
        <w:tab/>
        <w:t>Three Options for Implementing the Suspension of Direct Access</w:t>
      </w:r>
    </w:p>
    <w:p>
      <w:pPr>
        <w:pStyle w:val="Normal"/>
        <w:ind w:hanging="720" w:start="720" w:end="0"/>
        <w:rPr>
          <w:b/>
        </w:rPr>
      </w:pPr>
      <w:r>
        <w:rPr>
          <w:b/>
        </w:rPr>
      </w:r>
    </w:p>
    <w:p>
      <w:pPr>
        <w:pStyle w:val="Normal"/>
        <w:ind w:start="720" w:end="0"/>
        <w:rPr/>
      </w:pPr>
      <w:r>
        <w:rPr>
          <w:b/>
        </w:rPr>
        <w:t xml:space="preserve">Option 1:  </w:t>
      </w:r>
      <w:r>
        <w:rPr>
          <w:u w:val="single"/>
        </w:rPr>
        <w:t>The Commission Should Reconsider a DASR Cut-off Date</w:t>
      </w:r>
      <w:r>
        <w:rPr/>
        <w:t>.</w:t>
      </w:r>
    </w:p>
    <w:p>
      <w:pPr>
        <w:pStyle w:val="Normal"/>
        <w:ind w:hanging="720" w:start="720" w:end="0"/>
        <w:rPr/>
      </w:pPr>
      <w:r>
        <w:rPr/>
      </w:r>
    </w:p>
    <w:p>
      <w:pPr>
        <w:pStyle w:val="Normal"/>
        <w:ind w:firstLine="720" w:end="0"/>
        <w:rPr/>
      </w:pPr>
      <w:r>
        <w:rPr/>
        <w:t xml:space="preserve">As stated above, in D.01-10-036, the UDCs were ordered to ensure that DASRs they accept are for contracts executed or agreements entered into on or before </w:t>
      </w:r>
    </w:p>
    <w:p>
      <w:pPr>
        <w:pStyle w:val="Normal"/>
        <w:rPr>
          <w:b/>
          <w:i/>
          <w:i/>
        </w:rPr>
      </w:pPr>
      <w:r>
        <w:rPr/>
        <w:t>September 20, 2001.  The UDCs were also ordered, however, not to implement a DASR submission deadline, unless directed or allowed in a subsequent Commission decision.</w:t>
      </w:r>
      <w:r>
        <w:rPr>
          <w:rStyle w:val="FootnoteCharacters"/>
          <w:rStyle w:val="FootnoteReference"/>
        </w:rPr>
        <w:footnoteReference w:id="11"/>
      </w:r>
      <w:r>
        <w:rPr/>
        <w:t xml:space="preserve">  The UDCs hereby request that the Commission, on its own motion, reconsider the proposal of a DASR deadline and issue a decision ordering a DASR Cut-off Date.  A DASR Cut-Off date is preferable to a review of contracts.  Contract review is problematic since it requires subjective interpretation of contract language which is likely to create disputes and increase uncertainty, even assuming that ESPs would permit such verification.   </w:t>
      </w:r>
    </w:p>
    <w:p>
      <w:pPr>
        <w:pStyle w:val="Normal"/>
        <w:rPr>
          <w:b/>
          <w:i/>
          <w:i/>
        </w:rPr>
      </w:pPr>
      <w:r>
        <w:rPr>
          <w:b/>
          <w:i/>
        </w:rPr>
      </w:r>
    </w:p>
    <w:p>
      <w:pPr>
        <w:pStyle w:val="Normal"/>
        <w:ind w:firstLine="720" w:end="0"/>
        <w:rPr/>
      </w:pPr>
      <w:r>
        <w:rPr/>
        <w:t>A DASR Cut-off Date is a practical, workable method of implementing a suspension date for Direct Access.  Direct Access was ordered “suspended” as of September 20, 2001, which is now almost two months ago.  Certainly, any future DASR Cut-off Date (e.g., in December 2001 or January 2002) will have given ESPs more than enough time to submit DASRs for their customers.  A DASR Cut-off Date is also consistent with the Commission’s express statement in D.01-09-060 that it would not be in the public interest for the Commission to delay action to suspend direct access beyond September 20, 2001, because a stable customer base is required to ensure a continuous revenue stream to repay the revenue bonds.</w:t>
      </w:r>
      <w:r>
        <w:rPr>
          <w:rStyle w:val="FootnoteCharacters"/>
          <w:rStyle w:val="FootnoteReference"/>
        </w:rPr>
        <w:footnoteReference w:id="12"/>
      </w:r>
      <w:r>
        <w:rPr/>
        <w:t xml:space="preserve"> </w:t>
      </w:r>
      <w:r>
        <w:br w:type="page"/>
      </w:r>
    </w:p>
    <w:p>
      <w:pPr>
        <w:pStyle w:val="Normal"/>
        <w:ind w:start="720" w:end="0"/>
        <w:rPr/>
      </w:pPr>
      <w:r>
        <w:rPr/>
        <w:t xml:space="preserve">Accordingly, the UDCs strongly recommend the adoption of a DASR Cut-off </w:t>
      </w:r>
    </w:p>
    <w:p>
      <w:pPr>
        <w:pStyle w:val="Normal"/>
        <w:rPr/>
      </w:pPr>
      <w:r>
        <w:rPr/>
        <w:t xml:space="preserve">Date, combined with the use of the ESP Lists, to implement Direct Access suspension.  In particular, the Commission should require that any customer wishing to take Direct Access service in the future must (1) submit a DASR by the DASR Cut-off Date, and (2) have its name included on the ESP List already submitted to the UDCs.  </w:t>
      </w:r>
    </w:p>
    <w:p>
      <w:pPr>
        <w:pStyle w:val="Normal"/>
        <w:rPr/>
      </w:pPr>
      <w:r>
        <w:rPr/>
      </w:r>
    </w:p>
    <w:p>
      <w:pPr>
        <w:pStyle w:val="Normal"/>
        <w:ind w:hanging="720" w:start="720" w:end="0"/>
        <w:rPr/>
      </w:pPr>
      <w:r>
        <w:rPr/>
        <w:tab/>
      </w:r>
      <w:r>
        <w:rPr>
          <w:b/>
        </w:rPr>
        <w:t>Option 2:</w:t>
      </w:r>
      <w:r>
        <w:rPr>
          <w:u w:val="single"/>
        </w:rPr>
        <w:t xml:space="preserve"> The Commission Can Review the ESP/Customer Contracts to Determine If the DASRs Are For Contracts Entered Into Prior to September 20, 2001</w:t>
      </w:r>
      <w:r>
        <w:rPr/>
        <w:t>.</w:t>
      </w:r>
    </w:p>
    <w:p>
      <w:pPr>
        <w:pStyle w:val="Normal"/>
        <w:rPr/>
      </w:pPr>
      <w:r>
        <w:rPr/>
      </w:r>
    </w:p>
    <w:p>
      <w:pPr>
        <w:pStyle w:val="Normal"/>
        <w:ind w:firstLine="720" w:end="0"/>
        <w:rPr/>
      </w:pPr>
      <w:r>
        <w:rPr/>
        <w:t xml:space="preserve">If the Commission wishes to allow ESPs to submit DASRs after a DASR Cut-off Date on an exemption basis, (or if the Commission determines that an additional verification process beyond the ESP Lists is necessary to ensure that only eligible DASRs are processed), the Commission should set up a process to review ESP Customer contracts.  </w:t>
      </w:r>
    </w:p>
    <w:p>
      <w:pPr>
        <w:pStyle w:val="Normal"/>
        <w:rPr/>
      </w:pPr>
      <w:r>
        <w:rPr/>
      </w:r>
    </w:p>
    <w:p>
      <w:pPr>
        <w:pStyle w:val="Normal"/>
        <w:ind w:firstLine="720" w:end="0"/>
        <w:rPr/>
      </w:pPr>
      <w:r>
        <w:rPr/>
        <w:t>As stated above, the ESPs have been adamant about preventing the UDCs, which they view as competitors, to review their ESP/Customer contracts.  For this reason, utility review of ESP commercial arrangements is not a practical or acceptable approach.  This is why Option 3 below uses independent verification of ESP contracts.  This procedure carries with it the advantage of not requiring ESPs to reveal sensitive contract terms to the utilities.  However, even this approach may turn out to be problematic since it requires subjective interpretation of contract language which is likely to create disputes and increase uncertainty. Hence, ultimately, any review of specific contract language that may give rise to disputes should be conducted by the Commission rather than the UDCs.</w:t>
      </w:r>
    </w:p>
    <w:p>
      <w:pPr>
        <w:pStyle w:val="Normal"/>
        <w:rPr/>
      </w:pPr>
      <w:r>
        <w:rPr/>
      </w:r>
    </w:p>
    <w:p>
      <w:pPr>
        <w:pStyle w:val="Normal"/>
        <w:rPr/>
      </w:pPr>
      <w:r>
        <w:rPr/>
        <w:t>The UDCs recommend the following steps for Commission review of the contracts:</w:t>
      </w:r>
    </w:p>
    <w:p>
      <w:pPr>
        <w:pStyle w:val="Normal"/>
        <w:rPr/>
      </w:pPr>
      <w:r>
        <w:rPr/>
      </w:r>
    </w:p>
    <w:p>
      <w:pPr>
        <w:pStyle w:val="Normal"/>
        <w:ind w:hanging="720" w:start="1440" w:end="0"/>
        <w:rPr/>
      </w:pPr>
      <w:r>
        <w:rPr/>
        <w:t>1)</w:t>
        <w:tab/>
        <w:t>The ESP submits its DASR information and ESP/Customer Contract to the Commission along with its request for approval of its DASR.</w:t>
      </w:r>
    </w:p>
    <w:p>
      <w:pPr>
        <w:pStyle w:val="Normal"/>
        <w:rPr/>
      </w:pPr>
      <w:r>
        <w:rPr/>
      </w:r>
    </w:p>
    <w:p>
      <w:pPr>
        <w:pStyle w:val="Normal"/>
        <w:ind w:hanging="720" w:start="1440" w:end="0"/>
        <w:rPr/>
      </w:pPr>
      <w:r>
        <w:rPr/>
        <w:t>2)</w:t>
        <w:tab/>
        <w:t>The Commission approves or rejects the request and notifies the ESP and the UDC of the Commission’s finding.</w:t>
      </w:r>
    </w:p>
    <w:p>
      <w:pPr>
        <w:pStyle w:val="Normal"/>
        <w:rPr/>
      </w:pPr>
      <w:r>
        <w:rPr/>
      </w:r>
    </w:p>
    <w:p>
      <w:pPr>
        <w:pStyle w:val="Heading4Text"/>
        <w:spacing w:lineRule="auto" w:line="240"/>
        <w:ind w:hanging="720" w:end="0"/>
        <w:rPr>
          <w:rFonts w:ascii="Times New Roman" w:hAnsi="Times New Roman" w:cs="Times New Roman"/>
        </w:rPr>
      </w:pPr>
      <w:r>
        <w:rPr>
          <w:rFonts w:cs="Times New Roman" w:ascii="Times New Roman" w:hAnsi="Times New Roman"/>
        </w:rPr>
        <w:t>3)</w:t>
        <w:tab/>
        <w:t>The UDCs process any DASRs approved by the Commission once submitted by the ESP.</w:t>
      </w:r>
    </w:p>
    <w:p>
      <w:pPr>
        <w:pStyle w:val="Normal"/>
        <w:ind w:firstLine="720" w:end="0"/>
        <w:rPr>
          <w:rFonts w:ascii="Times New Roman" w:hAnsi="Times New Roman" w:cs="Times New Roman"/>
        </w:rPr>
      </w:pPr>
      <w:r>
        <w:rPr>
          <w:rFonts w:cs="Times New Roman"/>
        </w:rPr>
      </w:r>
    </w:p>
    <w:p>
      <w:pPr>
        <w:pStyle w:val="Normal"/>
        <w:ind w:firstLine="720" w:end="0"/>
        <w:rPr/>
      </w:pPr>
      <w:r>
        <w:rPr/>
        <w:t>No contract review process will necessarily be foolproof.  There is no way of “ensuring” that an ESP/Customer contract was actually signed before September 20, 2001, even if an after-the-fact review of such contracts is conducted.  Further, any exemption allowing DASRs after a DASR Cut-off Date will not achieve the stable customer base that the Commission declared was necessary in D.01-09-060.  Based on the amount of time and resources that would be involved and the uncertain additional benefit of a contract review process, a DASR Cut-off Date for customers on the ESP Lists appears to be a better alternative.</w:t>
      </w:r>
    </w:p>
    <w:p>
      <w:pPr>
        <w:pStyle w:val="Normal"/>
        <w:rPr/>
      </w:pPr>
      <w:r>
        <w:rPr/>
      </w:r>
    </w:p>
    <w:p>
      <w:pPr>
        <w:pStyle w:val="Normal"/>
        <w:ind w:hanging="720" w:start="720" w:end="0"/>
        <w:rPr/>
      </w:pPr>
      <w:r>
        <w:rPr/>
        <w:tab/>
      </w:r>
      <w:r>
        <w:rPr>
          <w:b/>
        </w:rPr>
        <w:t xml:space="preserve">Option 3:  </w:t>
      </w:r>
      <w:r>
        <w:rPr>
          <w:u w:val="single"/>
        </w:rPr>
        <w:t>Certified Affidavit To Verify Whether a DASR Submitted After September 20, 2001 is Associated With a Contract Between ESPs and their customers that was in Existence on or before September 20, 2001</w:t>
      </w:r>
    </w:p>
    <w:p>
      <w:pPr>
        <w:pStyle w:val="Normal"/>
        <w:rPr>
          <w:u w:val="single"/>
        </w:rPr>
      </w:pPr>
      <w:r>
        <w:rPr>
          <w:u w:val="single"/>
        </w:rPr>
      </w:r>
    </w:p>
    <w:p>
      <w:pPr>
        <w:pStyle w:val="Normal"/>
        <w:ind w:firstLine="720" w:end="0"/>
        <w:rPr/>
      </w:pPr>
      <w:r>
        <w:rPr/>
        <w:t xml:space="preserve">The goal of this option is to ensure that no DASRs are accepted for any contracts between ESPs and their customers entered into after September 20, 2001.  Under this option, the ESP certifies through an affidavit that a particular DASR was associated with a contract in existence on or before September 20, 2001.  In addition, the affidavit will contain specific contract language associated with the contract parties, term and service locations.  A third party, such as an independent Certified Public Accountant (CPA), would verify that the affidavit conforms with the contract.  </w:t>
      </w:r>
    </w:p>
    <w:p>
      <w:pPr>
        <w:pStyle w:val="Normal"/>
        <w:rPr/>
      </w:pPr>
      <w:r>
        <w:rPr/>
      </w:r>
    </w:p>
    <w:p>
      <w:pPr>
        <w:pStyle w:val="Normal"/>
        <w:ind w:firstLine="720" w:end="0"/>
        <w:rPr/>
      </w:pPr>
      <w:r>
        <w:rPr/>
        <w:t>Although this option eliminates the need for ESPs to reveal confidential contract information or release their contracts to the UDCs or Commission, the UDCs realize that, given the variety and complexity of ESPs’ contracts, the issue of interpretation of contract language remains.  Thus, under this option, DASRs are classified into two categories. The first category, Category A, would consist of DASRs associated with contracts in which the contract language is straight-forward and it can be readily determined that the submitted DASR is associated with a contract that was in existence on or before September 20, 2001.  The UDCs would process these DASRs as provided for in the UDCs direct access tariffs.  All other DASRs would be deemed Category B DASRs and would be referred to the Commission by the utility that received the DASR for review and approval before processing. Commission approval of Category B DASRs will ensure statewide consistency and compliance with the Commission’s general plan to suspend direct access.  This option is explained in greater detail in Appendix A, attached.</w:t>
      </w:r>
    </w:p>
    <w:p>
      <w:pPr>
        <w:pStyle w:val="Normal"/>
        <w:rPr/>
      </w:pPr>
      <w:r>
        <w:rPr/>
      </w:r>
    </w:p>
    <w:p>
      <w:pPr>
        <w:pStyle w:val="Normal"/>
        <w:ind w:firstLine="720" w:end="0"/>
        <w:rPr/>
      </w:pPr>
      <w:r>
        <w:rPr/>
        <w:t xml:space="preserve">The Commission’s role in reviewing Category B DASRs may create considerable additional work for the Commission.  This is a reason for adopting Option 1 (DASR Cut-off Date) in lieu of Option 3. </w:t>
      </w:r>
    </w:p>
    <w:p>
      <w:pPr>
        <w:pStyle w:val="Normal"/>
        <w:rPr/>
      </w:pPr>
      <w:r>
        <w:rPr/>
      </w:r>
    </w:p>
    <w:p>
      <w:pPr>
        <w:pStyle w:val="Normal"/>
        <w:spacing w:lineRule="auto" w:line="480"/>
        <w:ind w:firstLine="720" w:end="0"/>
        <w:rPr/>
      </w:pPr>
      <w:r>
        <w:rPr/>
      </w:r>
    </w:p>
    <w:p>
      <w:pPr>
        <w:pStyle w:val="BodyTextIndent"/>
        <w:rPr/>
      </w:pPr>
      <w:r>
        <w:rPr/>
        <w:tab/>
        <w:tab/>
        <w:tab/>
        <w:tab/>
        <w:t xml:space="preserve">Respectfully submitted, </w:t>
      </w:r>
    </w:p>
    <w:p>
      <w:pPr>
        <w:pStyle w:val="BodyTextIndent"/>
        <w:rPr/>
      </w:pPr>
      <w:r>
        <w:rPr/>
      </w:r>
    </w:p>
    <w:p>
      <w:pPr>
        <w:pStyle w:val="Normal"/>
        <w:ind w:firstLine="720" w:start="3600" w:end="0"/>
        <w:rPr/>
      </w:pPr>
      <w:r>
        <w:rPr/>
        <w:t>Paul A. Szymanski</w:t>
      </w:r>
    </w:p>
    <w:p>
      <w:pPr>
        <w:pStyle w:val="Normal"/>
        <w:rPr/>
      </w:pPr>
      <w:r>
        <w:rPr/>
        <w:tab/>
        <w:tab/>
        <w:tab/>
        <w:tab/>
        <w:tab/>
        <w:tab/>
        <w:t>Attorney for:</w:t>
      </w:r>
    </w:p>
    <w:p>
      <w:pPr>
        <w:pStyle w:val="Normal"/>
        <w:rPr/>
      </w:pPr>
      <w:r>
        <w:rPr/>
        <w:tab/>
        <w:tab/>
        <w:tab/>
        <w:tab/>
        <w:tab/>
        <w:tab/>
        <w:t>San Diego Gas &amp; Electric Company</w:t>
      </w:r>
    </w:p>
    <w:p>
      <w:pPr>
        <w:pStyle w:val="Normal"/>
        <w:rPr/>
      </w:pPr>
      <w:r>
        <w:rPr/>
        <w:tab/>
        <w:tab/>
        <w:tab/>
        <w:tab/>
        <w:tab/>
        <w:tab/>
        <w:t>101 Ash Street</w:t>
      </w:r>
    </w:p>
    <w:p>
      <w:pPr>
        <w:pStyle w:val="Normal"/>
        <w:rPr/>
      </w:pPr>
      <w:r>
        <w:rPr/>
        <w:tab/>
        <w:tab/>
        <w:tab/>
        <w:tab/>
        <w:tab/>
        <w:tab/>
        <w:t>San Diego, CA  92112</w:t>
      </w:r>
    </w:p>
    <w:p>
      <w:pPr>
        <w:pStyle w:val="Normal"/>
        <w:rPr/>
      </w:pPr>
      <w:r>
        <w:rPr/>
        <w:tab/>
        <w:tab/>
        <w:tab/>
        <w:tab/>
        <w:tab/>
        <w:tab/>
        <w:t>Phone:  (619) 699-5078</w:t>
      </w:r>
    </w:p>
    <w:p>
      <w:pPr>
        <w:pStyle w:val="Normal"/>
        <w:rPr/>
      </w:pPr>
      <w:r>
        <w:rPr/>
        <w:tab/>
        <w:tab/>
        <w:tab/>
        <w:tab/>
        <w:tab/>
        <w:tab/>
        <w:t>Fax:      (619) 699-5027</w:t>
      </w:r>
    </w:p>
    <w:p>
      <w:pPr>
        <w:pStyle w:val="Normal"/>
        <w:rPr/>
      </w:pPr>
      <w:r>
        <w:rPr/>
        <w:tab/>
        <w:tab/>
        <w:tab/>
        <w:tab/>
        <w:tab/>
        <w:tab/>
        <w:t>E-mail: pszymanski@sempra.com</w:t>
      </w:r>
    </w:p>
    <w:p>
      <w:pPr>
        <w:pStyle w:val="BodyText"/>
        <w:rPr>
          <w:b w:val="false"/>
          <w:bCs/>
        </w:rPr>
      </w:pPr>
      <w:r>
        <w:rPr>
          <w:b w:val="false"/>
          <w:bCs/>
        </w:rPr>
        <w:t>November 16, 2001</w:t>
      </w:r>
    </w:p>
    <w:sectPr>
      <w:headerReference w:type="default" r:id="rId6"/>
      <w:headerReference w:type="first" r:id="rId7"/>
      <w:footerReference w:type="default" r:id="rId8"/>
      <w:footerReference w:type="first" r:id="rId9"/>
      <w:footnotePr>
        <w:numFmt w:val="decimal"/>
      </w:footnotePr>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charset w:val="00" w:characterSet="windows-1252"/>
    <w:family w:val="roman"/>
    <w:pitch w:val="variable"/>
  </w:font>
  <w:font w:name="Helvetica">
    <w:altName w:val="Arial"/>
    <w:charset w:val="00" w:characterSet="windows-1252"/>
    <w:family w:val="swiss"/>
    <w:pitch w:val="variable"/>
  </w:font>
  <w:font w:name="Palatino">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 xml:space="preserve">This Joint Proposal addresses neither the issues relating to a proposed date earlier than September 20, 2001, for suspension of Direct Access, nor issues related to cost-shifting and exit fees, both of which the UDCs understand are subject to further Commission deliberation. </w:t>
      </w:r>
    </w:p>
  </w:footnote>
  <w:footnote w:id="3">
    <w:p>
      <w:pPr>
        <w:pStyle w:val="FootnoteText"/>
        <w:rPr/>
      </w:pPr>
      <w:r>
        <w:rPr>
          <w:rStyle w:val="FootnoteCharacters"/>
        </w:rPr>
        <w:footnoteRef/>
      </w:r>
      <w:r>
        <w:rPr/>
        <w:t xml:space="preserve"> </w:t>
      </w:r>
      <w:r>
        <w:rPr/>
        <w:tab/>
        <w:t>As is explained in greater detail in Section III.B.2, the UDCs realize that a DASR Cut-off Date was not provided for in either D.01-09-060 or D.01-10-036 but urges the Commission to adopt this mechanism as the most straight-forward and efficient means to implement the Commission’s intended suspension.</w:t>
      </w:r>
    </w:p>
  </w:footnote>
  <w:footnote w:id="4">
    <w:p>
      <w:pPr>
        <w:pStyle w:val="FootnoteText"/>
        <w:rPr/>
      </w:pPr>
      <w:r>
        <w:rPr>
          <w:rStyle w:val="FootnoteCharacters"/>
        </w:rPr>
        <w:footnoteRef/>
      </w:r>
      <w:r>
        <w:rPr/>
        <w:tab/>
        <w:t>D.01-09-060, p. 12, Ordering ¶ 8.</w:t>
      </w:r>
    </w:p>
  </w:footnote>
  <w:footnote w:id="5">
    <w:p>
      <w:pPr>
        <w:pStyle w:val="FootnoteText"/>
        <w:rPr/>
      </w:pPr>
      <w:r>
        <w:rPr>
          <w:rStyle w:val="FootnoteCharacters"/>
        </w:rPr>
        <w:footnoteRef/>
      </w:r>
      <w:r>
        <w:rPr/>
        <w:t xml:space="preserve"> </w:t>
      </w:r>
      <w:r>
        <w:rPr/>
        <w:tab/>
        <w:t xml:space="preserve">PG&amp;E Advice Letter 2167-E; SDG&amp;E Advice Letter 1369-E.  </w:t>
      </w:r>
    </w:p>
  </w:footnote>
  <w:footnote w:id="6">
    <w:p>
      <w:pPr>
        <w:pStyle w:val="FootnoteText"/>
        <w:rPr/>
      </w:pPr>
      <w:r>
        <w:rPr>
          <w:rStyle w:val="FootnoteCharacters"/>
        </w:rPr>
        <w:footnoteRef/>
      </w:r>
      <w:r>
        <w:rPr/>
        <w:tab/>
        <w:t>D.01-09-060, p. 9 (“Steps that the utilities might take to ensure compliance with the order may include obtaining from each energy service provider a list of relevant identifying information for those customers that have entered into timely contracts, but for whom DASRs have not been submitted.)</w:t>
      </w:r>
    </w:p>
  </w:footnote>
  <w:footnote w:id="7">
    <w:p>
      <w:pPr>
        <w:pStyle w:val="FootnoteText"/>
        <w:rPr/>
      </w:pPr>
      <w:r>
        <w:rPr>
          <w:rStyle w:val="FootnoteCharacters"/>
        </w:rPr>
        <w:footnoteRef/>
      </w:r>
      <w:r>
        <w:rPr/>
        <w:tab/>
        <w:t>D.01-10-036, p. 21.</w:t>
      </w:r>
    </w:p>
  </w:footnote>
  <w:footnote w:id="8">
    <w:p>
      <w:pPr>
        <w:pStyle w:val="FootnoteText"/>
        <w:rPr/>
      </w:pPr>
      <w:r>
        <w:rPr>
          <w:rStyle w:val="FootnoteCharacters"/>
        </w:rPr>
        <w:footnoteRef/>
      </w:r>
      <w:r>
        <w:rPr/>
        <w:tab/>
        <w:t>Prehearing Conference (November 7, 2001), Transcript (Tr.), p. 94.</w:t>
      </w:r>
    </w:p>
  </w:footnote>
  <w:footnote w:id="9">
    <w:p>
      <w:pPr>
        <w:pStyle w:val="FootnoteText"/>
        <w:rPr/>
      </w:pPr>
      <w:r>
        <w:rPr>
          <w:rStyle w:val="FootnoteCharacters"/>
        </w:rPr>
        <w:footnoteRef/>
      </w:r>
      <w:r>
        <w:rPr/>
        <w:tab/>
        <w:t>Tr. pp. 86-87.</w:t>
      </w:r>
    </w:p>
  </w:footnote>
  <w:footnote w:id="10">
    <w:p>
      <w:pPr>
        <w:pStyle w:val="FootnoteText"/>
        <w:rPr/>
      </w:pPr>
      <w:r>
        <w:rPr>
          <w:rStyle w:val="FootnoteCharacters"/>
        </w:rPr>
        <w:footnoteRef/>
      </w:r>
      <w:r>
        <w:rPr/>
        <w:t xml:space="preserve">             </w:t>
      </w:r>
      <w:r>
        <w:rPr/>
        <w:t>PG&amp;E and SDG&amp;E each requested that its ESPs submit account-specific information by November 1, 2001 for each customer name submitted on October 5.  SDG&amp;E and PG&amp;E intend to accept only DASRs for accounts on the November 1 lists, and only if the accounts pertain to names that first appeared on ESPs’ October 5 lists, as the most practical way of implementing the October 5 lists.  Subject to any additional limitations resulting from the Commission’s adoption of one of the options proposed in Section III.B, an exception would be a new account permitted under the customer's contract account that was not in existence as of November 1.</w:t>
      </w:r>
    </w:p>
  </w:footnote>
  <w:footnote w:id="11">
    <w:p>
      <w:pPr>
        <w:pStyle w:val="FootnoteText"/>
        <w:rPr/>
      </w:pPr>
      <w:r>
        <w:rPr>
          <w:rStyle w:val="FootnoteCharacters"/>
        </w:rPr>
        <w:footnoteRef/>
      </w:r>
      <w:r>
        <w:rPr/>
        <w:tab/>
        <w:t xml:space="preserve">D.01-010-036, p. 21.  </w:t>
      </w:r>
    </w:p>
  </w:footnote>
  <w:footnote w:id="12">
    <w:p>
      <w:pPr>
        <w:pStyle w:val="FootnoteText"/>
        <w:rPr/>
      </w:pPr>
      <w:r>
        <w:rPr>
          <w:rStyle w:val="FootnoteCharacters"/>
        </w:rPr>
        <w:footnoteRef/>
      </w:r>
      <w:r>
        <w:rPr/>
        <w:tab/>
        <w:t>D.01-09-060, p. 8.</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ind w:hanging="0" w:start="720" w:end="0"/>
      <w:outlineLvl w:val="1"/>
    </w:pPr>
    <w:rPr>
      <w:b/>
    </w:rPr>
  </w:style>
  <w:style w:type="paragraph" w:styleId="Heading3">
    <w:name w:val="heading 3"/>
    <w:basedOn w:val="Heading2"/>
    <w:next w:val="Normal"/>
    <w:qFormat/>
    <w:pPr>
      <w:keepLines/>
      <w:numPr>
        <w:ilvl w:val="2"/>
        <w:numId w:val="1"/>
      </w:numPr>
      <w:spacing w:lineRule="exact" w:line="480" w:before="240" w:after="120"/>
      <w:ind w:hanging="0" w:start="0" w:end="0"/>
      <w:outlineLvl w:val="2"/>
    </w:pPr>
    <w:rPr>
      <w:rFonts w:ascii="NewCenturySchlbk" w:hAnsi="NewCenturySchlbk" w:cs="NewCenturySchlbk"/>
      <w:u w:val="single"/>
    </w:rPr>
  </w:style>
  <w:style w:type="paragraph" w:styleId="Heading4">
    <w:name w:val="heading 4"/>
    <w:basedOn w:val="Heading2"/>
    <w:next w:val="Normal"/>
    <w:qFormat/>
    <w:pPr>
      <w:keepLines/>
      <w:numPr>
        <w:ilvl w:val="3"/>
        <w:numId w:val="1"/>
      </w:numPr>
      <w:spacing w:lineRule="exact" w:line="480" w:before="240" w:after="120"/>
      <w:ind w:hanging="0" w:start="0" w:end="0"/>
      <w:outlineLvl w:val="3"/>
    </w:pPr>
    <w:rPr>
      <w:rFonts w:ascii="NewCenturySchlbk" w:hAnsi="NewCenturySchlbk" w:cs="NewCenturySchlbk"/>
      <w:u w:val="single"/>
    </w:rPr>
  </w:style>
  <w:style w:type="paragraph" w:styleId="Heading5">
    <w:name w:val="heading 5"/>
    <w:basedOn w:val="Heading2"/>
    <w:next w:val="Normal"/>
    <w:qFormat/>
    <w:pPr>
      <w:keepLines/>
      <w:numPr>
        <w:ilvl w:val="4"/>
        <w:numId w:val="1"/>
      </w:numPr>
      <w:spacing w:lineRule="exact" w:line="480" w:before="240" w:after="120"/>
      <w:ind w:hanging="0" w:start="0" w:end="0"/>
      <w:outlineLvl w:val="4"/>
    </w:pPr>
    <w:rPr>
      <w:rFonts w:ascii="NewCenturySchlbk" w:hAnsi="NewCenturySchlbk" w:cs="NewCenturySchlbk"/>
      <w:u w:val="single"/>
    </w:rPr>
  </w:style>
  <w:style w:type="paragraph" w:styleId="Heading6">
    <w:name w:val="heading 6"/>
    <w:basedOn w:val="Heading2"/>
    <w:next w:val="Normal"/>
    <w:qFormat/>
    <w:pPr>
      <w:keepLines/>
      <w:numPr>
        <w:ilvl w:val="5"/>
        <w:numId w:val="1"/>
      </w:numPr>
      <w:spacing w:lineRule="exact" w:line="480" w:before="240" w:after="120"/>
      <w:ind w:hanging="0" w:start="0" w:end="0"/>
      <w:outlineLvl w:val="5"/>
    </w:pPr>
    <w:rPr>
      <w:rFonts w:ascii="NewCenturySchlbk" w:hAnsi="NewCenturySchlbk" w:cs="NewCenturySchlbk"/>
      <w:u w:val="single"/>
    </w:rPr>
  </w:style>
  <w:style w:type="paragraph" w:styleId="Heading7">
    <w:name w:val="heading 7"/>
    <w:basedOn w:val="Heading2"/>
    <w:next w:val="Normal"/>
    <w:qFormat/>
    <w:pPr>
      <w:keepLines/>
      <w:numPr>
        <w:ilvl w:val="6"/>
        <w:numId w:val="1"/>
      </w:numPr>
      <w:spacing w:lineRule="exact" w:line="480" w:before="240" w:after="120"/>
      <w:ind w:hanging="0" w:start="0" w:end="0"/>
      <w:outlineLvl w:val="6"/>
    </w:pPr>
    <w:rPr>
      <w:rFonts w:ascii="NewCenturySchlbk" w:hAnsi="NewCenturySchlbk" w:cs="NewCenturySchlbk"/>
      <w:u w:val="single"/>
    </w:rPr>
  </w:style>
  <w:style w:type="paragraph" w:styleId="Heading8">
    <w:name w:val="heading 8"/>
    <w:basedOn w:val="Heading2"/>
    <w:next w:val="Normal"/>
    <w:qFormat/>
    <w:pPr>
      <w:keepLines/>
      <w:numPr>
        <w:ilvl w:val="7"/>
        <w:numId w:val="1"/>
      </w:numPr>
      <w:spacing w:lineRule="exact" w:line="480" w:before="240" w:after="120"/>
      <w:ind w:hanging="0" w:start="0" w:end="0"/>
      <w:outlineLvl w:val="7"/>
    </w:pPr>
    <w:rPr>
      <w:rFonts w:ascii="NewCenturySchlbk" w:hAnsi="NewCenturySchlbk" w:cs="NewCenturySchlbk"/>
      <w:u w:val="single"/>
    </w:rPr>
  </w:style>
  <w:style w:type="paragraph" w:styleId="Heading9">
    <w:name w:val="heading 9"/>
    <w:basedOn w:val="Heading2"/>
    <w:next w:val="Normal"/>
    <w:qFormat/>
    <w:pPr>
      <w:keepLines/>
      <w:numPr>
        <w:ilvl w:val="8"/>
        <w:numId w:val="1"/>
      </w:numPr>
      <w:spacing w:lineRule="exact" w:line="480" w:before="240" w:after="120"/>
      <w:ind w:hanging="0" w:start="0" w:end="0"/>
      <w:outlineLvl w:val="8"/>
    </w:pPr>
    <w:rPr>
      <w:rFonts w:ascii="NewCenturySchlbk" w:hAnsi="NewCenturySchlbk" w:cs="NewCenturySchlbk"/>
      <w:u w:val="single"/>
    </w:rPr>
  </w:style>
  <w:style w:type="character" w:styleId="WW8Num1z0">
    <w:name w:val="WW8Num1z0"/>
    <w:qFormat/>
    <w:rPr>
      <w:color w:val="0000FF"/>
      <w:u w:val="non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480"/>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720" w:end="0"/>
    </w:pPr>
    <w:rPr/>
  </w:style>
  <w:style w:type="paragraph" w:styleId="FootnoteText">
    <w:name w:val="footnote text"/>
    <w:basedOn w:val="Normal"/>
    <w:pPr/>
    <w:rPr>
      <w:sz w:val="20"/>
    </w:rPr>
  </w:style>
  <w:style w:type="paragraph" w:styleId="BodyTextIndent2">
    <w:name w:val="Body Text Indent 2"/>
    <w:basedOn w:val="Normal"/>
    <w:qFormat/>
    <w:pPr>
      <w:spacing w:lineRule="auto" w:line="480"/>
      <w:ind w:hanging="0" w:start="1440" w:end="0"/>
    </w:pPr>
    <w:rPr/>
  </w:style>
  <w:style w:type="paragraph" w:styleId="BodyTextIndent3">
    <w:name w:val="Body Text Indent 3"/>
    <w:basedOn w:val="Normal"/>
    <w:qFormat/>
    <w:pPr>
      <w:spacing w:lineRule="auto" w:line="480"/>
      <w:ind w:firstLine="720" w:start="1440" w:end="0"/>
    </w:pPr>
    <w:rPr>
      <w:b/>
    </w:rPr>
  </w:style>
  <w:style w:type="paragraph" w:styleId="titlebar">
    <w:name w:val="title bar"/>
    <w:basedOn w:val="Normal"/>
    <w:qFormat/>
    <w:pPr>
      <w:keepNext w:val="true"/>
      <w:suppressAutoHyphens w:val="true"/>
      <w:jc w:val="center"/>
    </w:pPr>
    <w:rPr>
      <w:rFonts w:ascii="Helvetica" w:hAnsi="Helvetica" w:cs="Helvetica"/>
      <w:b/>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2"/>
    </w:rPr>
  </w:style>
  <w:style w:type="paragraph" w:styleId="IndexHeading">
    <w:name w:val="index heading"/>
    <w:basedOn w:val="Normal"/>
    <w:next w:val="Index1"/>
    <w:pPr/>
    <w:rPr>
      <w:rFonts w:ascii="NewCenturySchlbk" w:hAnsi="NewCenturySchlbk" w:cs="NewCenturySchlbk"/>
    </w:rPr>
  </w:style>
  <w:style w:type="paragraph" w:styleId="Index1">
    <w:name w:val="index 1"/>
    <w:basedOn w:val="Normal"/>
    <w:next w:val="Index2"/>
    <w:pPr>
      <w:keepNext w:val="true"/>
      <w:keepLines/>
      <w:spacing w:lineRule="atLeast" w:line="240" w:before="240" w:after="0"/>
      <w:jc w:val="center"/>
    </w:pPr>
    <w:rPr>
      <w:rFonts w:ascii="NewCenturySchlbk" w:hAnsi="NewCenturySchlbk" w:cs="NewCenturySchlbk"/>
      <w:b/>
    </w:rPr>
  </w:style>
  <w:style w:type="paragraph" w:styleId="Index2">
    <w:name w:val="index 2"/>
    <w:basedOn w:val="Normal"/>
    <w:pPr>
      <w:keepNext w:val="true"/>
      <w:keepLines/>
      <w:tabs>
        <w:tab w:val="clear" w:pos="720"/>
        <w:tab w:val="right" w:pos="8640" w:leader="dot"/>
      </w:tabs>
      <w:spacing w:lineRule="atLeast" w:line="240" w:before="120" w:after="0"/>
      <w:ind w:hanging="360" w:start="360" w:end="1440"/>
    </w:pPr>
    <w:rPr>
      <w:rFonts w:ascii="NewCenturySchlbk" w:hAnsi="NewCenturySchlbk" w:cs="NewCenturySchlbk"/>
    </w:rPr>
  </w:style>
  <w:style w:type="paragraph" w:styleId="Heading1Text">
    <w:name w:val="Heading 1 Text"/>
    <w:basedOn w:val="Normal"/>
    <w:qFormat/>
    <w:pPr>
      <w:spacing w:lineRule="atLeast" w:line="480"/>
      <w:ind w:firstLine="720" w:start="0" w:end="0"/>
    </w:pPr>
    <w:rPr>
      <w:rFonts w:ascii="NewCenturySchlbk" w:hAnsi="NewCenturySchlbk" w:cs="NewCenturySchlbk"/>
    </w:rPr>
  </w:style>
  <w:style w:type="paragraph" w:styleId="Heading2Text">
    <w:name w:val="Heading 2 Text"/>
    <w:basedOn w:val="Heading1Text"/>
    <w:qFormat/>
    <w:pPr/>
    <w:rPr/>
  </w:style>
  <w:style w:type="paragraph" w:styleId="Heading4Text">
    <w:name w:val="Heading 4 Text"/>
    <w:basedOn w:val="Heading2Text"/>
    <w:qFormat/>
    <w:pPr>
      <w:ind w:firstLine="720" w:start="1440" w:end="0"/>
    </w:pPr>
    <w:rPr/>
  </w:style>
  <w:style w:type="paragraph" w:styleId="standard">
    <w:name w:val="standard"/>
    <w:basedOn w:val="Normal"/>
    <w:qFormat/>
    <w:pPr>
      <w:widowControl w:val="false"/>
      <w:overflowPunct w:val="false"/>
      <w:autoSpaceDE w:val="false"/>
      <w:spacing w:lineRule="auto" w:line="360"/>
      <w:ind w:firstLine="720" w:start="0" w:end="0"/>
      <w:textAlignment w:val="baseline"/>
    </w:pPr>
    <w:rPr>
      <w:rFonts w:ascii="Palatino;Book Antiqua" w:hAnsi="Palatino;Book Antiqua" w:cs="Palatino;Book Antiqua"/>
      <w:sz w:val="26"/>
    </w:rPr>
  </w:style>
  <w:style w:type="paragraph" w:styleId="bodytextcontinued">
    <w:name w:val="bodytextcontinued"/>
    <w:basedOn w:val="Normal"/>
    <w:qFormat/>
    <w:pPr>
      <w:spacing w:before="100" w:after="100"/>
    </w:pPr>
    <w:rPr>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2001-11-16T16:30:00Z</dcterms:created>
  <dc:creator/>
  <dc:description/>
  <dc:language>en-CA</dc:language>
  <cp:lastModifiedBy>Rachel Molina</cp:lastModifiedBy>
  <cp:lastPrinted>2001-11-15T17:07:00Z</cp:lastPrinted>
  <dcterms:modified xsi:type="dcterms:W3CDTF">2001-11-16T22:08:00Z</dcterms:modified>
  <cp:revision>12</cp:revision>
  <dc:subject/>
  <dc:title/>
</cp:coreProperties>
</file>