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Certified DA Affidavit Verification</w:t>
      </w:r>
    </w:p>
    <w:p>
      <w:pPr>
        <w:pStyle w:val="Normal"/>
        <w:jc w:val="center"/>
        <w:rPr>
          <w:rFonts w:ascii="Arial" w:hAnsi="Arial" w:cs="Arial"/>
          <w:b/>
          <w:sz w:val="22"/>
        </w:rPr>
      </w:pPr>
      <w:r>
        <w:rPr>
          <w:rFonts w:cs="Arial" w:ascii="Arial" w:hAnsi="Arial"/>
          <w:b/>
          <w:sz w:val="22"/>
        </w:rPr>
      </w:r>
    </w:p>
    <w:p>
      <w:pPr>
        <w:pStyle w:val="Normal"/>
        <w:rPr>
          <w:rFonts w:ascii="Arial" w:hAnsi="Arial" w:cs="Arial"/>
          <w:sz w:val="22"/>
        </w:rPr>
      </w:pPr>
      <w:r>
        <w:rPr>
          <w:rFonts w:cs="Arial" w:ascii="Arial" w:hAnsi="Arial"/>
          <w:sz w:val="22"/>
        </w:rPr>
        <w:t xml:space="preserve">The following proposal provides the Commission with an alternative means for Utilities to ensure that no DASRs are accepted for any contracts and agreements between ESPs and their customers entered into after September 20, 2001.  This proposed process would endeavor to validate DASR requests through the use of a certified affidavit which would be prepared and certified by the ESP and attested to by an independent Certified Public Accountant (CPA).  This validation process, which has been termed Certified DA Affidavit, is required to ensure all Direct Access requests processed since September 20 meet the requirements of Decisions 01-09-060 and 01-10-036.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The utilities recognize, however, that the processes necessary to implement this proposal would be very complex due to protocols necessary to ensure the affidavits contain the information of sufficient quality to allow validation to occur.   The following provides only an overview of the Certified DA Affidavit Verification process for parties’ review.  If the Commission adopts the following proposal in concept, Utilities will need to further define the specific criteria and process requirements. </w:t>
      </w:r>
    </w:p>
    <w:p>
      <w:pPr>
        <w:pStyle w:val="Normal"/>
        <w:rPr>
          <w:rFonts w:ascii="Arial" w:hAnsi="Arial" w:cs="Arial"/>
          <w:sz w:val="22"/>
          <w:u w:val="single"/>
        </w:rPr>
      </w:pPr>
      <w:r>
        <w:rPr>
          <w:rFonts w:cs="Arial" w:ascii="Arial" w:hAnsi="Arial"/>
          <w:sz w:val="22"/>
          <w:u w:val="single"/>
        </w:rPr>
      </w:r>
    </w:p>
    <w:p>
      <w:pPr>
        <w:pStyle w:val="Heading5"/>
        <w:ind w:start="0" w:end="0"/>
        <w:rPr/>
      </w:pPr>
      <w:r>
        <w:rPr>
          <w:rPrChange w:id="0" w:author="Unknown" w:date="0-00-00T00:00:00Z"/>
        </w:rPr>
        <w:t xml:space="preserve">A.  Overview: </w:t>
      </w:r>
    </w:p>
    <w:p>
      <w:pPr>
        <w:pStyle w:val="Normal"/>
        <w:ind w:start="360" w:end="0"/>
        <w:rPr/>
      </w:pPr>
      <w:r>
        <w:rPr>
          <w:rFonts w:cs="Arial" w:ascii="Arial" w:hAnsi="Arial"/>
          <w:sz w:val="22"/>
        </w:rPr>
        <w:t xml:space="preserve">The verification process will be comprised of a Certified DA Affidavit containing </w:t>
      </w:r>
      <w:r>
        <w:rPr>
          <w:rFonts w:cs="Arial" w:ascii="Arial" w:hAnsi="Arial"/>
          <w:sz w:val="22"/>
          <w:u w:val="single"/>
        </w:rPr>
        <w:t xml:space="preserve">the specific contract language necessary to </w:t>
      </w:r>
      <w:r>
        <w:rPr>
          <w:rFonts w:cs="Arial" w:ascii="Arial" w:hAnsi="Arial"/>
          <w:sz w:val="22"/>
        </w:rPr>
        <w:t xml:space="preserve">ensure that DASRs are accepted for only contracts between ESPs and their customers entered into September 20, 2001 or before, CPA review, and the classification of direct access service requests (DASRs).       </w:t>
      </w:r>
    </w:p>
    <w:p>
      <w:pPr>
        <w:pStyle w:val="Normal"/>
        <w:ind w:start="360" w:end="0"/>
        <w:rPr>
          <w:rFonts w:ascii="Arial" w:hAnsi="Arial" w:cs="Arial"/>
          <w:sz w:val="22"/>
        </w:rPr>
      </w:pPr>
      <w:r>
        <w:rPr>
          <w:rFonts w:cs="Arial" w:ascii="Arial" w:hAnsi="Arial"/>
          <w:sz w:val="22"/>
        </w:rPr>
      </w:r>
    </w:p>
    <w:p>
      <w:pPr>
        <w:pStyle w:val="Normal"/>
        <w:ind w:start="360" w:end="0"/>
        <w:rPr>
          <w:rFonts w:ascii="Arial" w:hAnsi="Arial" w:cs="Arial"/>
          <w:sz w:val="22"/>
        </w:rPr>
      </w:pPr>
      <w:r>
        <w:rPr>
          <w:rFonts w:cs="Arial" w:ascii="Arial" w:hAnsi="Arial"/>
          <w:sz w:val="22"/>
        </w:rPr>
        <w:t>The proposed DASR verification process contains four (4) distinct elements:</w:t>
      </w:r>
    </w:p>
    <w:p>
      <w:pPr>
        <w:pStyle w:val="Normal"/>
        <w:ind w:start="360" w:end="0"/>
        <w:rPr>
          <w:rFonts w:ascii="Arial" w:hAnsi="Arial" w:cs="Arial"/>
          <w:sz w:val="22"/>
        </w:rPr>
      </w:pPr>
      <w:r>
        <w:rPr>
          <w:rFonts w:cs="Arial" w:ascii="Arial" w:hAnsi="Arial"/>
          <w:sz w:val="22"/>
        </w:rPr>
      </w:r>
    </w:p>
    <w:p>
      <w:pPr>
        <w:pStyle w:val="Normal"/>
        <w:numPr>
          <w:ilvl w:val="2"/>
          <w:numId w:val="6"/>
        </w:numPr>
        <w:rPr>
          <w:rFonts w:ascii="Arial" w:hAnsi="Arial" w:cs="Arial"/>
          <w:sz w:val="22"/>
        </w:rPr>
      </w:pPr>
      <w:r>
        <w:rPr>
          <w:rFonts w:cs="Arial" w:ascii="Arial" w:hAnsi="Arial"/>
          <w:sz w:val="22"/>
        </w:rPr>
        <w:t>DASR must meet all the requirements and rules set forth in Section III.A of the utilities joint proposal.</w:t>
      </w:r>
    </w:p>
    <w:p>
      <w:pPr>
        <w:pStyle w:val="Normal"/>
        <w:numPr>
          <w:ilvl w:val="2"/>
          <w:numId w:val="6"/>
        </w:numPr>
        <w:rPr>
          <w:rFonts w:ascii="Arial" w:hAnsi="Arial" w:cs="Arial"/>
          <w:sz w:val="22"/>
        </w:rPr>
      </w:pPr>
      <w:r>
        <w:rPr>
          <w:rFonts w:cs="Arial" w:ascii="Arial" w:hAnsi="Arial"/>
          <w:sz w:val="22"/>
        </w:rPr>
        <w:t>DASR verification is based on a Certified DA Affidavit prepared and certified by the ESP and attested to by a qualified independent CPA and must meet conditions to be set forth by the Utilities. Utilities must receive the required verification documents directly from the CPA and will not accept Direct Access service agreements/contracts executed by an ESP as a substitute for a Certified DA Affidavit to satisfy verification requirements.</w:t>
      </w:r>
    </w:p>
    <w:p>
      <w:pPr>
        <w:pStyle w:val="Normal"/>
        <w:rPr>
          <w:rFonts w:ascii="Arial" w:hAnsi="Arial" w:cs="Arial"/>
          <w:sz w:val="22"/>
        </w:rPr>
      </w:pPr>
      <w:r>
        <w:rPr>
          <w:rFonts w:cs="Arial" w:ascii="Arial" w:hAnsi="Arial"/>
          <w:sz w:val="22"/>
        </w:rPr>
      </w:r>
    </w:p>
    <w:p>
      <w:pPr>
        <w:pStyle w:val="Normal"/>
        <w:numPr>
          <w:ilvl w:val="2"/>
          <w:numId w:val="6"/>
        </w:numPr>
        <w:rPr>
          <w:rFonts w:ascii="Arial" w:hAnsi="Arial" w:cs="Arial"/>
          <w:sz w:val="22"/>
        </w:rPr>
      </w:pPr>
      <w:r>
        <w:rPr>
          <w:rFonts w:cs="Arial" w:ascii="Arial" w:hAnsi="Arial"/>
          <w:sz w:val="22"/>
        </w:rPr>
        <w:t xml:space="preserve">DASRs will be classified by the ESP into one of two categories: </w:t>
      </w:r>
    </w:p>
    <w:p>
      <w:pPr>
        <w:pStyle w:val="Normal"/>
        <w:rPr>
          <w:rFonts w:ascii="Arial" w:hAnsi="Arial" w:cs="Arial"/>
          <w:sz w:val="22"/>
        </w:rPr>
      </w:pPr>
      <w:r>
        <w:rPr>
          <w:rFonts w:cs="Arial" w:ascii="Arial" w:hAnsi="Arial"/>
          <w:sz w:val="22"/>
        </w:rPr>
      </w:r>
    </w:p>
    <w:p>
      <w:pPr>
        <w:pStyle w:val="BULLETS"/>
        <w:numPr>
          <w:ilvl w:val="0"/>
          <w:numId w:val="4"/>
        </w:numPr>
        <w:ind w:hanging="1980" w:start="2880" w:end="0"/>
        <w:rPr>
          <w:rFonts w:ascii="Arial" w:hAnsi="Arial" w:cs="Arial"/>
        </w:rPr>
      </w:pPr>
      <w:r>
        <w:rPr>
          <w:rFonts w:cs="Arial" w:ascii="Arial" w:hAnsi="Arial"/>
        </w:rPr>
        <w:t xml:space="preserve">Category A: </w:t>
        <w:tab/>
        <w:t>The DASR in this category must clearly comply with all of the conditions set forth in Section C.1 below to allow for utility review and processing.</w:t>
      </w:r>
    </w:p>
    <w:p>
      <w:pPr>
        <w:pStyle w:val="BULLETS"/>
        <w:tabs>
          <w:tab w:val="clear" w:pos="1260"/>
        </w:tabs>
        <w:ind w:hanging="0" w:start="900" w:end="0"/>
        <w:rPr>
          <w:rFonts w:ascii="Arial" w:hAnsi="Arial" w:cs="Arial"/>
        </w:rPr>
      </w:pPr>
      <w:r>
        <w:rPr>
          <w:rFonts w:cs="Arial" w:ascii="Arial" w:hAnsi="Arial"/>
        </w:rPr>
      </w:r>
    </w:p>
    <w:p>
      <w:pPr>
        <w:pStyle w:val="BULLETS"/>
        <w:numPr>
          <w:ilvl w:val="0"/>
          <w:numId w:val="4"/>
        </w:numPr>
        <w:ind w:hanging="1980" w:start="2880" w:end="0"/>
        <w:rPr>
          <w:rFonts w:ascii="Arial" w:hAnsi="Arial" w:cs="Arial"/>
        </w:rPr>
      </w:pPr>
      <w:r>
        <w:rPr>
          <w:rFonts w:cs="Arial" w:ascii="Arial" w:hAnsi="Arial"/>
        </w:rPr>
        <w:t>Category B:</w:t>
        <w:tab/>
        <w:t>The DASR does not meet Category A conditions and therefore, requires CPUC review and approval before acceptance by the utility.</w:t>
      </w:r>
    </w:p>
    <w:p>
      <w:pPr>
        <w:pStyle w:val="BULLETS"/>
        <w:rPr>
          <w:rFonts w:ascii="Arial" w:hAnsi="Arial" w:cs="Arial"/>
        </w:rPr>
      </w:pPr>
      <w:r>
        <w:rPr>
          <w:rFonts w:cs="Arial" w:ascii="Arial" w:hAnsi="Arial"/>
        </w:rPr>
      </w:r>
    </w:p>
    <w:p>
      <w:pPr>
        <w:pStyle w:val="ITEMSnumbered"/>
        <w:ind w:start="1080" w:end="0"/>
        <w:rPr>
          <w:rFonts w:ascii="Arial" w:hAnsi="Arial" w:cs="Arial"/>
        </w:rPr>
      </w:pPr>
      <w:r>
        <w:rPr>
          <w:rFonts w:cs="Arial" w:ascii="Arial" w:hAnsi="Arial"/>
        </w:rPr>
        <w:t>4.  Properly processed DASRs within Category A and B are accepted by the utility.</w:t>
      </w:r>
    </w:p>
    <w:p>
      <w:pPr>
        <w:pStyle w:val="BodyTextIndent3"/>
        <w:ind w:start="720" w:end="0"/>
        <w:rPr>
          <w:rFonts w:ascii="Arial" w:hAnsi="Arial" w:cs="Arial"/>
        </w:rPr>
      </w:pPr>
      <w:r>
        <w:rPr>
          <w:rFonts w:cs="Arial"/>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All DASRs received by the Utilities after September 20 will be subject to the verification process. Utilities have processed DASRs since September 20 based on lists that the ESPs provided to Utilities on October 5.  ESPs must submit the appropriate verification for those accounts within one month after the Effective Date, which shall be the date the Commission issues a decision adopting this UDC proposal.  Any account which does not have the appropriate verification will be returned to Utility bundled service based on normal termination rules and timing.  In addition, if the Utility finds that the ESP’s verification is deficient (e.g., the verification is incomplete or contains conflicting information that cannot be reconciled), the account will be returned to Utility bundled service.</w:t>
      </w:r>
    </w:p>
    <w:p>
      <w:pPr>
        <w:pStyle w:val="Normal"/>
        <w:rPr>
          <w:rFonts w:ascii="Arial" w:hAnsi="Arial" w:cs="Arial"/>
          <w:sz w:val="22"/>
        </w:rPr>
      </w:pPr>
      <w:r>
        <w:rPr>
          <w:rFonts w:cs="Arial" w:ascii="Arial" w:hAnsi="Arial"/>
          <w:sz w:val="22"/>
        </w:rPr>
      </w:r>
    </w:p>
    <w:p>
      <w:pPr>
        <w:pStyle w:val="BodyTextIndent3"/>
        <w:ind w:start="0" w:end="0"/>
        <w:rPr/>
      </w:pPr>
      <w:r>
        <w:rPr/>
        <w:t>All new DASR submittals after the Effective Date (Commission decision date) must meet the verification process requirements as set forth in this section.</w:t>
      </w:r>
    </w:p>
    <w:p>
      <w:pPr>
        <w:pStyle w:val="BodyTextIndent3"/>
        <w:rPr>
          <w:b/>
        </w:rPr>
      </w:pPr>
      <w:r>
        <w:rPr>
          <w:b/>
        </w:rPr>
      </w:r>
    </w:p>
    <w:p>
      <w:pPr>
        <w:pStyle w:val="BodyTextIndent3"/>
        <w:ind w:start="0" w:end="0"/>
        <w:rPr>
          <w:b/>
        </w:rPr>
      </w:pPr>
      <w:r>
        <w:rPr>
          <w:b/>
        </w:rPr>
        <w:t>B.  Certified DA Affidavit and Process Overview</w:t>
      </w:r>
    </w:p>
    <w:p>
      <w:pPr>
        <w:pStyle w:val="Normal"/>
        <w:rPr/>
      </w:pPr>
      <w:r>
        <w:rPr>
          <w:rFonts w:cs="Arial" w:ascii="Arial" w:hAnsi="Arial"/>
          <w:sz w:val="22"/>
        </w:rPr>
        <w:t xml:space="preserve">The DA Affidavit shall contain the </w:t>
      </w:r>
      <w:r>
        <w:rPr>
          <w:rFonts w:cs="Arial" w:ascii="Arial" w:hAnsi="Arial"/>
          <w:sz w:val="22"/>
          <w:u w:val="single"/>
        </w:rPr>
        <w:t>specific contract language</w:t>
      </w:r>
      <w:r>
        <w:rPr>
          <w:rFonts w:cs="Arial" w:ascii="Arial" w:hAnsi="Arial"/>
          <w:sz w:val="22"/>
        </w:rPr>
        <w:t xml:space="preserve"> (including amendments, modifications and agreements) which satisfies Decision 01-10-036 requirements which are related to contract parties, term and service locations.  In addition, specific customer name/account information must be included in the DA Affidavit for any desired direct access switch.  The qualified independent CPA must attest to the accuracy of the data in the DA Affidavit and will include deviations, if any, from the DA Affidavit and the original contract.  This information will be provided to the UDCs in the form of a report submitted by the CPA.  The CPA’s attestation ensures the information contained in the DA Affidavit is accurate, complete and consistent with the contract.       </w:t>
      </w:r>
    </w:p>
    <w:p>
      <w:pPr>
        <w:pStyle w:val="Normal"/>
        <w:ind w:start="720" w:end="0"/>
        <w:rPr>
          <w:rFonts w:ascii="Arial" w:hAnsi="Arial" w:cs="Arial"/>
          <w:sz w:val="22"/>
        </w:rPr>
      </w:pPr>
      <w:r>
        <w:rPr>
          <w:rFonts w:cs="Arial" w:ascii="Arial" w:hAnsi="Arial"/>
          <w:sz w:val="22"/>
        </w:rPr>
        <w:t>Process Overview:</w:t>
      </w:r>
    </w:p>
    <w:p>
      <w:pPr>
        <w:pStyle w:val="Normal"/>
        <w:numPr>
          <w:ilvl w:val="0"/>
          <w:numId w:val="2"/>
        </w:numPr>
        <w:rPr>
          <w:rFonts w:ascii="Arial" w:hAnsi="Arial" w:cs="Arial"/>
          <w:sz w:val="22"/>
        </w:rPr>
      </w:pPr>
      <w:r>
        <w:rPr>
          <w:rFonts w:cs="Arial" w:ascii="Arial" w:hAnsi="Arial"/>
          <w:sz w:val="22"/>
        </w:rPr>
        <w:t>ESP completes and certifies DA Affidavit</w:t>
      </w:r>
      <w:r>
        <w:rPr>
          <w:rStyle w:val="FootnoteCharacters"/>
          <w:rStyle w:val="FootnoteReference"/>
          <w:rFonts w:cs="Arial" w:ascii="Arial" w:hAnsi="Arial"/>
          <w:sz w:val="22"/>
        </w:rPr>
        <w:footnoteReference w:customMarkFollows="1" w:id="2"/>
        <w:t>1</w:t>
      </w:r>
      <w:r>
        <w:rPr>
          <w:rFonts w:cs="Arial" w:ascii="Arial" w:hAnsi="Arial"/>
          <w:sz w:val="22"/>
        </w:rPr>
        <w:t xml:space="preserve"> and identifies DASR category</w:t>
      </w:r>
      <w:r>
        <w:rPr>
          <w:rStyle w:val="FootnoteCharacters"/>
          <w:rStyle w:val="FootnoteReference"/>
          <w:rFonts w:cs="Arial" w:ascii="Arial" w:hAnsi="Arial"/>
          <w:sz w:val="22"/>
        </w:rPr>
        <w:footnoteReference w:customMarkFollows="1" w:id="3"/>
        <w:t>1</w:t>
      </w:r>
      <w:r>
        <w:rPr>
          <w:rFonts w:cs="Arial" w:ascii="Arial" w:hAnsi="Arial"/>
          <w:sz w:val="22"/>
        </w:rPr>
        <w:t xml:space="preserve">.  </w:t>
      </w:r>
    </w:p>
    <w:p>
      <w:pPr>
        <w:pStyle w:val="Heading6"/>
        <w:numPr>
          <w:ilvl w:val="0"/>
          <w:numId w:val="2"/>
        </w:numPr>
        <w:rPr/>
      </w:pPr>
      <w:r>
        <w:rPr/>
        <w:t>ESP engages a qualified</w:t>
      </w:r>
      <w:r>
        <w:rPr>
          <w:rStyle w:val="FootnoteCharacters"/>
          <w:rStyle w:val="FootnoteReference"/>
        </w:rPr>
        <w:footnoteReference w:customMarkFollows="1" w:id="4"/>
        <w:t>1</w:t>
      </w:r>
      <w:r>
        <w:rPr/>
        <w:t xml:space="preserve"> independent CPA at its own expense to attest to the accuracy of the DA Affidavit.</w:t>
      </w:r>
    </w:p>
    <w:p>
      <w:pPr>
        <w:pStyle w:val="Heading6"/>
        <w:numPr>
          <w:ilvl w:val="0"/>
          <w:numId w:val="2"/>
        </w:numPr>
        <w:rPr/>
      </w:pPr>
      <w:r>
        <w:rPr/>
        <w:t>CPA submits its report</w:t>
      </w:r>
      <w:r>
        <w:rPr>
          <w:rStyle w:val="FootnoteCharacters"/>
          <w:rStyle w:val="FootnoteReference"/>
        </w:rPr>
        <w:footnoteReference w:customMarkFollows="1" w:id="5"/>
        <w:t>1</w:t>
      </w:r>
      <w:r>
        <w:rPr/>
        <w:t xml:space="preserve"> which includes the DA Affidavit directly to the UDC.  CPA standard protocols will be utilized for the audit and reporting functions.</w:t>
      </w:r>
    </w:p>
    <w:p>
      <w:pPr>
        <w:pStyle w:val="Normal"/>
        <w:numPr>
          <w:ilvl w:val="0"/>
          <w:numId w:val="2"/>
        </w:numPr>
        <w:rPr>
          <w:rFonts w:ascii="Arial" w:hAnsi="Arial" w:cs="Arial"/>
          <w:sz w:val="22"/>
        </w:rPr>
      </w:pPr>
      <w:r>
        <w:rPr>
          <w:rFonts w:cs="Arial" w:ascii="Arial" w:hAnsi="Arial"/>
          <w:sz w:val="22"/>
        </w:rPr>
        <w:t>Utility reviews the Certified DA Affidavit and confirms processing eligibility. Certified DA Affidavits rejected due to incorrect or incomplete verification requirements  (including category classification) will be referred back to the ESP.  Once completed, ESPs may resubmit the Certified DA Affidavit for re-verification through the CPA process.</w:t>
      </w:r>
    </w:p>
    <w:p>
      <w:pPr>
        <w:pStyle w:val="Normal"/>
        <w:numPr>
          <w:ilvl w:val="0"/>
          <w:numId w:val="2"/>
        </w:numPr>
        <w:rPr>
          <w:rFonts w:ascii="Arial" w:hAnsi="Arial" w:cs="Arial"/>
          <w:sz w:val="22"/>
        </w:rPr>
      </w:pPr>
      <w:r>
        <w:rPr>
          <w:rFonts w:cs="Arial" w:ascii="Arial" w:hAnsi="Arial"/>
          <w:sz w:val="22"/>
        </w:rPr>
        <w:t>Utility will check Category B DASRs for completeness and refer to the CPUC for approval.</w:t>
      </w:r>
    </w:p>
    <w:p>
      <w:pPr>
        <w:pStyle w:val="Normal"/>
        <w:numPr>
          <w:ilvl w:val="0"/>
          <w:numId w:val="2"/>
        </w:numPr>
        <w:rPr>
          <w:rFonts w:ascii="Arial" w:hAnsi="Arial" w:cs="Arial"/>
          <w:sz w:val="22"/>
        </w:rPr>
      </w:pPr>
      <w:r>
        <w:rPr>
          <w:rFonts w:cs="Arial" w:ascii="Arial" w:hAnsi="Arial"/>
          <w:sz w:val="22"/>
        </w:rPr>
        <w:t xml:space="preserve">Once ESP submits DASR for confirmed Category A or Commission approved Category B DASRs, UDC will process under normal DASR switching rules.  </w:t>
      </w:r>
    </w:p>
    <w:p>
      <w:pPr>
        <w:pStyle w:val="Normal"/>
        <w:ind w:start="720" w:end="0"/>
        <w:rPr/>
      </w:pPr>
      <w:r>
        <w:rPr/>
        <w:br/>
      </w:r>
    </w:p>
    <w:p>
      <w:pPr>
        <w:pStyle w:val="Normal"/>
        <w:ind w:start="720" w:end="0"/>
        <w:rPr/>
      </w:pPr>
      <w:r>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b/>
          <w:sz w:val="22"/>
        </w:rPr>
        <w:t>C.  Discussion of Category Classification</w:t>
      </w:r>
    </w:p>
    <w:p>
      <w:pPr>
        <w:pStyle w:val="BodyTextIndent3"/>
        <w:ind w:start="0" w:end="0"/>
        <w:rPr/>
      </w:pPr>
      <w:r>
        <w:rPr/>
        <w:t>The DASR classification has been established to allow ESPs to manage the submittal and processing of DASRs consistently across ESPs and utilities.  ESPs and Utilities will use the same information to determine if a DASR is in Category A or Category B.  The ESP will identify the appropriate Category in their Certified DA Affidavit.</w:t>
      </w:r>
    </w:p>
    <w:p>
      <w:pPr>
        <w:pStyle w:val="BodyTextIndent3"/>
        <w:ind w:start="0" w:end="0"/>
        <w:rPr/>
      </w:pPr>
      <w:r>
        <w:rPr/>
      </w:r>
    </w:p>
    <w:p>
      <w:pPr>
        <w:pStyle w:val="BodyTextIndent3"/>
        <w:ind w:start="0" w:end="0"/>
        <w:rPr/>
      </w:pPr>
      <w:r>
        <w:rPr/>
        <w:t>Upon receipt of the Certified DA Affidavit from the CPA, the Utility will verify the Category.  Verified Category A DASRs will be processed based on normal DASR processing rules after verification has been completed. Category B DASRs will be checked for completeness by the Utility and referred to the Commission for approval. Commission approval of exception cases will ensure statewide consistency and compliance with Commission intent of DA Suspension.  Once approved by the Commission, Category B DASRs will be processed based on normal DASR processing rules.</w:t>
      </w:r>
    </w:p>
    <w:p>
      <w:pPr>
        <w:pStyle w:val="BodyTextIndent3"/>
        <w:ind w:start="0" w:end="0"/>
        <w:rPr/>
      </w:pPr>
      <w:r>
        <w:rPr/>
      </w:r>
    </w:p>
    <w:p>
      <w:pPr>
        <w:pStyle w:val="BodyTextIndent3"/>
        <w:numPr>
          <w:ilvl w:val="2"/>
          <w:numId w:val="5"/>
        </w:numPr>
        <w:tabs>
          <w:tab w:val="clear" w:pos="720"/>
          <w:tab w:val="left" w:pos="360" w:leader="none"/>
        </w:tabs>
        <w:ind w:hanging="360" w:start="360" w:end="0"/>
        <w:rPr/>
      </w:pPr>
      <w:r>
        <w:rPr/>
        <w:t>Category A Criteria</w:t>
      </w:r>
    </w:p>
    <w:p>
      <w:pPr>
        <w:pStyle w:val="Normal"/>
        <w:numPr>
          <w:ilvl w:val="3"/>
          <w:numId w:val="3"/>
        </w:numPr>
        <w:tabs>
          <w:tab w:val="left" w:pos="720" w:leader="none"/>
        </w:tabs>
        <w:ind w:hanging="360" w:start="720" w:end="0"/>
        <w:rPr>
          <w:rFonts w:ascii="Arial" w:hAnsi="Arial" w:cs="Arial"/>
          <w:sz w:val="22"/>
        </w:rPr>
      </w:pPr>
      <w:r>
        <w:rPr>
          <w:rFonts w:cs="Arial" w:ascii="Arial" w:hAnsi="Arial"/>
          <w:sz w:val="22"/>
        </w:rPr>
        <w:t xml:space="preserve">Contract (including amendments, modifications and agreements) signed by both ESP and ESP’s customer on or before 9/20/01.  </w:t>
      </w:r>
    </w:p>
    <w:p>
      <w:pPr>
        <w:pStyle w:val="Normal"/>
        <w:numPr>
          <w:ilvl w:val="3"/>
          <w:numId w:val="3"/>
        </w:numPr>
        <w:tabs>
          <w:tab w:val="left" w:pos="720" w:leader="none"/>
        </w:tabs>
        <w:ind w:hanging="360" w:start="720" w:end="0"/>
        <w:rPr>
          <w:rFonts w:ascii="Arial" w:hAnsi="Arial" w:cs="Arial"/>
          <w:sz w:val="22"/>
        </w:rPr>
      </w:pPr>
      <w:r>
        <w:rPr>
          <w:rFonts w:cs="Arial" w:ascii="Arial" w:hAnsi="Arial"/>
          <w:sz w:val="22"/>
        </w:rPr>
        <w:t xml:space="preserve">Contract in effect as of 9/20/01 and contract will not terminate before DASR processing is completed.  </w:t>
      </w:r>
    </w:p>
    <w:p>
      <w:pPr>
        <w:pStyle w:val="Normal"/>
        <w:numPr>
          <w:ilvl w:val="3"/>
          <w:numId w:val="3"/>
        </w:numPr>
        <w:tabs>
          <w:tab w:val="left" w:pos="720" w:leader="none"/>
        </w:tabs>
        <w:ind w:hanging="360" w:start="720" w:end="0"/>
        <w:rPr>
          <w:rFonts w:ascii="Arial" w:hAnsi="Arial" w:cs="Arial"/>
          <w:sz w:val="22"/>
        </w:rPr>
      </w:pPr>
      <w:r>
        <w:rPr>
          <w:rFonts w:cs="Arial" w:ascii="Arial" w:hAnsi="Arial"/>
          <w:sz w:val="22"/>
        </w:rPr>
        <w:t>Contract identifies DASR account name as party in contract.</w:t>
      </w:r>
    </w:p>
    <w:p>
      <w:pPr>
        <w:pStyle w:val="Normal"/>
        <w:numPr>
          <w:ilvl w:val="3"/>
          <w:numId w:val="3"/>
        </w:numPr>
        <w:tabs>
          <w:tab w:val="left" w:pos="720" w:leader="none"/>
        </w:tabs>
        <w:ind w:hanging="360" w:start="720" w:end="0"/>
        <w:rPr>
          <w:rFonts w:ascii="Arial" w:hAnsi="Arial" w:cs="Arial"/>
          <w:sz w:val="22"/>
        </w:rPr>
      </w:pPr>
      <w:r>
        <w:rPr>
          <w:rFonts w:cs="Arial" w:ascii="Arial" w:hAnsi="Arial"/>
          <w:sz w:val="22"/>
        </w:rPr>
        <w:t>Contract identifies DASR service address in contract.</w:t>
      </w:r>
    </w:p>
    <w:p>
      <w:pPr>
        <w:pStyle w:val="Normal"/>
        <w:numPr>
          <w:ilvl w:val="3"/>
          <w:numId w:val="3"/>
        </w:numPr>
        <w:tabs>
          <w:tab w:val="left" w:pos="720" w:leader="none"/>
        </w:tabs>
        <w:ind w:hanging="360" w:start="720" w:end="0"/>
        <w:rPr>
          <w:rFonts w:ascii="Arial" w:hAnsi="Arial" w:cs="Arial"/>
          <w:sz w:val="22"/>
        </w:rPr>
      </w:pPr>
      <w:r>
        <w:rPr>
          <w:rFonts w:cs="Arial" w:ascii="Arial" w:hAnsi="Arial"/>
          <w:sz w:val="22"/>
        </w:rPr>
        <w:t>DASR account name is included in the ESP’s 10/5/01</w:t>
      </w:r>
      <w:r>
        <w:rPr>
          <w:rStyle w:val="FootnoteCharacters"/>
          <w:rStyle w:val="FootnoteReference"/>
          <w:rFonts w:cs="Arial" w:ascii="Arial" w:hAnsi="Arial"/>
          <w:sz w:val="22"/>
        </w:rPr>
        <w:footnoteReference w:id="6"/>
      </w:r>
      <w:r>
        <w:rPr>
          <w:rFonts w:cs="Arial" w:ascii="Arial" w:hAnsi="Arial"/>
          <w:sz w:val="22"/>
        </w:rPr>
        <w:t xml:space="preserve"> lists provided to Utilities.</w:t>
      </w:r>
    </w:p>
    <w:p>
      <w:pPr>
        <w:pStyle w:val="Normal"/>
        <w:numPr>
          <w:ilvl w:val="3"/>
          <w:numId w:val="3"/>
        </w:numPr>
        <w:tabs>
          <w:tab w:val="left" w:pos="720" w:leader="none"/>
        </w:tabs>
        <w:ind w:hanging="360" w:start="720" w:end="0"/>
        <w:rPr/>
      </w:pPr>
      <w:r>
        <w:rPr>
          <w:rFonts w:cs="Arial" w:ascii="Arial" w:hAnsi="Arial"/>
          <w:sz w:val="22"/>
        </w:rPr>
        <w:t>CPA meets qualification standards.</w:t>
      </w:r>
    </w:p>
    <w:p>
      <w:pPr>
        <w:pStyle w:val="BodyTextIndent3"/>
        <w:ind w:start="0" w:end="0"/>
        <w:rPr/>
      </w:pPr>
      <w:r>
        <w:rPr/>
      </w:r>
    </w:p>
    <w:p>
      <w:pPr>
        <w:pStyle w:val="Normal"/>
        <w:ind w:start="1080" w:end="0"/>
        <w:rPr/>
      </w:pPr>
      <w:r>
        <w:rPr>
          <w:rFonts w:cs="Arial" w:ascii="Arial" w:hAnsi="Arial"/>
          <w:sz w:val="22"/>
        </w:rPr>
        <w:t>Note:  Example of Category B DASRs may include those DASRs associated with contracts in which the contract termination date is unclear, the contract purports to include an entity whose identity is not clearly ascertainable, or the DASR is associated with a customer whose name was not identified on the ESP’s 10/5/01 list that was provided to the Utilities</w:t>
      </w:r>
      <w:r>
        <w:rPr/>
        <w:t>.</w:t>
      </w:r>
    </w:p>
    <w:p>
      <w:pPr>
        <w:pStyle w:val="Normal"/>
        <w:ind w:start="1080" w:end="0"/>
        <w:rPr/>
      </w:pPr>
      <w:r>
        <w:rPr/>
      </w:r>
    </w:p>
    <w:p>
      <w:pPr>
        <w:pStyle w:val="Normal"/>
        <w:rPr/>
      </w:pPr>
      <w:r>
        <w:rPr/>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1440" w:top="1496"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Palatino">
    <w:altName w:val="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ind w:hanging="446" w:start="446" w:end="0"/>
        <w:rPr/>
      </w:pPr>
      <w:r>
        <w:rPr>
          <w:rStyle w:val="FootnoteCharacters"/>
        </w:rPr>
        <w:t>1</w:t>
      </w:r>
      <w:r>
        <w:rPr>
          <w:rFonts w:cs="Arial" w:ascii="Arial" w:hAnsi="Arial"/>
          <w:sz w:val="20"/>
        </w:rPr>
        <w:t xml:space="preserve"> </w:t>
      </w:r>
      <w:r>
        <w:rPr>
          <w:rFonts w:cs="Arial" w:ascii="Arial" w:hAnsi="Arial"/>
          <w:sz w:val="20"/>
        </w:rPr>
        <w:t>Product/Qualification will have defined criteria/content/form.</w:t>
      </w:r>
    </w:p>
  </w:footnote>
  <w:footnote w:id="3">
    <w:p>
      <w:pPr>
        <w:pStyle w:val="FootnoteText"/>
        <w:spacing w:before="0" w:after="120"/>
        <w:ind w:hanging="446" w:start="446" w:end="0"/>
        <w:rPr/>
      </w:pPr>
      <w:r>
        <w:rPr>
          <w:rStyle w:val="FootnoteCharacters"/>
        </w:rPr>
        <w:t>1</w:t>
      </w:r>
      <w:r>
        <w:rPr/>
      </w:r>
    </w:p>
  </w:footnote>
  <w:footnote w:id="4">
    <w:p>
      <w:pPr>
        <w:pStyle w:val="FootnoteText"/>
        <w:spacing w:before="0" w:after="120"/>
        <w:ind w:hanging="446" w:start="446" w:end="0"/>
        <w:rPr/>
      </w:pPr>
      <w:r>
        <w:rPr>
          <w:rStyle w:val="FootnoteCharacters"/>
        </w:rPr>
        <w:t>1</w:t>
      </w:r>
      <w:r>
        <w:rPr/>
      </w:r>
    </w:p>
  </w:footnote>
  <w:footnote w:id="5">
    <w:p>
      <w:pPr>
        <w:pStyle w:val="FootnoteText"/>
        <w:spacing w:before="0" w:after="120"/>
        <w:ind w:hanging="446" w:start="446" w:end="0"/>
        <w:rPr/>
      </w:pPr>
      <w:r>
        <w:rPr>
          <w:rStyle w:val="FootnoteCharacters"/>
        </w:rPr>
        <w:t>1</w:t>
      </w:r>
      <w:r>
        <w:rPr/>
      </w:r>
    </w:p>
  </w:footnote>
  <w:footnote w:id="6">
    <w:p>
      <w:pPr>
        <w:pStyle w:val="FootnoteText"/>
        <w:spacing w:before="0" w:after="120"/>
        <w:ind w:hanging="446" w:start="446" w:end="0"/>
        <w:rPr/>
      </w:pPr>
      <w:r>
        <w:rPr>
          <w:rStyle w:val="FootnoteCharacters"/>
        </w:rPr>
        <w:footnoteRef/>
      </w:r>
      <w:r>
        <w:rPr>
          <w:rFonts w:cs="Arial" w:ascii="Arial" w:hAnsi="Arial"/>
          <w:sz w:val="20"/>
        </w:rPr>
        <w:t xml:space="preserve"> </w:t>
      </w:r>
      <w:r>
        <w:rPr>
          <w:rFonts w:cs="Arial" w:ascii="Arial" w:hAnsi="Arial"/>
          <w:sz w:val="20"/>
        </w:rPr>
        <w:t>For PG&amp;E and SDG&amp;E, the further requirements are set forth in footnote 9 to the Joint Proposal.</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Public Utilities Commission</w:t>
      <w:tab/>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3</w:t>
    </w:r>
    <w:r>
      <w:rPr>
        <w:rStyle w:val="PageNumber"/>
        <w:sz w:val="22"/>
        <w:rFonts w:cs="Arial" w:ascii="Arial" w:hAnsi="Arial"/>
      </w:rPr>
      <w:fldChar w:fldCharType="end"/>
    </w:r>
    <w:r>
      <w:rPr>
        <w:rStyle w:val="PageNumber"/>
        <w:rFonts w:cs="Arial" w:ascii="Arial" w:hAnsi="Arial"/>
        <w:sz w:val="22"/>
      </w:rPr>
      <w:tab/>
      <w:t>October 12, 2001</w:t>
    </w:r>
  </w:p>
  <w:p>
    <w:pPr>
      <w:pStyle w:val="Header"/>
      <w:rPr>
        <w:rFonts w:ascii="Arial" w:hAnsi="Arial" w:cs="Arial"/>
        <w:sz w:val="22"/>
      </w:rPr>
    </w:pPr>
    <w:r>
      <w:rPr>
        <w:rFonts w:cs="Arial" w:ascii="Arial" w:hAnsi="Arial"/>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360"/>
      </w:pPr>
      <w:rPr/>
    </w:lvl>
  </w:abstractNum>
  <w:abstractNum w:abstractNumId="3">
    <w:lvl w:ilvl="0">
      <w:start w:val="1"/>
      <w:numFmt w:val="decimal"/>
      <w:lvlText w:val="%1."/>
      <w:lvlJc w:val="start"/>
      <w:pPr>
        <w:tabs>
          <w:tab w:val="num" w:pos="360"/>
        </w:tabs>
        <w:ind w:start="360" w:hanging="360"/>
      </w:pPr>
    </w:lvl>
    <w:lvl w:ilvl="1">
      <w:start w:val="1"/>
      <w:numFmt w:val="upperLetter"/>
      <w:lvlText w:val="%2."/>
      <w:lvlJc w:val="start"/>
      <w:pPr>
        <w:tabs>
          <w:tab w:val="num" w:pos="720"/>
        </w:tabs>
        <w:ind w:start="720" w:hanging="360"/>
      </w:pPr>
    </w:lvl>
    <w:lvl w:ilvl="2">
      <w:start w:val="1"/>
      <w:numFmt w:val="decimal"/>
      <w:lvlText w:val="%3."/>
      <w:lvlJc w:val="start"/>
      <w:pPr>
        <w:tabs>
          <w:tab w:val="num" w:pos="1080"/>
        </w:tabs>
        <w:ind w:start="1080" w:hanging="360"/>
      </w:pPr>
    </w:lvl>
    <w:lvl w:ilvl="3">
      <w:start w:val="1"/>
      <w:numFmt w:val="lowerLetter"/>
      <w:lvlText w:val="(%4)"/>
      <w:lvlJc w:val="start"/>
      <w:pPr>
        <w:tabs>
          <w:tab w:val="num" w:pos="1440"/>
        </w:tabs>
        <w:ind w:start="1440" w:hanging="360"/>
      </w:pPr>
    </w:lvl>
    <w:lvl w:ilvl="4">
      <w:start w:val="1"/>
      <w:numFmt w:val="bullet"/>
      <w:lvlText w:val=""/>
      <w:lvlJc w:val="start"/>
      <w:pPr>
        <w:tabs>
          <w:tab w:val="num" w:pos="1800"/>
        </w:tabs>
        <w:ind w:start="1800" w:hanging="360"/>
      </w:pPr>
      <w:rPr>
        <w:rFonts w:ascii="Symbol" w:hAnsi="Symbol" w:cs="Symbol" w:hint="default"/>
      </w:rPr>
    </w:lvl>
    <w:lvl w:ilvl="5">
      <w:start w:val="1"/>
      <w:numFmt w:val="none"/>
      <w:suff w:val="nothing"/>
      <w:lvlText w:val="(%6)"/>
      <w:lvlJc w:val="start"/>
      <w:pPr>
        <w:tabs>
          <w:tab w:val="num" w:pos="2160"/>
        </w:tabs>
        <w:ind w:start="2160" w:hanging="360"/>
      </w:pPr>
    </w:lvl>
    <w:lvl w:ilvl="6">
      <w:start w:val="1"/>
      <w:numFmt w:val="none"/>
      <w:suff w:val="nothing"/>
      <w:lvlText w:val="%7."/>
      <w:lvlJc w:val="start"/>
      <w:pPr>
        <w:tabs>
          <w:tab w:val="num" w:pos="2520"/>
        </w:tabs>
        <w:ind w:start="2520" w:hanging="360"/>
      </w:pPr>
    </w:lvl>
    <w:lvl w:ilvl="7">
      <w:start w:val="1"/>
      <w:numFmt w:val="none"/>
      <w:suff w:val="nothing"/>
      <w:lvlText w:val="%8."/>
      <w:lvlJc w:val="start"/>
      <w:pPr>
        <w:tabs>
          <w:tab w:val="num" w:pos="2880"/>
        </w:tabs>
        <w:ind w:start="2880" w:hanging="360"/>
      </w:pPr>
    </w:lvl>
    <w:lvl w:ilvl="8">
      <w:start w:val="1"/>
      <w:numFmt w:val="none"/>
      <w:suff w:val="nothing"/>
      <w:lvlText w:val="%9."/>
      <w:lvlJc w:val="start"/>
      <w:pPr>
        <w:tabs>
          <w:tab w:val="num" w:pos="3240"/>
        </w:tabs>
        <w:ind w:start="324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3"/>
      <w:numFmt w:val="upperLetter"/>
      <w:lvlText w:val="%1."/>
      <w:lvlJc w:val="start"/>
      <w:pPr>
        <w:tabs>
          <w:tab w:val="num" w:pos="720"/>
        </w:tabs>
        <w:ind w:start="720" w:hanging="360"/>
      </w:pPr>
      <w:rPr>
        <w:b/>
      </w:rPr>
    </w:lvl>
    <w:lvl w:ilvl="1">
      <w:start w:val="1"/>
      <w:numFmt w:val="upperLetter"/>
      <w:lvlText w:val="%2."/>
      <w:lvlJc w:val="start"/>
      <w:pPr>
        <w:tabs>
          <w:tab w:val="num" w:pos="720"/>
        </w:tabs>
        <w:ind w:start="720" w:hanging="360"/>
      </w:pPr>
    </w:lvl>
    <w:lvl w:ilvl="2">
      <w:start w:val="1"/>
      <w:numFmt w:val="decimal"/>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none"/>
      <w:suff w:val="nothing"/>
      <w:lvlText w:val="(%6)"/>
      <w:lvlJc w:val="start"/>
      <w:pPr>
        <w:tabs>
          <w:tab w:val="num" w:pos="2160"/>
        </w:tabs>
        <w:ind w:start="2160" w:hanging="360"/>
      </w:pPr>
    </w:lvl>
    <w:lvl w:ilvl="6">
      <w:start w:val="1"/>
      <w:numFmt w:val="none"/>
      <w:suff w:val="nothing"/>
      <w:lvlText w:val="%7."/>
      <w:lvlJc w:val="start"/>
      <w:pPr>
        <w:tabs>
          <w:tab w:val="num" w:pos="2520"/>
        </w:tabs>
        <w:ind w:start="2520" w:hanging="360"/>
      </w:pPr>
    </w:lvl>
    <w:lvl w:ilvl="7">
      <w:start w:val="1"/>
      <w:numFmt w:val="none"/>
      <w:suff w:val="nothing"/>
      <w:lvlText w:val="%8."/>
      <w:lvlJc w:val="start"/>
      <w:pPr>
        <w:tabs>
          <w:tab w:val="num" w:pos="2880"/>
        </w:tabs>
        <w:ind w:start="2880" w:hanging="360"/>
      </w:pPr>
    </w:lvl>
    <w:lvl w:ilvl="8">
      <w:start w:val="1"/>
      <w:numFmt w:val="none"/>
      <w:suff w:val="nothing"/>
      <w:lvlText w:val="%9."/>
      <w:lvlJc w:val="start"/>
      <w:pPr>
        <w:tabs>
          <w:tab w:val="num" w:pos="3240"/>
        </w:tabs>
        <w:ind w:start="3240" w:hanging="360"/>
      </w:pPr>
    </w:lvl>
  </w:abstractNum>
  <w:abstractNum w:abstractNumId="6">
    <w:lvl w:ilvl="0">
      <w:start w:val="12"/>
      <w:numFmt w:val="decimal"/>
      <w:lvlText w:val="%1."/>
      <w:lvlJc w:val="start"/>
      <w:pPr>
        <w:tabs>
          <w:tab w:val="num" w:pos="360"/>
        </w:tabs>
        <w:ind w:start="360" w:hanging="360"/>
      </w:pPr>
    </w:lvl>
    <w:lvl w:ilvl="1">
      <w:start w:val="1"/>
      <w:numFmt w:val="upperLetter"/>
      <w:lvlText w:val="%2."/>
      <w:lvlJc w:val="start"/>
      <w:pPr>
        <w:tabs>
          <w:tab w:val="num" w:pos="720"/>
        </w:tabs>
        <w:ind w:start="720" w:hanging="360"/>
      </w:pPr>
    </w:lvl>
    <w:lvl w:ilvl="2">
      <w:start w:val="1"/>
      <w:numFmt w:val="decimal"/>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none"/>
      <w:suff w:val="nothing"/>
      <w:lvlText w:val="(%6)"/>
      <w:lvlJc w:val="start"/>
      <w:pPr>
        <w:tabs>
          <w:tab w:val="num" w:pos="2160"/>
        </w:tabs>
        <w:ind w:start="2160" w:hanging="360"/>
      </w:pPr>
    </w:lvl>
    <w:lvl w:ilvl="6">
      <w:start w:val="1"/>
      <w:numFmt w:val="none"/>
      <w:suff w:val="nothing"/>
      <w:lvlText w:val="%7."/>
      <w:lvlJc w:val="start"/>
      <w:pPr>
        <w:tabs>
          <w:tab w:val="num" w:pos="2520"/>
        </w:tabs>
        <w:ind w:start="2520" w:hanging="360"/>
      </w:pPr>
    </w:lvl>
    <w:lvl w:ilvl="7">
      <w:start w:val="1"/>
      <w:numFmt w:val="none"/>
      <w:suff w:val="nothing"/>
      <w:lvlText w:val="%8."/>
      <w:lvlJc w:val="start"/>
      <w:pPr>
        <w:tabs>
          <w:tab w:val="num" w:pos="2880"/>
        </w:tabs>
        <w:ind w:start="2880" w:hanging="360"/>
      </w:pPr>
    </w:lvl>
    <w:lvl w:ilvl="8">
      <w:start w:val="1"/>
      <w:numFmt w:val="none"/>
      <w:suff w:val="nothing"/>
      <w:lvlText w:val="%9."/>
      <w:lvlJc w:val="start"/>
      <w:pPr>
        <w:tabs>
          <w:tab w:val="num" w:pos="3240"/>
        </w:tabs>
        <w:ind w:start="3240" w:hanging="360"/>
      </w:pPr>
    </w:lvl>
  </w:abstractNum>
  <w:abstractNum w:abstractNumId="7">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z w:val="28"/>
    </w:rPr>
  </w:style>
  <w:style w:type="paragraph" w:styleId="Heading2">
    <w:name w:val="heading 2"/>
    <w:basedOn w:val="Normal"/>
    <w:next w:val="Normal"/>
    <w:qFormat/>
    <w:pPr>
      <w:keepNext w:val="true"/>
      <w:numPr>
        <w:ilvl w:val="1"/>
        <w:numId w:val="1"/>
      </w:numPr>
      <w:outlineLvl w:val="1"/>
    </w:pPr>
    <w:rPr>
      <w:rFonts w:ascii="Arial" w:hAnsi="Arial" w:cs="Arial"/>
      <w:b/>
      <w:sz w:val="22"/>
      <w:u w:val="single"/>
    </w:rPr>
  </w:style>
  <w:style w:type="paragraph" w:styleId="Heading3">
    <w:name w:val="heading 3"/>
    <w:basedOn w:val="Normal"/>
    <w:next w:val="Normal"/>
    <w:qFormat/>
    <w:pPr>
      <w:keepNext w:val="true"/>
      <w:numPr>
        <w:ilvl w:val="2"/>
        <w:numId w:val="1"/>
      </w:numPr>
      <w:jc w:val="both"/>
      <w:outlineLvl w:val="2"/>
    </w:pPr>
    <w:rPr>
      <w:rFonts w:ascii="Arial" w:hAnsi="Arial" w:cs="Arial"/>
      <w:sz w:val="28"/>
    </w:rPr>
  </w:style>
  <w:style w:type="paragraph" w:styleId="Heading4">
    <w:name w:val="heading 4"/>
    <w:basedOn w:val="Normal"/>
    <w:next w:val="Normal"/>
    <w:qFormat/>
    <w:pPr>
      <w:keepNext w:val="true"/>
      <w:numPr>
        <w:ilvl w:val="3"/>
        <w:numId w:val="1"/>
      </w:numPr>
      <w:jc w:val="both"/>
      <w:outlineLvl w:val="3"/>
    </w:pPr>
    <w:rPr>
      <w:rFonts w:ascii="Arial" w:hAnsi="Arial" w:cs="Arial"/>
      <w:b/>
      <w:sz w:val="22"/>
    </w:rPr>
  </w:style>
  <w:style w:type="paragraph" w:styleId="Heading5">
    <w:name w:val="heading 5"/>
    <w:basedOn w:val="Normal"/>
    <w:next w:val="Normal"/>
    <w:qFormat/>
    <w:pPr>
      <w:keepNext w:val="true"/>
      <w:numPr>
        <w:ilvl w:val="4"/>
        <w:numId w:val="1"/>
      </w:numPr>
      <w:ind w:hanging="0" w:start="360" w:end="0"/>
      <w:outlineLvl w:val="4"/>
    </w:pPr>
    <w:rPr>
      <w:rFonts w:ascii="Arial" w:hAnsi="Arial" w:cs="Arial"/>
      <w:b/>
      <w:sz w:val="22"/>
    </w:rPr>
  </w:style>
  <w:style w:type="paragraph" w:styleId="Heading6">
    <w:name w:val="heading 6"/>
    <w:basedOn w:val="Normal"/>
    <w:next w:val="Normal"/>
    <w:qFormat/>
    <w:pPr>
      <w:keepNext w:val="true"/>
      <w:numPr>
        <w:ilvl w:val="5"/>
        <w:numId w:val="1"/>
      </w:numPr>
      <w:ind w:hanging="0" w:start="360" w:end="0"/>
      <w:outlineLvl w:val="5"/>
    </w:pPr>
    <w:rPr>
      <w:rFonts w:ascii="Arial" w:hAnsi="Arial" w:cs="Arial"/>
      <w:sz w:val="22"/>
    </w:rPr>
  </w:style>
  <w:style w:type="paragraph" w:styleId="Heading7">
    <w:name w:val="heading 7"/>
    <w:basedOn w:val="Normal"/>
    <w:next w:val="Normal"/>
    <w:qFormat/>
    <w:pPr>
      <w:keepNext w:val="true"/>
      <w:numPr>
        <w:ilvl w:val="6"/>
        <w:numId w:val="1"/>
      </w:numPr>
      <w:outlineLvl w:val="6"/>
    </w:pPr>
    <w:rPr>
      <w:rFonts w:ascii="Arial" w:hAnsi="Arial" w:cs="Arial"/>
      <w:b/>
      <w:sz w:val="22"/>
    </w:rPr>
  </w:style>
  <w:style w:type="paragraph" w:styleId="Heading8">
    <w:name w:val="heading 8"/>
    <w:basedOn w:val="Normal"/>
    <w:next w:val="Normal"/>
    <w:qFormat/>
    <w:pPr>
      <w:keepNext w:val="true"/>
      <w:numPr>
        <w:ilvl w:val="7"/>
        <w:numId w:val="1"/>
      </w:numPr>
      <w:ind w:hanging="0" w:start="720" w:end="0"/>
      <w:outlineLvl w:val="7"/>
    </w:pPr>
    <w:rPr>
      <w:rFonts w:ascii="Arial" w:hAnsi="Arial" w:cs="Arial"/>
      <w:b/>
      <w:sz w:val="22"/>
    </w:rPr>
  </w:style>
  <w:style w:type="paragraph" w:styleId="Heading9">
    <w:name w:val="heading 9"/>
    <w:basedOn w:val="Normal"/>
    <w:next w:val="Normal"/>
    <w:qFormat/>
    <w:pPr>
      <w:keepNext w:val="true"/>
      <w:numPr>
        <w:ilvl w:val="8"/>
        <w:numId w:val="1"/>
      </w:numPr>
      <w:outlineLvl w:val="8"/>
    </w:pPr>
    <w:rPr>
      <w:b/>
      <w:bCs/>
    </w:rPr>
  </w:style>
  <w:style w:type="character" w:styleId="WW8Num1z0">
    <w:name w:val="WW8Num1z0"/>
    <w:qFormat/>
    <w:rPr>
      <w:b/>
    </w:rPr>
  </w:style>
  <w:style w:type="character" w:styleId="WW8Num2z0">
    <w:name w:val="WW8Num2z0"/>
    <w:qFormat/>
    <w:rPr>
      <w:b/>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7z0">
    <w:name w:val="WW8Num7z0"/>
    <w:qFormat/>
    <w:rPr>
      <w:b w:val="false"/>
    </w:rPr>
  </w:style>
  <w:style w:type="character" w:styleId="WW8Num8z0">
    <w:name w:val="WW8Num8z0"/>
    <w:qFormat/>
    <w:rPr/>
  </w:style>
  <w:style w:type="character" w:styleId="WW8Num9z0">
    <w:name w:val="WW8Num9z0"/>
    <w:qFormat/>
    <w:rPr>
      <w:u w:val="none"/>
    </w:rPr>
  </w:style>
  <w:style w:type="character" w:styleId="WW8Num11z0">
    <w:name w:val="WW8Num11z0"/>
    <w:qFormat/>
    <w:rPr>
      <w:rFonts w:ascii="Arial" w:hAnsi="Arial" w:cs="Arial"/>
      <w:b/>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b/>
    </w:rPr>
  </w:style>
  <w:style w:type="character" w:styleId="WW8Num16z0">
    <w:name w:val="WW8Num16z0"/>
    <w:qFormat/>
    <w:rPr/>
  </w:style>
  <w:style w:type="character" w:styleId="WW8Num17z4">
    <w:name w:val="WW8Num17z4"/>
    <w:qFormat/>
    <w:rPr>
      <w:rFonts w:ascii="Symbol" w:hAnsi="Symbol" w:cs="Symbol"/>
    </w:rPr>
  </w:style>
  <w:style w:type="character" w:styleId="WW8Num19z0">
    <w:name w:val="WW8Num19z0"/>
    <w:qFormat/>
    <w:rPr>
      <w:rFonts w:ascii="Symbol" w:hAnsi="Symbol" w:cs="Symbol"/>
    </w:rPr>
  </w:style>
  <w:style w:type="character" w:styleId="WW8Num21z0">
    <w:name w:val="WW8Num21z0"/>
    <w:qFormat/>
    <w:rPr/>
  </w:style>
  <w:style w:type="character" w:styleId="WW8Num25z0">
    <w:name w:val="WW8Num25z0"/>
    <w:qFormat/>
    <w:rPr>
      <w:rFonts w:ascii="Symbol" w:hAnsi="Symbol" w:cs="Symbol"/>
    </w:rPr>
  </w:style>
  <w:style w:type="character" w:styleId="WW8Num26z0">
    <w:name w:val="WW8Num26z0"/>
    <w:qFormat/>
    <w:rPr>
      <w:b/>
    </w:rPr>
  </w:style>
  <w:style w:type="character" w:styleId="WW8Num27z0">
    <w:name w:val="WW8Num27z0"/>
    <w:qFormat/>
    <w:rPr>
      <w:u w:val="none"/>
    </w:rPr>
  </w:style>
  <w:style w:type="character" w:styleId="WW8Num30z0">
    <w:name w:val="WW8Num30z0"/>
    <w:qFormat/>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6z0">
    <w:name w:val="WW8Num36z0"/>
    <w:qFormat/>
    <w:rPr>
      <w:b/>
    </w:rPr>
  </w:style>
  <w:style w:type="character" w:styleId="WW8Num37z0">
    <w:name w:val="WW8Num37z0"/>
    <w:qFormat/>
    <w:rPr>
      <w:rFonts w:ascii="Symbol" w:hAnsi="Symbol" w:cs="Symbol"/>
    </w:rPr>
  </w:style>
  <w:style w:type="character" w:styleId="WW8Num39z0">
    <w:name w:val="WW8Num39z0"/>
    <w:qFormat/>
    <w:rPr/>
  </w:style>
  <w:style w:type="character" w:styleId="WW8Num40z0">
    <w:name w:val="WW8Num40z0"/>
    <w:qFormat/>
    <w:rPr>
      <w:b/>
    </w:rPr>
  </w:style>
  <w:style w:type="character" w:styleId="WW8Num41z0">
    <w:name w:val="WW8Num41z0"/>
    <w:qFormat/>
    <w:rPr>
      <w:rFonts w:ascii="Symbol" w:hAnsi="Symbol" w:cs="Symbol"/>
    </w:rPr>
  </w:style>
  <w:style w:type="character" w:styleId="WW8Num42z0">
    <w:name w:val="WW8Num42z0"/>
    <w:qFormat/>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style>
  <w:style w:type="character" w:styleId="WW8Num46z0">
    <w:name w:val="WW8Num46z0"/>
    <w:qFormat/>
    <w:rPr>
      <w:b/>
    </w:rPr>
  </w:style>
  <w:style w:type="character" w:styleId="WW8Num47z0">
    <w:name w:val="WW8Num47z0"/>
    <w:qFormat/>
    <w:rPr/>
  </w:style>
  <w:style w:type="character" w:styleId="WW8Num50z0">
    <w:name w:val="WW8Num50z0"/>
    <w:qFormat/>
    <w:rPr>
      <w:rFonts w:ascii="Wingdings" w:hAnsi="Wingdings" w:cs="Wingdings"/>
    </w:rPr>
  </w:style>
  <w:style w:type="character" w:styleId="WW8Num50z3">
    <w:name w:val="WW8Num50z3"/>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style>
  <w:style w:type="character" w:styleId="DefaultParagraphFont">
    <w:name w:val="Default Paragraph Font"/>
    <w:qFormat/>
    <w:rPr/>
  </w:style>
  <w:style w:type="character" w:styleId="LetterDate">
    <w:name w:val="LetterDate"/>
    <w:basedOn w:val="DefaultParagraphFont"/>
    <w:qFormat/>
    <w:rPr>
      <w:rFonts w:ascii="Times New Roman" w:hAnsi="Times New Roman" w:cs="Times New Roman"/>
      <w:color w:val="auto"/>
      <w:spacing w:val="0"/>
      <w:kern w:val="0"/>
      <w:position w:val="0"/>
      <w:sz w:val="24"/>
      <w:sz w:val="24"/>
      <w:u w:val="none"/>
      <w:vertAlign w:val="baseline"/>
    </w:rPr>
  </w:style>
  <w:style w:type="character" w:styleId="FootnoteCharacters">
    <w:name w:val="Footnote Characters"/>
    <w:basedOn w:val="DefaultParagraphFont"/>
    <w:qFormat/>
    <w:rPr>
      <w:spacing w:val="0"/>
      <w:kern w:val="0"/>
      <w:u w:val="single"/>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Arial" w:hAnsi="Arial" w:cs="Arial"/>
      <w:b/>
      <w:sz w:val="22"/>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ddress">
    <w:name w:val="Address"/>
    <w:basedOn w:val="Normal"/>
    <w:qFormat/>
    <w:pPr/>
    <w:rPr/>
  </w:style>
  <w:style w:type="paragraph" w:styleId="EnvelopeAddress">
    <w:name w:val="envelope address"/>
    <w:basedOn w:val="Normal"/>
    <w:pPr/>
    <w:rPr/>
  </w:style>
  <w:style w:type="paragraph" w:styleId="LetterClosing">
    <w:name w:val="LetterClosing"/>
    <w:basedOn w:val="Normal"/>
    <w:next w:val="Normal"/>
    <w:qFormat/>
    <w:pPr>
      <w:ind w:hanging="0" w:start="4493" w:end="-360"/>
    </w:pPr>
    <w:rPr/>
  </w:style>
  <w:style w:type="paragraph" w:styleId="PleadingSignature">
    <w:name w:val="Pleading Signature"/>
    <w:basedOn w:val="Normal"/>
    <w:qFormat/>
    <w:pPr>
      <w:tabs>
        <w:tab w:val="clear" w:pos="720"/>
        <w:tab w:val="left" w:pos="4867" w:leader="none"/>
        <w:tab w:val="right" w:pos="9000" w:leader="none"/>
      </w:tabs>
      <w:ind w:hanging="4867" w:start="4867" w:end="0"/>
    </w:pPr>
    <w:rPr/>
  </w:style>
  <w:style w:type="paragraph" w:styleId="ReLine">
    <w:name w:val="ReLine"/>
    <w:basedOn w:val="Normal"/>
    <w:next w:val="BodyText"/>
    <w:qFormat/>
    <w:pPr>
      <w:spacing w:before="240" w:after="240"/>
      <w:ind w:hanging="720" w:start="720" w:end="0"/>
    </w:pPr>
    <w:rPr/>
  </w:style>
  <w:style w:type="paragraph" w:styleId="FootnoteText">
    <w:name w:val="footnote text"/>
    <w:basedOn w:val="Normal"/>
    <w:pPr>
      <w:tabs>
        <w:tab w:val="clear" w:pos="720"/>
        <w:tab w:val="left" w:pos="432" w:leader="none"/>
      </w:tabs>
      <w:spacing w:before="0" w:after="120"/>
      <w:ind w:hanging="446" w:start="446"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680" w:leader="none"/>
        <w:tab w:val="right" w:pos="9360" w:leader="none"/>
      </w:tabs>
    </w:pPr>
    <w:rPr/>
  </w:style>
  <w:style w:type="paragraph" w:styleId="Header">
    <w:name w:val="header"/>
    <w:basedOn w:val="Normal"/>
    <w:pPr>
      <w:widowControl w:val="false"/>
      <w:tabs>
        <w:tab w:val="clear" w:pos="720"/>
        <w:tab w:val="center" w:pos="4680" w:leader="none"/>
        <w:tab w:val="right" w:pos="9360" w:leader="none"/>
      </w:tabs>
    </w:pPr>
    <w:rPr/>
  </w:style>
  <w:style w:type="paragraph" w:styleId="LetterSignature">
    <w:name w:val="Letter Signature"/>
    <w:basedOn w:val="Normal"/>
    <w:qFormat/>
    <w:pPr>
      <w:tabs>
        <w:tab w:val="clear" w:pos="720"/>
        <w:tab w:val="left" w:pos="4680" w:leader="none"/>
        <w:tab w:val="right" w:pos="9000" w:leader="none"/>
      </w:tabs>
      <w:ind w:hanging="0" w:start="4320" w:end="0"/>
    </w:pPr>
    <w:rPr/>
  </w:style>
  <w:style w:type="paragraph" w:styleId="DatePosition">
    <w:name w:val="DatePosition"/>
    <w:basedOn w:val="Normal"/>
    <w:next w:val="Normal"/>
    <w:qFormat/>
    <w:pPr>
      <w:tabs>
        <w:tab w:val="clear" w:pos="720"/>
        <w:tab w:val="center" w:pos="7830" w:leader="none"/>
      </w:tabs>
    </w:pPr>
    <w:rPr/>
  </w:style>
  <w:style w:type="paragraph" w:styleId="EnvelopeAddress1">
    <w:name w:val="Envelope Address1"/>
    <w:basedOn w:val="Normal"/>
    <w:qFormat/>
    <w:pPr>
      <w:ind w:hanging="0" w:start="2880" w:end="0"/>
    </w:pPr>
    <w:rPr/>
  </w:style>
  <w:style w:type="paragraph" w:styleId="SDP">
    <w:name w:val="SDP"/>
    <w:basedOn w:val="Normal"/>
    <w:qFormat/>
    <w:pPr>
      <w:jc w:val="center"/>
    </w:pPr>
    <w:rPr>
      <w:b/>
    </w:rPr>
  </w:style>
  <w:style w:type="paragraph" w:styleId="Quote-5inch">
    <w:name w:val="Quote - .5 inch"/>
    <w:basedOn w:val="Normal"/>
    <w:next w:val="Normal"/>
    <w:qFormat/>
    <w:pPr>
      <w:spacing w:before="240" w:after="0"/>
      <w:ind w:hanging="0" w:start="720" w:end="720"/>
    </w:pPr>
    <w:rPr/>
  </w:style>
  <w:style w:type="paragraph" w:styleId="Quote-1inch">
    <w:name w:val="Quote - 1 inch"/>
    <w:basedOn w:val="Normal"/>
    <w:next w:val="Normal"/>
    <w:qFormat/>
    <w:pPr>
      <w:spacing w:before="240" w:after="0"/>
      <w:ind w:hanging="0" w:start="1440" w:end="1440"/>
    </w:pPr>
    <w:rPr/>
  </w:style>
  <w:style w:type="paragraph" w:styleId="SDP2">
    <w:name w:val="SDP2"/>
    <w:basedOn w:val="SDP"/>
    <w:qFormat/>
    <w:pPr/>
    <w:rPr/>
  </w:style>
  <w:style w:type="paragraph" w:styleId="num1">
    <w:name w:val="num1"/>
    <w:basedOn w:val="Normal"/>
    <w:qFormat/>
    <w:pPr>
      <w:numPr>
        <w:ilvl w:val="0"/>
        <w:numId w:val="7"/>
      </w:numPr>
      <w:tabs>
        <w:tab w:val="clear" w:pos="720"/>
        <w:tab w:val="left" w:pos="-720" w:leader="none"/>
      </w:tabs>
      <w:suppressAutoHyphens w:val="true"/>
      <w:spacing w:lineRule="auto" w:line="360"/>
      <w:ind w:firstLine="360" w:start="0" w:end="0"/>
    </w:pPr>
    <w:rPr>
      <w:rFonts w:ascii="Palatino;Book Antiqua" w:hAnsi="Palatino;Book Antiqua" w:cs="Palatino;Book Antiqua"/>
      <w:sz w:val="26"/>
    </w:rPr>
  </w:style>
  <w:style w:type="paragraph" w:styleId="BodyText2">
    <w:name w:val="Body Text 2"/>
    <w:basedOn w:val="Normal"/>
    <w:qFormat/>
    <w:pPr/>
    <w:rPr>
      <w:rFonts w:ascii="Arial" w:hAnsi="Arial" w:cs="Arial"/>
      <w:sz w:val="22"/>
    </w:rPr>
  </w:style>
  <w:style w:type="paragraph" w:styleId="BodyTextIndent">
    <w:name w:val="Body Text Indent"/>
    <w:basedOn w:val="Normal"/>
    <w:pPr>
      <w:ind w:hanging="1440" w:start="1440" w:end="0"/>
    </w:pPr>
    <w:rPr>
      <w:rFonts w:ascii="Arial" w:hAnsi="Arial" w:cs="Arial"/>
      <w:b/>
      <w:sz w:val="22"/>
    </w:rPr>
  </w:style>
  <w:style w:type="paragraph" w:styleId="BodyTextIndent2">
    <w:name w:val="Body Text Indent 2"/>
    <w:basedOn w:val="Normal"/>
    <w:qFormat/>
    <w:pPr>
      <w:ind w:hanging="0" w:start="720" w:end="0"/>
    </w:pPr>
    <w:rPr>
      <w:rFonts w:ascii="Arial" w:hAnsi="Arial" w:cs="Arial"/>
      <w:sz w:val="22"/>
    </w:rPr>
  </w:style>
  <w:style w:type="paragraph" w:styleId="BodyTextIndent3">
    <w:name w:val="Body Text Indent 3"/>
    <w:basedOn w:val="Normal"/>
    <w:qFormat/>
    <w:pPr>
      <w:ind w:hanging="0" w:start="360" w:end="0"/>
    </w:pPr>
    <w:rPr>
      <w:rFonts w:ascii="Arial" w:hAnsi="Arial" w:cs="Arial"/>
      <w:sz w:val="22"/>
    </w:rPr>
  </w:style>
  <w:style w:type="paragraph" w:styleId="ITEMSnumbered">
    <w:name w:val="ITEMS numbered"/>
    <w:basedOn w:val="Normal"/>
    <w:qFormat/>
    <w:pPr>
      <w:ind w:hanging="360" w:start="900" w:end="0"/>
    </w:pPr>
    <w:rPr>
      <w:sz w:val="22"/>
    </w:rPr>
  </w:style>
  <w:style w:type="paragraph" w:styleId="BULLETS">
    <w:name w:val="BULLETS"/>
    <w:basedOn w:val="Normal"/>
    <w:qFormat/>
    <w:pPr>
      <w:tabs>
        <w:tab w:val="clear" w:pos="720"/>
        <w:tab w:val="left" w:pos="1260" w:leader="none"/>
      </w:tabs>
      <w:ind w:hanging="1620" w:start="2520" w:end="0"/>
    </w:pPr>
    <w:rPr>
      <w:sz w:val="22"/>
    </w:rPr>
  </w:style>
  <w:style w:type="paragraph" w:styleId="BodyText3">
    <w:name w:val="Body Text 3"/>
    <w:basedOn w:val="Normal"/>
    <w:qFormat/>
    <w:pPr/>
    <w:rPr>
      <w:rFonts w:ascii="Arial" w:hAnsi="Arial" w:cs="Arial"/>
      <w:b/>
      <w:sz w:val="22"/>
      <w:u w:val="single"/>
    </w:rPr>
  </w:style>
  <w:style w:type="paragraph" w:styleId="HEADING11">
    <w:name w:val="HEADING1"/>
    <w:basedOn w:val="Normal"/>
    <w:qFormat/>
    <w:pPr>
      <w:tabs>
        <w:tab w:val="clear" w:pos="720"/>
        <w:tab w:val="left" w:pos="540" w:leader="none"/>
      </w:tabs>
      <w:spacing w:before="0" w:after="120"/>
    </w:pPr>
    <w:rPr>
      <w:rFonts w:ascii="Arial" w:hAnsi="Arial" w:cs="Arial"/>
      <w:b/>
      <w:sz w:val="22"/>
    </w:rPr>
  </w:style>
  <w:style w:type="paragraph" w:styleId="HEADINGsub">
    <w:name w:val="HEADING sub"/>
    <w:basedOn w:val="Normal"/>
    <w:qFormat/>
    <w:pPr>
      <w:tabs>
        <w:tab w:val="clear" w:pos="720"/>
        <w:tab w:val="left" w:pos="540" w:leader="none"/>
        <w:tab w:val="left" w:pos="900" w:leader="none"/>
      </w:tabs>
      <w:spacing w:before="0" w:after="120"/>
    </w:pPr>
    <w:rPr>
      <w:rFonts w:ascii="Arial" w:hAnsi="Arial" w:cs="Arial"/>
      <w:b/>
      <w:sz w:val="22"/>
    </w:rPr>
  </w:style>
  <w:style w:type="paragraph" w:styleId="TEXT">
    <w:name w:val="TEXT"/>
    <w:basedOn w:val="Normal"/>
    <w:qFormat/>
    <w:pPr>
      <w:ind w:hanging="0" w:start="540" w:end="0"/>
    </w:pPr>
    <w:rPr>
      <w:sz w:val="22"/>
    </w:rPr>
  </w:style>
  <w:style w:type="paragraph" w:styleId="ITEMSabc">
    <w:name w:val="ITEMS a.b.c."/>
    <w:basedOn w:val="Normal"/>
    <w:qFormat/>
    <w:pPr>
      <w:ind w:hanging="360" w:start="900" w:end="0"/>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2001-11-16T16:30:00Z</dcterms:created>
  <dc:creator/>
  <dc:description/>
  <dc:language>en-CA</dc:language>
  <cp:lastModifiedBy>Rachel Molina</cp:lastModifiedBy>
  <cp:lastPrinted>2001-11-16T15:06:00Z</cp:lastPrinted>
  <dcterms:modified xsi:type="dcterms:W3CDTF">2001-11-16T22:08:00Z</dcterms:modified>
  <cp:revision>7</cp:revision>
  <dc:subject/>
  <dc:title/>
</cp:coreProperties>
</file>