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1999</w:t>
      </w:r>
    </w:p>
    <w:p>
      <w:pPr>
        <w:pStyle w:val="Normal"/>
        <w:jc w:val="center"/>
        <w:rPr>
          <w:b/>
          <w:bCs/>
          <w:sz w:val="22"/>
          <w:szCs w:val="22"/>
          <w:u w:val="single"/>
        </w:rPr>
      </w:pPr>
      <w:r>
        <w:rPr>
          <w:b/>
          <w:bCs/>
          <w:sz w:val="22"/>
          <w:szCs w:val="22"/>
          <w:u w:val="single"/>
        </w:rPr>
        <w:t>MORGAN’S POINT MTBE PLANT</w:t>
      </w:r>
    </w:p>
    <w:p>
      <w:pPr>
        <w:pStyle w:val="Normal"/>
        <w:jc w:val="center"/>
        <w:rPr>
          <w:sz w:val="22"/>
          <w:szCs w:val="22"/>
        </w:rPr>
      </w:pPr>
      <w:r>
        <w:rPr>
          <w:b/>
          <w:bCs/>
          <w:sz w:val="22"/>
          <w:szCs w:val="22"/>
          <w:u w:val="single"/>
        </w:rPr>
        <w:t>FEEDSTOCK SUPPLY AND PRODUCTION OFFTAKE AGREEMENT</w:t>
      </w:r>
    </w:p>
    <w:p>
      <w:pPr>
        <w:pStyle w:val="Normal"/>
        <w:jc w:val="center"/>
        <w:rPr>
          <w:sz w:val="22"/>
          <w:szCs w:val="22"/>
        </w:rPr>
      </w:pPr>
      <w:r>
        <w:rPr>
          <w:sz w:val="22"/>
          <w:szCs w:val="22"/>
        </w:rPr>
      </w:r>
    </w:p>
    <w:p>
      <w:pPr>
        <w:pStyle w:val="Normal"/>
        <w:jc w:val="both"/>
        <w:rPr/>
      </w:pPr>
      <w:r>
        <w:rPr>
          <w:b/>
          <w:bCs/>
          <w:sz w:val="22"/>
          <w:szCs w:val="22"/>
        </w:rPr>
        <w:t xml:space="preserve">1.  </w:t>
        <w:tab/>
        <w:t xml:space="preserve">PURPOSE: </w:t>
        <w:tab/>
        <w:t xml:space="preserve"> </w:t>
      </w:r>
      <w:r>
        <w:rPr>
          <w:sz w:val="22"/>
          <w:szCs w:val="22"/>
        </w:rPr>
        <w:t>This Agreement is between the various Enron Corp. subsidiary companies identified below and is intended to cover, during calendar year 1999, the supply of various feedstock to, and the purchase of production from, the MTBE plant located adjacent to the Houston Ship Channel in LaPorte and Morgan’s Point, Texas (the "</w:t>
      </w:r>
      <w:r>
        <w:rPr>
          <w:sz w:val="22"/>
          <w:szCs w:val="22"/>
          <w:u w:val="single"/>
        </w:rPr>
        <w:t>MTBE Plant</w:t>
      </w:r>
      <w:r>
        <w:rPr>
          <w:sz w:val="22"/>
          <w:szCs w:val="22"/>
        </w:rPr>
        <w:t>").</w:t>
      </w:r>
    </w:p>
    <w:p>
      <w:pPr>
        <w:pStyle w:val="Normal"/>
        <w:jc w:val="both"/>
        <w:rPr>
          <w:sz w:val="22"/>
          <w:szCs w:val="22"/>
        </w:rPr>
      </w:pPr>
      <w:r>
        <w:rPr>
          <w:sz w:val="22"/>
          <w:szCs w:val="22"/>
        </w:rPr>
      </w:r>
    </w:p>
    <w:p>
      <w:pPr>
        <w:pStyle w:val="Normal"/>
        <w:jc w:val="both"/>
        <w:rPr/>
      </w:pPr>
      <w:r>
        <w:rPr>
          <w:b/>
          <w:bCs/>
          <w:sz w:val="22"/>
          <w:szCs w:val="22"/>
        </w:rPr>
        <w:t xml:space="preserve">2.  </w:t>
        <w:tab/>
        <w:t>NOT ASSIGNABLE:</w:t>
      </w:r>
      <w:r>
        <w:rPr>
          <w:sz w:val="22"/>
          <w:szCs w:val="22"/>
        </w:rPr>
        <w:t xml:space="preserve">  </w:t>
        <w:tab/>
        <w:t>This Agreement is between and among those certain Enron Corp. subsidiary companies that are signatory parties hereto.  Certain legal provisions, normally included in written contracts between nonaffiliated companies, have been purposely omitted from this document.  This Agreement, therefore, may not under any circumstances be assigned or transferred to any company or other legal entity that is not a wholly owned subsidiary of Enron Corp.  Any such purported assignment or transfer will be null and void as to this Agreement.  Similarly, should the ownership or control any party to this Agreement change such that it is no longer a wholly owned subsidiary of Enron Corp., this Agreement shall terminate and shall no longer be binding upon any other party hereto.</w:t>
      </w:r>
    </w:p>
    <w:p>
      <w:pPr>
        <w:pStyle w:val="Normal"/>
        <w:jc w:val="both"/>
        <w:rPr>
          <w:sz w:val="22"/>
          <w:szCs w:val="22"/>
        </w:rPr>
      </w:pPr>
      <w:r>
        <w:rPr>
          <w:sz w:val="22"/>
          <w:szCs w:val="22"/>
        </w:rPr>
      </w:r>
    </w:p>
    <w:p>
      <w:pPr>
        <w:pStyle w:val="Normal"/>
        <w:tabs>
          <w:tab w:val="clear" w:pos="720"/>
          <w:tab w:val="left" w:pos="630" w:leader="none"/>
        </w:tabs>
        <w:jc w:val="both"/>
        <w:rPr/>
      </w:pPr>
      <w:r>
        <w:rPr>
          <w:b/>
          <w:bCs/>
          <w:sz w:val="22"/>
          <w:szCs w:val="22"/>
        </w:rPr>
        <w:t xml:space="preserve">3.  </w:t>
        <w:tab/>
        <w:t xml:space="preserve">COMPANIES: </w:t>
      </w:r>
      <w:r>
        <w:rPr>
          <w:sz w:val="22"/>
          <w:szCs w:val="22"/>
        </w:rPr>
        <w:tab/>
        <w:t xml:space="preserve"> The following acronyms will be used throughout this Agreement:</w:t>
      </w:r>
    </w:p>
    <w:p>
      <w:pPr>
        <w:pStyle w:val="Normal"/>
        <w:jc w:val="both"/>
        <w:rPr>
          <w:sz w:val="22"/>
          <w:szCs w:val="22"/>
        </w:rPr>
      </w:pPr>
      <w:r>
        <w:rPr>
          <w:sz w:val="22"/>
          <w:szCs w:val="22"/>
        </w:rPr>
      </w:r>
    </w:p>
    <w:p>
      <w:pPr>
        <w:pStyle w:val="Normal"/>
        <w:tabs>
          <w:tab w:val="clear" w:pos="720"/>
          <w:tab w:val="left" w:pos="4320" w:leader="none"/>
        </w:tabs>
        <w:ind w:start="720" w:end="0"/>
        <w:jc w:val="both"/>
        <w:rPr>
          <w:sz w:val="22"/>
          <w:szCs w:val="22"/>
        </w:rPr>
      </w:pPr>
      <w:r>
        <w:rPr>
          <w:sz w:val="22"/>
          <w:szCs w:val="22"/>
          <w:u w:val="single"/>
        </w:rPr>
        <w:t>Full Legal Name</w:t>
      </w:r>
      <w:r>
        <w:rPr>
          <w:sz w:val="22"/>
          <w:szCs w:val="22"/>
        </w:rPr>
        <w:tab/>
      </w:r>
      <w:r>
        <w:rPr>
          <w:sz w:val="22"/>
          <w:szCs w:val="22"/>
          <w:u w:val="single"/>
        </w:rPr>
        <w:t>Enron Company No.</w:t>
      </w:r>
      <w:r>
        <w:rPr>
          <w:sz w:val="22"/>
          <w:szCs w:val="22"/>
        </w:rPr>
        <w:tab/>
        <w:tab/>
      </w:r>
      <w:r>
        <w:rPr>
          <w:sz w:val="22"/>
          <w:szCs w:val="22"/>
          <w:u w:val="single"/>
        </w:rPr>
        <w:t>Acronym</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Enron Clean Fuels Company,</w:t>
      </w:r>
    </w:p>
    <w:p>
      <w:pPr>
        <w:pStyle w:val="Normal"/>
        <w:ind w:start="720" w:end="0"/>
        <w:jc w:val="both"/>
        <w:rPr>
          <w:sz w:val="22"/>
          <w:szCs w:val="22"/>
        </w:rPr>
      </w:pPr>
      <w:r>
        <w:rPr>
          <w:sz w:val="22"/>
          <w:szCs w:val="22"/>
        </w:rPr>
        <w:t xml:space="preserve">a division of Enron Gas Liquids, Inc. </w:t>
        <w:tab/>
        <w:tab/>
        <w:t>416</w:t>
        <w:tab/>
        <w:tab/>
        <w:tab/>
        <w:t>ECFC</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Enron Gas Liquids, Inc.</w:t>
        <w:tab/>
        <w:tab/>
        <w:tab/>
        <w:tab/>
        <w:t>104</w:t>
        <w:tab/>
        <w:tab/>
        <w:tab/>
        <w:t>EGLI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Enron Methanol Company</w:t>
        <w:tab/>
        <w:tab/>
        <w:tab/>
        <w:t>404</w:t>
        <w:tab/>
        <w:tab/>
        <w:tab/>
        <w:t>EMC</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EGP Fuels Company</w:t>
        <w:tab/>
        <w:tab/>
        <w:tab/>
        <w:tab/>
        <w:t>436</w:t>
        <w:tab/>
        <w:tab/>
        <w:tab/>
        <w:t>EGPFC</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Mont Belvieu Storage, a division of</w:t>
        <w:tab/>
        <w:tab/>
        <w:t>1A1</w:t>
        <w:tab/>
        <w:tab/>
        <w:tab/>
        <w:t>MBS</w:t>
      </w:r>
    </w:p>
    <w:p>
      <w:pPr>
        <w:pStyle w:val="Normal"/>
        <w:jc w:val="both"/>
        <w:rPr>
          <w:sz w:val="22"/>
          <w:szCs w:val="22"/>
        </w:rPr>
      </w:pPr>
      <w:r>
        <w:rPr>
          <w:sz w:val="22"/>
          <w:szCs w:val="22"/>
        </w:rPr>
        <w:tab/>
        <w:t>Enron Ventures Corp.</w:t>
      </w:r>
    </w:p>
    <w:p>
      <w:pPr>
        <w:pStyle w:val="Normal"/>
        <w:jc w:val="both"/>
        <w:rPr>
          <w:sz w:val="22"/>
          <w:szCs w:val="22"/>
        </w:rPr>
      </w:pPr>
      <w:r>
        <w:rPr>
          <w:sz w:val="22"/>
          <w:szCs w:val="22"/>
        </w:rPr>
      </w:r>
    </w:p>
    <w:p>
      <w:pPr>
        <w:pStyle w:val="Normal"/>
        <w:numPr>
          <w:ilvl w:val="0"/>
          <w:numId w:val="1"/>
        </w:numPr>
        <w:tabs>
          <w:tab w:val="clear" w:pos="720"/>
          <w:tab w:val="left" w:pos="0" w:leader="none"/>
        </w:tabs>
        <w:ind w:hanging="360" w:start="1080" w:end="0"/>
        <w:jc w:val="both"/>
        <w:rPr/>
      </w:pPr>
      <w:r>
        <w:rPr>
          <w:b/>
          <w:bCs/>
          <w:sz w:val="22"/>
          <w:szCs w:val="22"/>
        </w:rPr>
        <w:t>TERM:</w:t>
      </w:r>
      <w:r>
        <w:rPr>
          <w:sz w:val="22"/>
          <w:szCs w:val="22"/>
        </w:rPr>
        <w:t xml:space="preserve">  January 1, 1999, through December 31, 1999.</w:t>
      </w:r>
    </w:p>
    <w:p>
      <w:pPr>
        <w:pStyle w:val="Normal"/>
        <w:jc w:val="both"/>
        <w:rPr>
          <w:sz w:val="22"/>
          <w:szCs w:val="22"/>
        </w:rPr>
      </w:pPr>
      <w:r>
        <w:rPr>
          <w:sz w:val="22"/>
          <w:szCs w:val="22"/>
        </w:rPr>
      </w:r>
    </w:p>
    <w:p>
      <w:pPr>
        <w:pStyle w:val="Normal"/>
        <w:jc w:val="both"/>
        <w:rPr/>
      </w:pPr>
      <w:r>
        <w:rPr>
          <w:b/>
          <w:bCs/>
          <w:sz w:val="22"/>
          <w:szCs w:val="22"/>
        </w:rPr>
        <w:t>5.</w:t>
      </w:r>
      <w:r>
        <w:rPr>
          <w:sz w:val="22"/>
          <w:szCs w:val="22"/>
        </w:rPr>
        <w:t xml:space="preserve"> </w:t>
        <w:tab/>
      </w:r>
      <w:r>
        <w:rPr>
          <w:b/>
          <w:bCs/>
          <w:sz w:val="22"/>
          <w:szCs w:val="22"/>
        </w:rPr>
        <w:t>PAYMENT DATE:</w:t>
      </w:r>
      <w:r>
        <w:rPr>
          <w:sz w:val="22"/>
          <w:szCs w:val="22"/>
        </w:rPr>
        <w:t xml:space="preserve">     ECFC or EGPFC will render payment by the 25</w:t>
      </w:r>
      <w:r>
        <w:rPr>
          <w:sz w:val="22"/>
          <w:szCs w:val="22"/>
          <w:vertAlign w:val="superscript"/>
        </w:rPr>
        <w:t>th</w:t>
      </w:r>
      <w:r>
        <w:rPr>
          <w:sz w:val="22"/>
          <w:szCs w:val="22"/>
        </w:rPr>
        <w:t xml:space="preserve"> day of the following month for all mutually agreed on invoices or settlement amounts (the “Payment Date”).  All amounts are to be settled and paid by the 25</w:t>
      </w:r>
      <w:r>
        <w:rPr>
          <w:sz w:val="22"/>
          <w:szCs w:val="22"/>
          <w:vertAlign w:val="superscript"/>
        </w:rPr>
        <w:t>th</w:t>
      </w:r>
      <w:r>
        <w:rPr>
          <w:sz w:val="22"/>
          <w:szCs w:val="22"/>
        </w:rPr>
        <w:t xml:space="preserve"> day of the following month or interest will accrue from the due date of the invoice at an annualized rate of 6% per annum using the actual number of days elapsed from the due date until paid.  These payment terms override any contrary payment date or terms referenced anywhere in this Agreement.  </w:t>
        <w:tab/>
      </w:r>
    </w:p>
    <w:p>
      <w:pPr>
        <w:pStyle w:val="Normal"/>
        <w:jc w:val="both"/>
        <w:rPr>
          <w:sz w:val="22"/>
          <w:szCs w:val="22"/>
        </w:rPr>
      </w:pPr>
      <w:r>
        <w:rPr>
          <w:sz w:val="22"/>
          <w:szCs w:val="22"/>
        </w:rPr>
      </w:r>
      <w:r>
        <w:br w:type="page"/>
      </w:r>
    </w:p>
    <w:p>
      <w:pPr>
        <w:pStyle w:val="Normal"/>
        <w:jc w:val="both"/>
        <w:rPr>
          <w:b/>
          <w:bCs/>
          <w:sz w:val="22"/>
          <w:szCs w:val="22"/>
        </w:rPr>
      </w:pPr>
      <w:r>
        <w:rPr>
          <w:b/>
          <w:bCs/>
          <w:sz w:val="22"/>
          <w:szCs w:val="22"/>
        </w:rPr>
      </w:r>
    </w:p>
    <w:p>
      <w:pPr>
        <w:pStyle w:val="Normal"/>
        <w:jc w:val="both"/>
        <w:rPr>
          <w:b/>
          <w:bCs/>
          <w:sz w:val="22"/>
          <w:szCs w:val="22"/>
        </w:rPr>
      </w:pPr>
      <w:r>
        <w:rPr>
          <w:b/>
          <w:bCs/>
          <w:sz w:val="22"/>
          <w:szCs w:val="22"/>
        </w:rPr>
        <w:t xml:space="preserve">6.  </w:t>
        <w:tab/>
        <w:t xml:space="preserve">FEEDSTOCK SUPPLY:   </w:t>
      </w:r>
    </w:p>
    <w:p>
      <w:pPr>
        <w:pStyle w:val="Normal"/>
        <w:jc w:val="both"/>
        <w:rPr>
          <w:b/>
          <w:bCs/>
          <w:sz w:val="22"/>
          <w:szCs w:val="22"/>
        </w:rPr>
      </w:pPr>
      <w:r>
        <w:rPr>
          <w:b/>
          <w:bCs/>
          <w:sz w:val="22"/>
          <w:szCs w:val="22"/>
        </w:rPr>
        <w:tab/>
      </w:r>
    </w:p>
    <w:p>
      <w:pPr>
        <w:pStyle w:val="Normal"/>
        <w:numPr>
          <w:ilvl w:val="0"/>
          <w:numId w:val="2"/>
        </w:numPr>
        <w:tabs>
          <w:tab w:val="clear" w:pos="720"/>
          <w:tab w:val="left" w:pos="0" w:leader="none"/>
        </w:tabs>
        <w:ind w:hanging="360" w:start="1440" w:end="0"/>
        <w:jc w:val="both"/>
        <w:rPr>
          <w:sz w:val="22"/>
          <w:szCs w:val="22"/>
        </w:rPr>
      </w:pPr>
      <w:r>
        <w:rPr>
          <w:b/>
          <w:bCs/>
          <w:sz w:val="22"/>
          <w:szCs w:val="22"/>
        </w:rPr>
        <w:t xml:space="preserve">Methanol   </w:t>
      </w:r>
    </w:p>
    <w:p>
      <w:pPr>
        <w:pStyle w:val="Normal"/>
        <w:ind w:hanging="360" w:start="1080" w:end="0"/>
        <w:jc w:val="both"/>
        <w:rPr>
          <w:sz w:val="22"/>
          <w:szCs w:val="22"/>
        </w:rPr>
      </w:pPr>
      <w:r>
        <w:rPr>
          <w:sz w:val="22"/>
          <w:szCs w:val="22"/>
        </w:rPr>
      </w:r>
    </w:p>
    <w:p>
      <w:pPr>
        <w:pStyle w:val="Normal"/>
        <w:ind w:start="720" w:end="0"/>
        <w:jc w:val="both"/>
        <w:rPr/>
      </w:pPr>
      <w:r>
        <w:rPr>
          <w:sz w:val="22"/>
          <w:szCs w:val="22"/>
        </w:rPr>
        <w:t xml:space="preserve">6.1.1 </w:t>
      </w:r>
      <w:r>
        <w:rPr>
          <w:sz w:val="22"/>
          <w:szCs w:val="22"/>
          <w:u w:val="single"/>
        </w:rPr>
        <w:t>Quantity</w:t>
      </w:r>
      <w:r>
        <w:rPr>
          <w:sz w:val="22"/>
          <w:szCs w:val="22"/>
        </w:rPr>
        <w:t>:  ECFC will deliver to EGPFC all methanol requirements of the MTBE Plant.  ECFC will deliver quantities of methanol to the MTBE Plant as determined by EGPFC.  EGPFC will nominate delivery volumes to ECFC on or before the fifth (5</w:t>
      </w:r>
      <w:r>
        <w:rPr>
          <w:sz w:val="22"/>
          <w:szCs w:val="22"/>
          <w:vertAlign w:val="superscript"/>
        </w:rPr>
        <w:t>th</w:t>
      </w:r>
      <w:r>
        <w:rPr>
          <w:sz w:val="22"/>
          <w:szCs w:val="22"/>
        </w:rPr>
        <w:t>) working day prior to the end of the month preceding the month the methanol quantity is to be made available.  The delivery volumes specified will be in increments of 10,000 barrels for barge lot movements.  Upon notification of change in demand for the MTBE Plant, ECFC will exert best efforts to meet those changes and mitigate costs.</w:t>
      </w:r>
    </w:p>
    <w:p>
      <w:pPr>
        <w:pStyle w:val="Normal"/>
        <w:ind w:hanging="360" w:start="720" w:end="0"/>
        <w:jc w:val="both"/>
        <w:rPr>
          <w:sz w:val="22"/>
          <w:szCs w:val="22"/>
        </w:rPr>
      </w:pPr>
      <w:r>
        <w:rPr>
          <w:sz w:val="22"/>
          <w:szCs w:val="22"/>
        </w:rPr>
      </w:r>
    </w:p>
    <w:p>
      <w:pPr>
        <w:pStyle w:val="Normal"/>
        <w:ind w:start="720" w:end="0"/>
        <w:jc w:val="both"/>
        <w:rPr/>
      </w:pPr>
      <w:r>
        <w:rPr>
          <w:sz w:val="22"/>
          <w:szCs w:val="22"/>
        </w:rPr>
        <w:t xml:space="preserve">6.1.2.  </w:t>
      </w:r>
      <w:r>
        <w:rPr>
          <w:sz w:val="22"/>
          <w:szCs w:val="22"/>
          <w:u w:val="single"/>
        </w:rPr>
        <w:t>Delivery</w:t>
      </w:r>
      <w:r>
        <w:rPr>
          <w:sz w:val="22"/>
          <w:szCs w:val="22"/>
        </w:rPr>
        <w:t xml:space="preserve">: ECFC will schedule all methanol barges through EGPFC for delivery to the MTBE Plant.  EGPFC will pay ECFC $0.005 per gallon to deliver all MTBE requirements from EMC’s methanol plant located in Pasadena, Texas (the “Methanol Plant”) to the MTBE Plant as scheduled by EGPFC.  </w:t>
      </w:r>
    </w:p>
    <w:p>
      <w:pPr>
        <w:pStyle w:val="Normal"/>
        <w:ind w:hanging="90" w:start="450" w:end="0"/>
        <w:jc w:val="both"/>
        <w:rPr>
          <w:sz w:val="22"/>
          <w:szCs w:val="22"/>
        </w:rPr>
      </w:pPr>
      <w:r>
        <w:rPr>
          <w:sz w:val="22"/>
          <w:szCs w:val="22"/>
        </w:rPr>
      </w:r>
    </w:p>
    <w:p>
      <w:pPr>
        <w:pStyle w:val="Normal"/>
        <w:ind w:start="720" w:end="0"/>
        <w:jc w:val="both"/>
        <w:rPr/>
      </w:pPr>
      <w:r>
        <w:rPr>
          <w:sz w:val="22"/>
          <w:szCs w:val="22"/>
        </w:rPr>
        <w:t xml:space="preserve">6.1.3.  </w:t>
      </w:r>
      <w:r>
        <w:rPr>
          <w:sz w:val="22"/>
          <w:szCs w:val="22"/>
          <w:u w:val="single"/>
        </w:rPr>
        <w:t>Specifications</w:t>
      </w:r>
      <w:r>
        <w:rPr>
          <w:sz w:val="22"/>
          <w:szCs w:val="22"/>
        </w:rPr>
        <w:t xml:space="preserve">:  All methanol deliveries to the MTBE plant shall be from the Methanol Plant.  If EMC is unable to supply the methanol, ECFC will use its best efforts to ensure that all methanol delivered to the MTBE Plant will meet the specifications set by EGPFC in Exhibit “A”.  ECFC will notify EGPFC of the volume and price for all methanol that will be sourced other than from the Methanol Plant.  EGPFC will within 48 hours of receipt of analysis or sample, but in no event later than the time of delivery, confirm the acceptance or refusal of volume and price of such alternatively sourced product.  EGPFC will pay ECFC the aforementioned agreed upon price, plus any associated costs, for the alternatively sourced methanol.  EGPFC shall have the right to refuse acceptance of any methanol that does not meet the specifications as outlined in Exhibit “A”.   It is noted that the industry standard methanol specifications are different from the specifications set forth in Exhibit “A” and that ECFC cannot guarantee that any alternative supply will meet such specifications.  EGPFC shall have the right to refuse acceptance of any methanol that does not meet specifications set forth in Exhibit “A” after supply options have been discussed with ECFC.   ECFC will supply EGPFC with the inspector’s report and certificate of analysis for each methanol barge to be delivered, together with metal analyses for methanol sourced other than from the Methanol Plant. The cost of any special testing requested by any party to be performed by a commercial laboratory or EMC’s laboratory will be borne by the party making the request. </w:t>
      </w:r>
    </w:p>
    <w:p>
      <w:pPr>
        <w:pStyle w:val="Normal"/>
        <w:jc w:val="both"/>
        <w:rPr>
          <w:sz w:val="22"/>
          <w:szCs w:val="22"/>
        </w:rPr>
      </w:pPr>
      <w:r>
        <w:rPr>
          <w:sz w:val="22"/>
          <w:szCs w:val="22"/>
        </w:rPr>
      </w:r>
    </w:p>
    <w:p>
      <w:pPr>
        <w:pStyle w:val="Normal"/>
        <w:keepNext w:val="true"/>
        <w:keepLines/>
        <w:ind w:start="720" w:end="0"/>
        <w:jc w:val="both"/>
        <w:rPr>
          <w:b/>
          <w:bCs/>
          <w:sz w:val="22"/>
          <w:szCs w:val="22"/>
        </w:rPr>
      </w:pPr>
      <w:r>
        <w:rPr>
          <w:b/>
          <w:bCs/>
          <w:sz w:val="22"/>
          <w:szCs w:val="22"/>
        </w:rPr>
      </w:r>
    </w:p>
    <w:p>
      <w:pPr>
        <w:pStyle w:val="Normal"/>
        <w:keepNext w:val="true"/>
        <w:keepLines/>
        <w:ind w:start="720" w:end="0"/>
        <w:jc w:val="both"/>
        <w:rPr>
          <w:b/>
          <w:bCs/>
          <w:sz w:val="22"/>
          <w:szCs w:val="22"/>
        </w:rPr>
      </w:pPr>
      <w:r>
        <w:rPr>
          <w:b/>
          <w:bCs/>
          <w:sz w:val="22"/>
          <w:szCs w:val="22"/>
        </w:rPr>
        <w:t>6.2  Normal Butane:</w:t>
      </w:r>
    </w:p>
    <w:p>
      <w:pPr>
        <w:pStyle w:val="Normal"/>
        <w:keepNext w:val="true"/>
        <w:keepLines/>
        <w:ind w:start="720" w:end="0"/>
        <w:jc w:val="both"/>
        <w:rPr>
          <w:b/>
          <w:bCs/>
          <w:sz w:val="22"/>
          <w:szCs w:val="22"/>
        </w:rPr>
      </w:pPr>
      <w:r>
        <w:rPr>
          <w:b/>
          <w:bCs/>
          <w:sz w:val="22"/>
          <w:szCs w:val="22"/>
        </w:rPr>
      </w:r>
    </w:p>
    <w:p>
      <w:pPr>
        <w:pStyle w:val="Normal"/>
        <w:ind w:start="720" w:end="0"/>
        <w:jc w:val="both"/>
        <w:rPr/>
      </w:pPr>
      <w:r>
        <w:rPr>
          <w:sz w:val="22"/>
          <w:szCs w:val="22"/>
        </w:rPr>
        <w:t xml:space="preserve">6.2.1  </w:t>
        <w:tab/>
      </w:r>
      <w:r>
        <w:rPr>
          <w:sz w:val="22"/>
          <w:szCs w:val="22"/>
          <w:u w:val="single"/>
        </w:rPr>
        <w:t>Quantity</w:t>
      </w:r>
      <w:r>
        <w:rPr>
          <w:sz w:val="22"/>
          <w:szCs w:val="22"/>
        </w:rPr>
        <w:t>:        EGLI will sell to EGPFC all normal butane requirements of the MTBE Plant, estimated to be 14,500 barrels per day.  EGLI will deliver quantities of normal butane to the MTBE Plant as determined by EGPFC.  EGPFC will nominate delivery volumes to EGLI on or before the fifth (5</w:t>
      </w:r>
      <w:r>
        <w:rPr>
          <w:sz w:val="22"/>
          <w:szCs w:val="22"/>
          <w:vertAlign w:val="superscript"/>
        </w:rPr>
        <w:t>th</w:t>
      </w:r>
      <w:r>
        <w:rPr>
          <w:sz w:val="22"/>
          <w:szCs w:val="22"/>
        </w:rPr>
        <w:t>) working day preceding the end of the month prior to the month the normal butane quantity is to be made available.  If EGPFC underestimates the quantity required and EGLI buys spot quantities to fill this need, then EGPFC will be accountable for the spot price paid for additional quantities.  If monthly nominated volumes exceed 14,500 barrels per day, EGLI will use its best efforts, depending on availability of Koch/GCF normal butane, to supply the excess volume within the month of production.  Upon notification of change in demand for the MTBE Plant, EGLI will exert best efforts to meet those changes and mitigate costs.</w:t>
      </w:r>
    </w:p>
    <w:p>
      <w:pPr>
        <w:pStyle w:val="Normal"/>
        <w:ind w:start="720" w:end="0"/>
        <w:jc w:val="both"/>
        <w:rPr>
          <w:sz w:val="22"/>
          <w:szCs w:val="22"/>
        </w:rPr>
      </w:pPr>
      <w:r>
        <w:rPr>
          <w:sz w:val="22"/>
          <w:szCs w:val="22"/>
        </w:rPr>
      </w:r>
    </w:p>
    <w:p>
      <w:pPr>
        <w:pStyle w:val="Normal"/>
        <w:ind w:start="720" w:end="0"/>
        <w:jc w:val="both"/>
        <w:rPr/>
      </w:pPr>
      <w:r>
        <w:rPr>
          <w:sz w:val="22"/>
          <w:szCs w:val="22"/>
        </w:rPr>
        <w:t>6.2.2</w:t>
        <w:tab/>
      </w:r>
      <w:r>
        <w:rPr>
          <w:sz w:val="22"/>
          <w:szCs w:val="22"/>
          <w:u w:val="single"/>
        </w:rPr>
        <w:t>Delivery</w:t>
      </w:r>
      <w:r>
        <w:rPr>
          <w:sz w:val="22"/>
          <w:szCs w:val="22"/>
        </w:rPr>
        <w:t>:      Ownership of the normal butane will transfer from EGLI to EGPFC at the inlet meter at Enron’s storage facility at Mont Belvieu (“the MBS Facility”).  EGLI will schedule all normal butane through EGPFC for delivery to the MBS Facility.  Ownership of the product will not transfer until EGPFC has had a reasonable opportunity to determine whether the normal butane meets the specifications required in Exhibit “B”.  Measurement at the receipt point shall be made in accordance with EGPFC’s standard measurement procedures.</w:t>
      </w:r>
    </w:p>
    <w:p>
      <w:pPr>
        <w:pStyle w:val="Normal"/>
        <w:jc w:val="both"/>
        <w:rPr>
          <w:b/>
          <w:bCs/>
          <w:sz w:val="22"/>
          <w:szCs w:val="22"/>
        </w:rPr>
      </w:pPr>
      <w:r>
        <w:rPr>
          <w:b/>
          <w:bCs/>
          <w:sz w:val="22"/>
          <w:szCs w:val="22"/>
        </w:rPr>
      </w:r>
    </w:p>
    <w:p>
      <w:pPr>
        <w:pStyle w:val="Normal"/>
        <w:ind w:start="720" w:end="0"/>
        <w:jc w:val="both"/>
        <w:rPr/>
      </w:pPr>
      <w:r>
        <w:rPr>
          <w:sz w:val="22"/>
          <w:szCs w:val="22"/>
        </w:rPr>
        <w:t>6.2.3</w:t>
        <w:tab/>
      </w:r>
      <w:r>
        <w:rPr>
          <w:sz w:val="22"/>
          <w:szCs w:val="22"/>
          <w:u w:val="single"/>
        </w:rPr>
        <w:t>Specifications</w:t>
      </w:r>
      <w:r>
        <w:rPr>
          <w:sz w:val="22"/>
          <w:szCs w:val="22"/>
        </w:rPr>
        <w:t>:         EGLI will undertake its best efforts to ensure that normal butane delivered to the MBS Facility will meet the specifications set by EGPFC in Exhibit “B”.  It is known by both EGPFC and EGLI that EGLI has secured certain term contracts with producers to purchase up to 12,500 barrels per day of normal butane which are required to meet the specifications set forth in Exhibit “B”.  Certificate of analysis for the normal butane will be provided by EGLI to EGPFC.  The cost of any special testing requested by any party to be performed by a commercial laboratory will be borne by the party making the request.  EGPFC shall have the right to refuse acceptance of any normal butane that does not meet the specifications as outlined in Exhibit “B” after ECFC and EGLI have been notified.  After EGPFC has notified ECFC of the cost associated with handling the off-specification material, ECFC will then be financially responsible for the additional costs incurred by EGPFC.</w:t>
      </w:r>
    </w:p>
    <w:p>
      <w:pPr>
        <w:pStyle w:val="Normal"/>
        <w:ind w:start="720" w:end="0"/>
        <w:jc w:val="both"/>
        <w:rPr>
          <w:b/>
          <w:bCs/>
          <w:sz w:val="22"/>
          <w:szCs w:val="22"/>
        </w:rPr>
      </w:pPr>
      <w:r>
        <w:rPr>
          <w:sz w:val="22"/>
          <w:szCs w:val="22"/>
        </w:rPr>
        <w:t xml:space="preserve">  </w:t>
      </w:r>
    </w:p>
    <w:p>
      <w:pPr>
        <w:pStyle w:val="Normal"/>
        <w:ind w:start="720" w:end="0"/>
        <w:jc w:val="both"/>
        <w:rPr/>
      </w:pPr>
      <w:r>
        <w:rPr>
          <w:sz w:val="22"/>
          <w:szCs w:val="22"/>
        </w:rPr>
        <w:t xml:space="preserve">6.2.4  </w:t>
      </w:r>
      <w:r>
        <w:rPr>
          <w:sz w:val="22"/>
          <w:szCs w:val="22"/>
          <w:u w:val="single"/>
        </w:rPr>
        <w:t>Price</w:t>
      </w:r>
      <w:r>
        <w:rPr>
          <w:sz w:val="22"/>
          <w:szCs w:val="22"/>
        </w:rPr>
        <w:t xml:space="preserve">:       EGPFC will pay EGLI on or before the Payment Date for the quantity of normal butane delivered each month at a price per gallon equal to the arithmetic monthly average of the high Mont Belvieu, TX "Non-TET" spot prices for normal butane as published in </w:t>
      </w:r>
      <w:r>
        <w:rPr>
          <w:sz w:val="22"/>
          <w:szCs w:val="22"/>
          <w:u w:val="single"/>
        </w:rPr>
        <w:t>Oil Price Information Service's Petroscan (OPIS)</w:t>
      </w:r>
      <w:r>
        <w:rPr>
          <w:sz w:val="22"/>
          <w:szCs w:val="22"/>
        </w:rPr>
        <w:t xml:space="preserve"> during the particular month, plus $0.0015 for services related to but not wholly exclusive to securing the feedstock for delivery in a timely manner to the MBS Facility. If EGPFC nominates and accepts less than 12,500 barrels per day, EGPFC will pay a marketing fee of $0.0045 per gallon on the difference between 12,500 barrels per day and the actual volume nominated and accepted.  Payment to EGLI will be made or on before the Payment Date.</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r>
    </w:p>
    <w:p>
      <w:pPr>
        <w:pStyle w:val="Normal"/>
        <w:jc w:val="both"/>
        <w:rPr>
          <w:b/>
          <w:bCs/>
          <w:sz w:val="22"/>
          <w:szCs w:val="22"/>
        </w:rPr>
      </w:pPr>
      <w:r>
        <w:rPr>
          <w:b/>
          <w:bCs/>
          <w:sz w:val="22"/>
          <w:szCs w:val="22"/>
        </w:rPr>
        <w:t xml:space="preserve">7. </w:t>
        <w:tab/>
        <w:t>PRODUCTION:</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ab/>
        <w:t>7.1  MTBE</w:t>
      </w:r>
    </w:p>
    <w:p>
      <w:pPr>
        <w:pStyle w:val="Normal"/>
        <w:jc w:val="both"/>
        <w:rPr>
          <w:b/>
          <w:bCs/>
          <w:sz w:val="22"/>
          <w:szCs w:val="22"/>
        </w:rPr>
      </w:pPr>
      <w:r>
        <w:rPr>
          <w:b/>
          <w:bCs/>
          <w:sz w:val="22"/>
          <w:szCs w:val="22"/>
        </w:rPr>
      </w:r>
    </w:p>
    <w:p>
      <w:pPr>
        <w:pStyle w:val="Normal"/>
        <w:ind w:start="720" w:end="0"/>
        <w:jc w:val="both"/>
        <w:rPr/>
      </w:pPr>
      <w:r>
        <w:rPr>
          <w:sz w:val="22"/>
          <w:szCs w:val="22"/>
        </w:rPr>
        <w:t>7.1.1</w:t>
        <w:tab/>
      </w:r>
      <w:r>
        <w:rPr>
          <w:sz w:val="22"/>
          <w:szCs w:val="22"/>
          <w:u w:val="single"/>
        </w:rPr>
        <w:t>Quantity</w:t>
      </w:r>
      <w:r>
        <w:rPr>
          <w:sz w:val="22"/>
          <w:szCs w:val="22"/>
        </w:rPr>
        <w:t>:</w:t>
        <w:tab/>
        <w:t>EGPFC will sell to ECFC all MTBE produced at the MTBE Plant.  EGPFC will provide a projected production and feedstock volumetric schedule to ECFC by the fifth (5</w:t>
      </w:r>
      <w:r>
        <w:rPr>
          <w:sz w:val="22"/>
          <w:szCs w:val="22"/>
          <w:vertAlign w:val="superscript"/>
        </w:rPr>
        <w:t>th</w:t>
      </w:r>
      <w:r>
        <w:rPr>
          <w:sz w:val="22"/>
          <w:szCs w:val="22"/>
        </w:rPr>
        <w:t>) working day prior to the end of the month preceding the month the MTBE quantity is to be made available.  EGPFC will determine minimum inventory levels of MTBE located in tanks Nos. 101 and 102.</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7.1.2</w:t>
        <w:tab/>
      </w:r>
      <w:r>
        <w:rPr>
          <w:sz w:val="22"/>
          <w:szCs w:val="22"/>
          <w:u w:val="single"/>
        </w:rPr>
        <w:t>Delivery</w:t>
      </w:r>
      <w:r>
        <w:rPr>
          <w:sz w:val="22"/>
          <w:szCs w:val="22"/>
        </w:rPr>
        <w:t xml:space="preserve">:        Ownership of the MTBE will transfer from EGPFC to ECFC at the barge dock facilities at the MTBE Plant on the first day loading commences as to each delivery.  If ECFC elects to transfer ownership of MTBE at the MTBE rail car loading facility, ECFC will pay EGPFC an additional cost of $0.01 per gallon for services rendered.  ECFC will schedule all MTBE product movement through EGPFC.  Measurement at the delivery point shall be made in accordance with EGPFC’s static shore tank measurement or if static shore tank measurement is unavailable then turbine meter measurement and vessel with VEF will be used in determining correct volume loaded.  EGPFC will load the barge(s) at a minimum rate of 3,500 barrels per hour unless the tankerman requires a lower rate.  All other terms and conditions of the barge party charter agreement shall be applicable and EGPFC shall reimburse ECFC for any and all demurrage,  laytime and other charges caused by EGPFC. </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7.1.3</w:t>
        <w:tab/>
      </w:r>
      <w:r>
        <w:rPr>
          <w:sz w:val="22"/>
          <w:szCs w:val="22"/>
          <w:u w:val="single"/>
        </w:rPr>
        <w:t>Specifications</w:t>
      </w:r>
      <w:r>
        <w:rPr>
          <w:sz w:val="22"/>
          <w:szCs w:val="22"/>
        </w:rPr>
        <w:t>:        All MTBE delivered to ECFC will meet the specifications set by EGPFC in Exhibit “C”.  The cost for third-party inspection of quantity and quality will be split between ECFC, ECFC’s customer, and EGPFC.  The cost of any special testing requested by either party to be performed by a commercial laboratory will be borne by the party making the request.</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7.1.4</w:t>
        <w:tab/>
      </w:r>
      <w:r>
        <w:rPr>
          <w:sz w:val="22"/>
          <w:szCs w:val="22"/>
          <w:u w:val="single"/>
        </w:rPr>
        <w:t>Price</w:t>
      </w:r>
      <w:r>
        <w:rPr>
          <w:sz w:val="22"/>
          <w:szCs w:val="22"/>
        </w:rPr>
        <w:t xml:space="preserve">:      </w:t>
      </w:r>
    </w:p>
    <w:p>
      <w:pPr>
        <w:pStyle w:val="Normal"/>
        <w:numPr>
          <w:ilvl w:val="0"/>
          <w:numId w:val="3"/>
        </w:numPr>
        <w:tabs>
          <w:tab w:val="clear" w:pos="720"/>
          <w:tab w:val="left" w:pos="0" w:leader="none"/>
        </w:tabs>
        <w:ind w:hanging="360" w:start="1440" w:end="0"/>
        <w:jc w:val="both"/>
        <w:rPr/>
      </w:pPr>
      <w:r>
        <w:rPr>
          <w:sz w:val="22"/>
          <w:szCs w:val="22"/>
          <w:u w:val="single"/>
        </w:rPr>
        <w:t>Product sold FOB Morgan’s Point</w:t>
      </w:r>
      <w:r>
        <w:rPr>
          <w:sz w:val="22"/>
          <w:szCs w:val="22"/>
        </w:rPr>
        <w:t xml:space="preserve"> (barge only berth) - On or before the Payment Date, ECFC will pay EGPFC for the quantity of MTBE delivered each month a price per gallon equal to the arithmetic average of the midpoint US Gulf Coast, Waterborne, MTBE, as published in </w:t>
      </w:r>
      <w:r>
        <w:rPr>
          <w:sz w:val="22"/>
          <w:szCs w:val="22"/>
          <w:u w:val="single"/>
        </w:rPr>
        <w:t>Platt’s Oilgram Price Report</w:t>
      </w:r>
      <w:r>
        <w:rPr>
          <w:sz w:val="22"/>
          <w:szCs w:val="22"/>
        </w:rPr>
        <w:t xml:space="preserve"> for each issue during the particular month of delivery.  </w:t>
      </w:r>
    </w:p>
    <w:p>
      <w:pPr>
        <w:pStyle w:val="Normal"/>
        <w:ind w:hanging="360" w:start="1080" w:end="0"/>
        <w:rPr/>
      </w:pPr>
      <w:r>
        <w:rPr>
          <w:sz w:val="22"/>
          <w:szCs w:val="22"/>
        </w:rPr>
        <w:t xml:space="preserve">(b)  </w:t>
      </w:r>
      <w:r>
        <w:rPr>
          <w:sz w:val="22"/>
          <w:szCs w:val="22"/>
          <w:u w:val="single"/>
        </w:rPr>
        <w:t>Product sold FOB / Delivered Outside Terminal</w:t>
      </w:r>
      <w:r>
        <w:rPr>
          <w:sz w:val="22"/>
          <w:szCs w:val="22"/>
        </w:rPr>
        <w:t xml:space="preserve"> (vessel/barge berth) - On or before the Payment Date, ECFC will pay EGPFC for the quantity of MTBE delivered each month a price per gallon equal to the arithmetic average of the midpoint US Gulf Coast, Waterborne, MTBE, as published in </w:t>
      </w:r>
      <w:r>
        <w:rPr>
          <w:sz w:val="22"/>
          <w:szCs w:val="22"/>
          <w:u w:val="single"/>
        </w:rPr>
        <w:t>Platt’s Oilgram Price Report</w:t>
      </w:r>
      <w:r>
        <w:rPr>
          <w:sz w:val="22"/>
          <w:szCs w:val="22"/>
        </w:rPr>
        <w:t xml:space="preserve"> for each issue during the particular month of delivery minus $0.01504 per gallon.  </w:t>
      </w:r>
    </w:p>
    <w:p>
      <w:pPr>
        <w:pStyle w:val="Normal"/>
        <w:ind w:hanging="360" w:start="1080" w:end="0"/>
        <w:jc w:val="both"/>
        <w:rPr>
          <w:sz w:val="22"/>
          <w:szCs w:val="22"/>
        </w:rPr>
      </w:pPr>
      <w:r>
        <w:rPr>
          <w:sz w:val="22"/>
          <w:szCs w:val="22"/>
        </w:rPr>
        <w:t>(c)</w:t>
        <w:tab/>
        <w:t xml:space="preserve">In the event that during any month the MTBE plant is at less than 50% capacity for a period of time in excess of 5 days for any reason, the price per gallon for MTBE delivered during that month will be calculated using the average index prices (as set forth above) limited, however, to issues published during the portion of the month when the MTBE was available for sales and  the MTBE plant was at full operating rates. </w:t>
      </w:r>
    </w:p>
    <w:p>
      <w:pPr>
        <w:pStyle w:val="Normal"/>
        <w:jc w:val="both"/>
        <w:rPr>
          <w:sz w:val="22"/>
          <w:szCs w:val="22"/>
        </w:rPr>
      </w:pPr>
      <w:r>
        <w:rPr>
          <w:sz w:val="22"/>
          <w:szCs w:val="22"/>
        </w:rPr>
      </w:r>
    </w:p>
    <w:p>
      <w:pPr>
        <w:pStyle w:val="Normal"/>
        <w:ind w:hanging="720" w:start="720" w:end="0"/>
        <w:jc w:val="both"/>
        <w:rPr>
          <w:sz w:val="22"/>
          <w:szCs w:val="22"/>
        </w:rPr>
      </w:pPr>
      <w:r>
        <w:rPr>
          <w:sz w:val="22"/>
          <w:szCs w:val="22"/>
        </w:rPr>
        <w:tab/>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r>
      <w:r>
        <w:rPr>
          <w:b/>
          <w:bCs/>
          <w:sz w:val="22"/>
          <w:szCs w:val="22"/>
        </w:rPr>
        <w:t>7.2  Crude Isobutylene Mix</w:t>
      </w:r>
    </w:p>
    <w:p>
      <w:pPr>
        <w:pStyle w:val="Normal"/>
        <w:ind w:start="720" w:end="0"/>
        <w:jc w:val="both"/>
        <w:rPr>
          <w:b/>
          <w:bCs/>
          <w:sz w:val="22"/>
          <w:szCs w:val="22"/>
        </w:rPr>
      </w:pPr>
      <w:r>
        <w:rPr>
          <w:b/>
          <w:bCs/>
          <w:sz w:val="22"/>
          <w:szCs w:val="22"/>
        </w:rPr>
      </w:r>
    </w:p>
    <w:p>
      <w:pPr>
        <w:pStyle w:val="Normal"/>
        <w:ind w:start="720" w:end="0"/>
        <w:jc w:val="both"/>
        <w:rPr/>
      </w:pPr>
      <w:r>
        <w:rPr>
          <w:sz w:val="22"/>
          <w:szCs w:val="22"/>
        </w:rPr>
        <w:t>7.2.1</w:t>
        <w:tab/>
      </w:r>
      <w:r>
        <w:rPr>
          <w:sz w:val="22"/>
          <w:szCs w:val="22"/>
          <w:u w:val="single"/>
        </w:rPr>
        <w:t>Quantity</w:t>
      </w:r>
      <w:r>
        <w:rPr>
          <w:sz w:val="22"/>
          <w:szCs w:val="22"/>
        </w:rPr>
        <w:t>:      EGPFC will deliver to Lubrizol Corporation a Crude Isobutylene Mix on behalf of ECFC.  ECFC will provide a projected production and feedstock volumetric schedule to EGPFC by the fifth (5</w:t>
      </w:r>
      <w:r>
        <w:rPr>
          <w:sz w:val="22"/>
          <w:szCs w:val="22"/>
          <w:vertAlign w:val="superscript"/>
        </w:rPr>
        <w:t>th</w:t>
      </w:r>
      <w:r>
        <w:rPr>
          <w:sz w:val="22"/>
          <w:szCs w:val="22"/>
        </w:rPr>
        <w:t>) day of the preceding month.</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7.2.2</w:t>
        <w:tab/>
      </w:r>
      <w:r>
        <w:rPr>
          <w:sz w:val="22"/>
          <w:szCs w:val="22"/>
          <w:u w:val="single"/>
        </w:rPr>
        <w:t>Delivery</w:t>
      </w:r>
      <w:r>
        <w:rPr>
          <w:sz w:val="22"/>
          <w:szCs w:val="22"/>
        </w:rPr>
        <w:t>:       Ownership of the Crude Isobutylene Mix will transfer from EGPFC to the Lubrizol Corporation on behalf of ECFC at flange (Meter No. 158) which connects the delivery pipeline (MPP Pipeline) at the MTBE Plant.  Measurement at the delivery point shall be made in accordance with Article 9 of the Purchase/Sales Agreement for Isobutylene (the “Lubrizol Contract”) by and between the Lubrizol Corporation and EGLI.</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7.2.3</w:t>
        <w:tab/>
      </w:r>
      <w:r>
        <w:rPr>
          <w:sz w:val="22"/>
          <w:szCs w:val="22"/>
          <w:u w:val="single"/>
        </w:rPr>
        <w:t>Specifications</w:t>
      </w:r>
      <w:r>
        <w:rPr>
          <w:sz w:val="22"/>
          <w:szCs w:val="22"/>
        </w:rPr>
        <w:t>:</w:t>
        <w:tab/>
        <w:t xml:space="preserve">  All Crude Isobutylene Mix delivered to the Lubrizol Corporation on behalf of ECFC will meet the specifications set by Lubrizol Corporation as outlined in Exhibit “D”.  If the Crude Isobutylene Mix fails to meet the specifications as outlined in Exhibit “D” then ECFC on the behalf of the Lubrizol Corporation has the right to reject and not pay for such rejected Crude Isobutylene Mix stream.  Testing for quality will be performed by EGPFC at EGPFC’s expense.  The cost of any special testing requested by either party (EGPFC or ECFC on behalf of Lubrizol) to be performed by a commercial laboratory will be borne by the party making the request.</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7.2.4</w:t>
        <w:tab/>
      </w:r>
      <w:r>
        <w:rPr>
          <w:sz w:val="22"/>
          <w:szCs w:val="22"/>
          <w:u w:val="single"/>
        </w:rPr>
        <w:t>Price</w:t>
      </w:r>
      <w:r>
        <w:rPr>
          <w:sz w:val="22"/>
          <w:szCs w:val="22"/>
        </w:rPr>
        <w:t>:</w:t>
        <w:tab/>
        <w:t xml:space="preserve">    ECFC will pay EGPFC on or before the Payment Date for the quantity of contained isobutylene extracted during the preceding month by Lubrizol a price per gallon equal to NC4 + 35¢, where Normal Butane (NC4) value as referenced for Normal Butane in Section 6.2.4. </w:t>
      </w:r>
    </w:p>
    <w:p>
      <w:pPr>
        <w:pStyle w:val="Normal"/>
        <w:ind w:start="720" w:end="0"/>
        <w:jc w:val="both"/>
        <w:rPr>
          <w:sz w:val="22"/>
          <w:szCs w:val="22"/>
        </w:rPr>
      </w:pPr>
      <w:r>
        <w:rPr>
          <w:sz w:val="22"/>
          <w:szCs w:val="22"/>
        </w:rPr>
      </w:r>
    </w:p>
    <w:p>
      <w:pPr>
        <w:pStyle w:val="Normal"/>
        <w:ind w:start="720" w:end="0"/>
        <w:jc w:val="both"/>
        <w:rPr/>
      </w:pPr>
      <w:r>
        <w:rPr>
          <w:sz w:val="22"/>
          <w:szCs w:val="22"/>
        </w:rPr>
        <w:t>7.2.5</w:t>
        <w:tab/>
      </w:r>
      <w:r>
        <w:rPr>
          <w:sz w:val="22"/>
          <w:szCs w:val="22"/>
          <w:u w:val="single"/>
        </w:rPr>
        <w:t>Inventory</w:t>
      </w:r>
      <w:r>
        <w:rPr>
          <w:sz w:val="22"/>
          <w:szCs w:val="22"/>
        </w:rPr>
        <w:t>:</w:t>
        <w:tab/>
        <w:t xml:space="preserve">EGPFC will maintain the Crude Isobutylene Mix inventory at levels sufficient (estimated to be at 150,000 barrels) to supply the Lubrizol Corporation in the event of a disruption of supply from the MTBE Plant.  EGPFC will target a thirty-day supply as the minimum inventory level and EGPFC will own the Crude Isobutylene Mix inventory.  </w:t>
      </w:r>
    </w:p>
    <w:p>
      <w:pPr>
        <w:pStyle w:val="Normal"/>
        <w:jc w:val="both"/>
        <w:rPr>
          <w:sz w:val="22"/>
          <w:szCs w:val="22"/>
        </w:rPr>
      </w:pPr>
      <w:r>
        <w:rPr>
          <w:sz w:val="22"/>
          <w:szCs w:val="22"/>
        </w:rPr>
      </w:r>
    </w:p>
    <w:p>
      <w:pPr>
        <w:pStyle w:val="Normal"/>
        <w:ind w:start="720" w:end="0"/>
        <w:jc w:val="both"/>
        <w:rPr>
          <w:b/>
          <w:bCs/>
          <w:sz w:val="22"/>
          <w:szCs w:val="22"/>
        </w:rPr>
      </w:pPr>
      <w:r>
        <w:rPr>
          <w:b/>
          <w:bCs/>
          <w:sz w:val="22"/>
          <w:szCs w:val="22"/>
        </w:rPr>
        <w:t xml:space="preserve">7.3  </w:t>
        <w:tab/>
        <w:t>Lubrizol Return Stream</w:t>
      </w:r>
    </w:p>
    <w:p>
      <w:pPr>
        <w:pStyle w:val="Normal"/>
        <w:jc w:val="both"/>
        <w:rPr>
          <w:b/>
          <w:bCs/>
          <w:sz w:val="22"/>
          <w:szCs w:val="22"/>
        </w:rPr>
      </w:pPr>
      <w:r>
        <w:rPr>
          <w:b/>
          <w:bCs/>
          <w:sz w:val="22"/>
          <w:szCs w:val="22"/>
        </w:rPr>
      </w:r>
    </w:p>
    <w:p>
      <w:pPr>
        <w:pStyle w:val="Normal"/>
        <w:ind w:start="720" w:end="0"/>
        <w:jc w:val="both"/>
        <w:rPr/>
      </w:pPr>
      <w:r>
        <w:rPr>
          <w:sz w:val="22"/>
          <w:szCs w:val="22"/>
        </w:rPr>
        <w:t>7.3.1</w:t>
        <w:tab/>
      </w:r>
      <w:r>
        <w:rPr>
          <w:sz w:val="22"/>
          <w:szCs w:val="22"/>
          <w:u w:val="single"/>
        </w:rPr>
        <w:t>Quantity</w:t>
      </w:r>
      <w:r>
        <w:rPr>
          <w:sz w:val="22"/>
          <w:szCs w:val="22"/>
        </w:rPr>
        <w:t>:</w:t>
        <w:tab/>
        <w:t>EGPFC will receive from ECFC on behalf of the Lubrizol Corporation a Return Stream.</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7.3.2</w:t>
        <w:tab/>
      </w:r>
      <w:r>
        <w:rPr>
          <w:sz w:val="22"/>
          <w:szCs w:val="22"/>
          <w:u w:val="single"/>
        </w:rPr>
        <w:t>Delivery</w:t>
      </w:r>
      <w:r>
        <w:rPr>
          <w:sz w:val="22"/>
          <w:szCs w:val="22"/>
        </w:rPr>
        <w:t>:</w:t>
        <w:tab/>
        <w:t>Ownership of the Lubrizol Return Stream will transfer to EGPFC from Lubrizol at flange (Meter No. 160) which connects the return pipeline (MPP Pipeline) to the EGPFC Plant at the MTBE Plant.  Measurement at the receipt point shall be made in accordance with Article 9 of the Lubrizol Contract.</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7.3.3</w:t>
        <w:tab/>
      </w:r>
      <w:r>
        <w:rPr>
          <w:sz w:val="22"/>
          <w:szCs w:val="22"/>
          <w:u w:val="single"/>
        </w:rPr>
        <w:t>Specifications</w:t>
      </w:r>
      <w:r>
        <w:rPr>
          <w:sz w:val="22"/>
          <w:szCs w:val="22"/>
        </w:rPr>
        <w:t>:</w:t>
        <w:tab/>
        <w:t xml:space="preserve">All Lubrizol Return Stream received from Lubrizol on behalf of ECFC will meet the specifications set by EGPFC in Exhibit “E” unless the variation is caused by the Crude Isobutylene Mix stream sent to Lubrizol from EGPFC. Otherwise, EGPFC shall have the right to refuse acceptance of any Lubrizol Return Stream that does not meet specifications. After EGPFC has notified ECFC that EGPFC will elect to accept the off-specification material and the costs associated with handling the off-specification material, ECFC on behalf of Lubrizol can either be financially responsible for the additional costs incurred by EGPFC or pursue an alternate handling of the Return Stream.  The cost of any special testing requested by either party (EGPFC or ECFC on behalf of Lubrizol) to be performed by a commercial laboratory will be borne by the party making the request.    </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7.3.4</w:t>
        <w:tab/>
      </w:r>
      <w:r>
        <w:rPr>
          <w:sz w:val="22"/>
          <w:szCs w:val="22"/>
          <w:u w:val="single"/>
        </w:rPr>
        <w:t>Price</w:t>
      </w:r>
      <w:r>
        <w:rPr>
          <w:sz w:val="22"/>
          <w:szCs w:val="22"/>
        </w:rPr>
        <w:t>:</w:t>
        <w:tab/>
        <w:t xml:space="preserve">On or before the Payment Date EGPFC will pay ECFC for the incremental quantity of isobutane and normal butane returned each month at a price per gallon equal to the arithmetic average of the high Mont Belvieu, TX "Non-TET" spot prices for normal butane as published in </w:t>
      </w:r>
      <w:r>
        <w:rPr>
          <w:sz w:val="22"/>
          <w:szCs w:val="22"/>
          <w:u w:val="single"/>
        </w:rPr>
        <w:t>Oil Price Information Service's Petroscan (OPIS)</w:t>
      </w:r>
      <w:r>
        <w:rPr>
          <w:sz w:val="22"/>
          <w:szCs w:val="22"/>
        </w:rPr>
        <w:t xml:space="preserve"> during the particular month</w:t>
      </w:r>
    </w:p>
    <w:p>
      <w:pPr>
        <w:pStyle w:val="Normal"/>
        <w:jc w:val="both"/>
        <w:rPr>
          <w:sz w:val="22"/>
          <w:szCs w:val="22"/>
        </w:rPr>
      </w:pPr>
      <w:r>
        <w:rPr>
          <w:sz w:val="22"/>
          <w:szCs w:val="22"/>
        </w:rPr>
      </w:r>
      <w:r>
        <w:br w:type="page"/>
      </w:r>
    </w:p>
    <w:p>
      <w:pPr>
        <w:pStyle w:val="Normal"/>
        <w:jc w:val="both"/>
        <w:rPr>
          <w:sz w:val="22"/>
          <w:szCs w:val="22"/>
        </w:rPr>
      </w:pPr>
      <w:r>
        <w:rPr>
          <w:sz w:val="22"/>
          <w:szCs w:val="22"/>
        </w:rPr>
      </w:r>
    </w:p>
    <w:p>
      <w:pPr>
        <w:pStyle w:val="Normal"/>
        <w:jc w:val="both"/>
        <w:rPr/>
      </w:pPr>
      <w:r>
        <w:rPr>
          <w:b/>
          <w:bCs/>
          <w:sz w:val="22"/>
          <w:szCs w:val="22"/>
        </w:rPr>
        <w:t>8.</w:t>
        <w:tab/>
        <w:t>MTBE TERMINALING</w:t>
      </w:r>
      <w:r>
        <w:rPr>
          <w:sz w:val="22"/>
          <w:szCs w:val="22"/>
        </w:rPr>
        <w:t xml:space="preserve">: </w:t>
      </w:r>
    </w:p>
    <w:p>
      <w:pPr>
        <w:pStyle w:val="Normal"/>
        <w:jc w:val="both"/>
        <w:rPr>
          <w:sz w:val="22"/>
          <w:szCs w:val="22"/>
        </w:rPr>
      </w:pPr>
      <w:r>
        <w:rPr>
          <w:sz w:val="22"/>
          <w:szCs w:val="22"/>
        </w:rPr>
      </w:r>
    </w:p>
    <w:p>
      <w:pPr>
        <w:pStyle w:val="Normal"/>
        <w:ind w:start="720" w:end="0"/>
        <w:jc w:val="both"/>
        <w:rPr/>
      </w:pPr>
      <w:r>
        <w:rPr>
          <w:sz w:val="22"/>
          <w:szCs w:val="22"/>
        </w:rPr>
        <w:t xml:space="preserve">8.1   </w:t>
      </w:r>
      <w:r>
        <w:rPr>
          <w:sz w:val="22"/>
          <w:szCs w:val="22"/>
          <w:u w:val="single"/>
        </w:rPr>
        <w:t>Quantity</w:t>
      </w:r>
      <w:r>
        <w:rPr>
          <w:sz w:val="22"/>
          <w:szCs w:val="22"/>
        </w:rPr>
        <w:t>:</w:t>
        <w:tab/>
        <w:t xml:space="preserve">      ECFC may from time to time deliver MTBE to EGPFC by barge for terminaling.  Such volumes must be mutually agreed upon by both parties.</w:t>
      </w:r>
    </w:p>
    <w:p>
      <w:pPr>
        <w:pStyle w:val="Normal"/>
        <w:jc w:val="both"/>
        <w:rPr>
          <w:sz w:val="22"/>
          <w:szCs w:val="22"/>
        </w:rPr>
      </w:pPr>
      <w:r>
        <w:rPr>
          <w:sz w:val="22"/>
          <w:szCs w:val="22"/>
        </w:rPr>
      </w:r>
    </w:p>
    <w:p>
      <w:pPr>
        <w:pStyle w:val="Normal"/>
        <w:ind w:start="720" w:end="0"/>
        <w:jc w:val="both"/>
        <w:rPr/>
      </w:pPr>
      <w:r>
        <w:rPr>
          <w:sz w:val="22"/>
          <w:szCs w:val="22"/>
        </w:rPr>
        <w:t xml:space="preserve">8.2   </w:t>
      </w:r>
      <w:r>
        <w:rPr>
          <w:sz w:val="22"/>
          <w:szCs w:val="22"/>
          <w:u w:val="single"/>
        </w:rPr>
        <w:t>Delivery</w:t>
      </w:r>
      <w:r>
        <w:rPr>
          <w:sz w:val="22"/>
          <w:szCs w:val="22"/>
        </w:rPr>
        <w:t>:</w:t>
        <w:tab/>
        <w:t xml:space="preserve">  All receipts and deliveries will be scheduled through EGPFC.  Measurement at receipt and delivery will be determined by static shore tank gauging.  ECFC retains ownership of such product at all times for MTBE delivered for terminaling purposes.</w:t>
      </w:r>
    </w:p>
    <w:p>
      <w:pPr>
        <w:pStyle w:val="Normal"/>
        <w:jc w:val="both"/>
        <w:rPr>
          <w:sz w:val="22"/>
          <w:szCs w:val="22"/>
        </w:rPr>
      </w:pPr>
      <w:r>
        <w:rPr>
          <w:sz w:val="22"/>
          <w:szCs w:val="22"/>
        </w:rPr>
      </w:r>
    </w:p>
    <w:p>
      <w:pPr>
        <w:pStyle w:val="Normal"/>
        <w:ind w:start="720" w:end="0"/>
        <w:jc w:val="both"/>
        <w:rPr/>
      </w:pPr>
      <w:r>
        <w:rPr>
          <w:sz w:val="22"/>
          <w:szCs w:val="22"/>
        </w:rPr>
        <w:t>8.3   S</w:t>
      </w:r>
      <w:r>
        <w:rPr>
          <w:sz w:val="22"/>
          <w:szCs w:val="22"/>
          <w:u w:val="single"/>
        </w:rPr>
        <w:t>pecifications</w:t>
      </w:r>
      <w:r>
        <w:rPr>
          <w:sz w:val="22"/>
          <w:szCs w:val="22"/>
        </w:rPr>
        <w:t>:</w:t>
        <w:tab/>
        <w:t>MTBE delivered to EGPFC will meet the specifications set forth in Exhibit “C” unless waived by EGPFC prior to delivery.</w:t>
      </w:r>
    </w:p>
    <w:p>
      <w:pPr>
        <w:pStyle w:val="Normal"/>
        <w:jc w:val="both"/>
        <w:rPr>
          <w:sz w:val="22"/>
          <w:szCs w:val="22"/>
        </w:rPr>
      </w:pPr>
      <w:r>
        <w:rPr>
          <w:sz w:val="22"/>
          <w:szCs w:val="22"/>
        </w:rPr>
      </w:r>
    </w:p>
    <w:p>
      <w:pPr>
        <w:pStyle w:val="Normal"/>
        <w:ind w:start="720" w:end="0"/>
        <w:jc w:val="both"/>
        <w:rPr/>
      </w:pPr>
      <w:r>
        <w:rPr>
          <w:sz w:val="22"/>
          <w:szCs w:val="22"/>
        </w:rPr>
        <w:t xml:space="preserve">8.4   </w:t>
      </w:r>
      <w:r>
        <w:rPr>
          <w:sz w:val="22"/>
          <w:szCs w:val="22"/>
          <w:u w:val="single"/>
        </w:rPr>
        <w:t>Price</w:t>
      </w:r>
      <w:r>
        <w:rPr>
          <w:sz w:val="22"/>
          <w:szCs w:val="22"/>
        </w:rPr>
        <w:t>:</w:t>
        <w:tab/>
        <w:t>On or before the Payment Date ECFC will pay EGPFC a throughput fee of $0.00833 per gallon ($0.35 per barrel) for quantities received by EGPFC and delivered back to ECFC during the previous month.  This fee provides for, but is not limited to, loading, unloading, storage and testing of product.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pPr>
      <w:r>
        <w:rPr>
          <w:b/>
          <w:bCs/>
          <w:sz w:val="22"/>
          <w:szCs w:val="22"/>
        </w:rPr>
        <w:t>9.</w:t>
        <w:tab/>
        <w:t>AMENDMENTS</w:t>
      </w:r>
      <w:r>
        <w:rPr>
          <w:sz w:val="22"/>
          <w:szCs w:val="22"/>
        </w:rPr>
        <w:t>:</w:t>
        <w:tab/>
        <w:t>This Agreement contains all the agreements and understandings with respect to the subject matter of this Agreement.  No amendment or modification of this Agreement shall be of any force or effect unless made in writing and signed by both parties.  If the terms of this Agreement and any other writing related to this Agreement conflict, then the terms of this Agreement govern.</w:t>
      </w:r>
    </w:p>
    <w:p>
      <w:pPr>
        <w:pStyle w:val="Normal"/>
        <w:jc w:val="both"/>
        <w:rPr>
          <w:sz w:val="22"/>
          <w:szCs w:val="22"/>
        </w:rPr>
      </w:pPr>
      <w:r>
        <w:rPr>
          <w:sz w:val="22"/>
          <w:szCs w:val="22"/>
        </w:rPr>
      </w:r>
    </w:p>
    <w:p>
      <w:pPr>
        <w:pStyle w:val="Normal"/>
        <w:jc w:val="both"/>
        <w:rPr>
          <w:sz w:val="22"/>
          <w:szCs w:val="22"/>
        </w:rPr>
      </w:pPr>
      <w:r>
        <w:rPr>
          <w:sz w:val="22"/>
          <w:szCs w:val="22"/>
        </w:rPr>
        <w:tab/>
        <w:t>IN WITNESS WHEREOF, the undersigned parties have executed this Agreement to be effective as of January 1, 1999.</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ENRON CLEAN FUELS COMPANY,</w:t>
        <w:tab/>
        <w:tab/>
        <w:t>EGP FUELS COMPANY</w:t>
      </w:r>
    </w:p>
    <w:p>
      <w:pPr>
        <w:pStyle w:val="Normal"/>
        <w:jc w:val="both"/>
        <w:rPr/>
      </w:pPr>
      <w:r>
        <w:rPr>
          <w:b/>
          <w:bCs/>
          <w:sz w:val="22"/>
          <w:szCs w:val="22"/>
        </w:rPr>
        <w:t>a division of ENRON GAS LIQUIDS, INC.</w:t>
      </w:r>
      <w:r>
        <w:rPr>
          <w:sz w:val="22"/>
          <w:szCs w:val="22"/>
        </w:rPr>
        <w:tab/>
        <w:tab/>
        <w:tab/>
        <w:tab/>
        <w:tab/>
      </w:r>
    </w:p>
    <w:p>
      <w:pPr>
        <w:pStyle w:val="Normal"/>
        <w:jc w:val="both"/>
        <w:rPr>
          <w:sz w:val="22"/>
          <w:szCs w:val="22"/>
        </w:rPr>
      </w:pPr>
      <w:r>
        <w:rPr>
          <w:sz w:val="22"/>
          <w:szCs w:val="22"/>
        </w:rPr>
      </w:r>
    </w:p>
    <w:p>
      <w:pPr>
        <w:pStyle w:val="Normal"/>
        <w:jc w:val="both"/>
        <w:rPr>
          <w:sz w:val="22"/>
          <w:szCs w:val="22"/>
        </w:rPr>
      </w:pPr>
      <w:r>
        <w:rPr>
          <w:sz w:val="22"/>
          <w:szCs w:val="22"/>
        </w:rPr>
        <w:t>By:__________________________________</w:t>
        <w:tab/>
        <w:tab/>
        <w:t>By:_____________________________</w:t>
      </w:r>
    </w:p>
    <w:p>
      <w:pPr>
        <w:pStyle w:val="Normal"/>
        <w:jc w:val="both"/>
        <w:rPr>
          <w:sz w:val="22"/>
          <w:szCs w:val="22"/>
        </w:rPr>
      </w:pPr>
      <w:r>
        <w:rPr>
          <w:sz w:val="22"/>
          <w:szCs w:val="22"/>
        </w:rPr>
        <w:tab/>
        <w:t>“ECFC”</w:t>
        <w:tab/>
        <w:tab/>
        <w:tab/>
        <w:tab/>
        <w:tab/>
        <w:tab/>
        <w:t>“EGPFC”</w:t>
      </w:r>
    </w:p>
    <w:p>
      <w:pPr>
        <w:pStyle w:val="Normal"/>
        <w:jc w:val="both"/>
        <w:rPr>
          <w:sz w:val="22"/>
          <w:szCs w:val="22"/>
        </w:rPr>
      </w:pPr>
      <w:r>
        <w:rPr>
          <w:sz w:val="22"/>
          <w:szCs w:val="22"/>
        </w:rPr>
        <w:tab/>
        <w:tab/>
        <w:tab/>
        <w:tab/>
        <w:tab/>
        <w:tab/>
        <w:tab/>
        <w:tab/>
      </w:r>
    </w:p>
    <w:p>
      <w:pPr>
        <w:pStyle w:val="Normal"/>
        <w:jc w:val="both"/>
        <w:rPr>
          <w:b/>
          <w:bCs/>
          <w:sz w:val="22"/>
          <w:szCs w:val="22"/>
        </w:rPr>
      </w:pPr>
      <w:r>
        <w:rPr>
          <w:b/>
          <w:bCs/>
          <w:sz w:val="22"/>
          <w:szCs w:val="22"/>
        </w:rPr>
        <w:t>ENRON GAS LIQUIDS, INC.</w:t>
      </w:r>
    </w:p>
    <w:p>
      <w:pPr>
        <w:pStyle w:val="Normal"/>
        <w:jc w:val="both"/>
        <w:rPr>
          <w:sz w:val="22"/>
          <w:szCs w:val="22"/>
        </w:rPr>
      </w:pPr>
      <w:r>
        <w:rPr>
          <w:b/>
          <w:bCs/>
          <w:sz w:val="22"/>
          <w:szCs w:val="22"/>
        </w:rPr>
        <w:tab/>
        <w:tab/>
        <w:tab/>
        <w:tab/>
        <w:tab/>
        <w:tab/>
      </w:r>
    </w:p>
    <w:p>
      <w:pPr>
        <w:pStyle w:val="Normal"/>
        <w:jc w:val="both"/>
        <w:rPr>
          <w:sz w:val="22"/>
          <w:szCs w:val="22"/>
        </w:rPr>
      </w:pPr>
      <w:r>
        <w:rPr>
          <w:sz w:val="22"/>
          <w:szCs w:val="22"/>
        </w:rPr>
      </w:r>
    </w:p>
    <w:p>
      <w:pPr>
        <w:pStyle w:val="Normal"/>
        <w:jc w:val="both"/>
        <w:rPr>
          <w:sz w:val="22"/>
          <w:szCs w:val="22"/>
        </w:rPr>
      </w:pPr>
      <w:r>
        <w:rPr>
          <w:sz w:val="22"/>
          <w:szCs w:val="22"/>
        </w:rPr>
        <w:t>By:_____________________________</w:t>
      </w:r>
    </w:p>
    <w:p>
      <w:pPr>
        <w:pStyle w:val="Normal"/>
        <w:jc w:val="both"/>
        <w:rPr>
          <w:sz w:val="22"/>
          <w:szCs w:val="22"/>
        </w:rPr>
      </w:pPr>
      <w:r>
        <w:rPr>
          <w:sz w:val="22"/>
          <w:szCs w:val="22"/>
        </w:rPr>
        <w:tab/>
        <w:t>“EGLI”</w:t>
      </w:r>
    </w:p>
    <w:p>
      <w:pPr>
        <w:pStyle w:val="Normal"/>
        <w:jc w:val="both"/>
        <w:rPr>
          <w:sz w:val="22"/>
          <w:szCs w:val="22"/>
        </w:rPr>
      </w:pPr>
      <w:r>
        <w:rPr>
          <w:sz w:val="22"/>
          <w:szCs w:val="22"/>
        </w:rPr>
      </w:r>
      <w:r>
        <w:br w:type="page"/>
      </w:r>
    </w:p>
    <w:p>
      <w:pPr>
        <w:pStyle w:val="Normal"/>
        <w:tabs>
          <w:tab w:val="clear" w:pos="720"/>
          <w:tab w:val="left" w:pos="2160" w:leader="none"/>
          <w:tab w:val="left" w:pos="5760" w:leader="none"/>
          <w:tab w:val="left" w:pos="7200" w:leader="none"/>
        </w:tabs>
        <w:jc w:val="center"/>
        <w:rPr/>
      </w:pPr>
      <w:r>
        <w:rPr/>
        <w:t>EXHIBIT “A”</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MTBE PLANT</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METHANOL QUALITY SPECIFICATIONS</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FORMULA:  CH</w:t>
      </w:r>
      <w:r>
        <w:rPr>
          <w:vertAlign w:val="subscript"/>
        </w:rPr>
        <w:t>3</w:t>
      </w:r>
      <w:r>
        <w:rPr/>
        <w:t>OH</w:t>
        <w:tab/>
        <w:tab/>
        <w:t>MOL. WT.:  32.04</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FORM:  Liquid</w:t>
      </w:r>
    </w:p>
    <w:p>
      <w:pPr>
        <w:pStyle w:val="Normal"/>
        <w:tabs>
          <w:tab w:val="clear" w:pos="720"/>
          <w:tab w:val="left" w:pos="2160" w:leader="none"/>
          <w:tab w:val="left" w:pos="5760" w:leader="none"/>
          <w:tab w:val="left" w:pos="7200" w:leader="none"/>
        </w:tabs>
        <w:rPr/>
      </w:pPr>
      <w:r>
        <w:rPr/>
      </w:r>
    </w:p>
    <w:tbl>
      <w:tblPr>
        <w:tblW w:w="9063" w:type="dxa"/>
        <w:jc w:val="center"/>
        <w:tblInd w:w="0" w:type="dxa"/>
        <w:tblLayout w:type="fixed"/>
        <w:tblCellMar>
          <w:top w:w="0" w:type="dxa"/>
          <w:start w:w="108" w:type="dxa"/>
          <w:bottom w:w="0" w:type="dxa"/>
          <w:end w:w="108" w:type="dxa"/>
        </w:tblCellMar>
      </w:tblPr>
      <w:tblGrid>
        <w:gridCol w:w="2286"/>
        <w:gridCol w:w="5226"/>
        <w:gridCol w:w="1551"/>
      </w:tblGrid>
      <w:tr>
        <w:trPr>
          <w:trHeight w:val="360" w:hRule="atLeast"/>
        </w:trPr>
        <w:tc>
          <w:tcPr>
            <w:tcW w:w="2286"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snapToGrid w:val="false"/>
              <w:rPr/>
            </w:pPr>
            <w:r>
              <w:rPr/>
            </w:r>
          </w:p>
        </w:tc>
        <w:tc>
          <w:tcPr>
            <w:tcW w:w="5226" w:type="dxa"/>
            <w:tcBorders>
              <w:top w:val="single" w:sz="12" w:space="0" w:color="000000"/>
              <w:start w:val="single" w:sz="6" w:space="0" w:color="000000"/>
              <w:bottom w:val="single" w:sz="6" w:space="0" w:color="000000"/>
              <w:end w:val="single" w:sz="6" w:space="0" w:color="000000"/>
            </w:tcBorders>
          </w:tcPr>
          <w:p>
            <w:pPr>
              <w:pStyle w:val="Normal"/>
              <w:snapToGrid w:val="false"/>
              <w:rPr/>
            </w:pPr>
            <w:r>
              <w:rPr/>
            </w:r>
          </w:p>
        </w:tc>
        <w:tc>
          <w:tcPr>
            <w:tcW w:w="1551" w:type="dxa"/>
            <w:tcBorders>
              <w:top w:val="single" w:sz="12" w:space="0" w:color="000000"/>
              <w:start w:val="single" w:sz="6" w:space="0" w:color="000000"/>
              <w:bottom w:val="single" w:sz="6" w:space="0" w:color="000000"/>
              <w:end w:val="single" w:sz="12" w:space="0" w:color="000000"/>
            </w:tcBorders>
          </w:tcPr>
          <w:p>
            <w:pPr>
              <w:pStyle w:val="Normal"/>
              <w:jc w:val="center"/>
              <w:rPr/>
            </w:pPr>
            <w:r>
              <w:rPr/>
              <w:t>Test Method</w:t>
            </w:r>
          </w:p>
        </w:tc>
      </w:tr>
      <w:tr>
        <w:trPr>
          <w:trHeight w:val="360" w:hRule="atLeast"/>
        </w:trPr>
        <w:tc>
          <w:tcPr>
            <w:tcW w:w="2286" w:type="dxa"/>
            <w:tcBorders>
              <w:top w:val="dashed" w:sz="6" w:space="0" w:color="auto"/>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Suspended Solids</w:t>
            </w:r>
          </w:p>
        </w:tc>
        <w:tc>
          <w:tcPr>
            <w:tcW w:w="5226" w:type="dxa"/>
            <w:tcBorders>
              <w:top w:val="dashed" w:sz="6" w:space="0" w:color="auto"/>
              <w:start w:val="single" w:sz="6" w:space="0" w:color="000000"/>
              <w:bottom w:val="single" w:sz="6" w:space="0" w:color="000000"/>
              <w:end w:val="single" w:sz="6" w:space="0" w:color="000000"/>
            </w:tcBorders>
          </w:tcPr>
          <w:p>
            <w:pPr>
              <w:pStyle w:val="Normal"/>
              <w:tabs>
                <w:tab w:val="clear" w:pos="720"/>
                <w:tab w:val="left" w:pos="393" w:leader="none"/>
              </w:tabs>
              <w:rPr/>
            </w:pPr>
            <w:r>
              <w:rPr/>
              <w:t>Free from suspended matter</w:t>
            </w:r>
          </w:p>
        </w:tc>
        <w:tc>
          <w:tcPr>
            <w:tcW w:w="1551" w:type="dxa"/>
            <w:tcBorders>
              <w:top w:val="dashed" w:sz="6" w:space="0" w:color="auto"/>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Appearance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Clear, colorless, liquid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(1)</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Odor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No foreign odor; characteristic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D-1296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Methanol</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99.90% by wt. Minimum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(2)</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Distillation Range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1</w:t>
            </w:r>
            <w:r>
              <w:rPr>
                <w:vertAlign w:val="superscript"/>
              </w:rPr>
              <w:t>o</w:t>
            </w:r>
            <w:r>
              <w:rPr/>
              <w:t>C. max., to include 64.6 ± 0.1</w:t>
            </w:r>
            <w:r>
              <w:rPr>
                <w:vertAlign w:val="superscript"/>
              </w:rPr>
              <w:t>o</w:t>
            </w:r>
            <w:r>
              <w:rPr/>
              <w:t>C @ 760mm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D-1078</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Specific Gravity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0.7892 maximum @ 25</w:t>
            </w:r>
            <w:r>
              <w:rPr>
                <w:vertAlign w:val="superscript"/>
              </w:rPr>
              <w:t>o</w:t>
            </w:r>
            <w:r>
              <w:rPr/>
              <w:t>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Color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5 APHA,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D-1209</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Acidity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0.003% by wt. Maximum; as acetic acid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Alkalinity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0.0003% by wt. Maximum; as ammonia</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D-1614</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Acetone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0.003% by wt.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D-1612</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Carbonizables</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20 APHA,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Hydrocarbons</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Clear when diluted 1:2 with water, after 30 minutes</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Non-Volatile Matter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0.001% by wt.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D-1353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Permanganate Time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50 minutes minimum (0.02% KMnO</w:t>
            </w:r>
            <w:r>
              <w:rPr>
                <w:vertAlign w:val="subscript"/>
              </w:rPr>
              <w:t>4</w:t>
            </w:r>
            <w:r>
              <w:rPr/>
              <w:t xml:space="preserve"> @ 15</w:t>
            </w:r>
            <w:r>
              <w:rPr>
                <w:vertAlign w:val="superscript"/>
              </w:rPr>
              <w:t>o</w:t>
            </w:r>
            <w:r>
              <w:rPr/>
              <w:t>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D-1363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Water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0.05% by wt. Maximum when shipped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E-203</w:t>
            </w:r>
          </w:p>
        </w:tc>
      </w:tr>
      <w:tr>
        <w:trPr>
          <w:trHeight w:val="360" w:hRule="atLeast"/>
        </w:trPr>
        <w:tc>
          <w:tcPr>
            <w:tcW w:w="2286"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393" w:leader="none"/>
                <w:tab w:val="left" w:pos="753" w:leader="none"/>
                <w:tab w:val="left" w:pos="1113" w:leader="none"/>
              </w:tabs>
              <w:rPr/>
            </w:pPr>
            <w:r>
              <w:rPr/>
              <w:t>Metals</w:t>
            </w:r>
          </w:p>
        </w:tc>
        <w:tc>
          <w:tcPr>
            <w:tcW w:w="5226"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393" w:leader="none"/>
              </w:tabs>
              <w:rPr/>
            </w:pPr>
            <w:r>
              <w:rPr/>
              <w:t>1.0 ppm wt., maximum; as sodium, zinc, iron</w:t>
            </w:r>
          </w:p>
        </w:tc>
        <w:tc>
          <w:tcPr>
            <w:tcW w:w="1551"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393" w:leader="none"/>
              </w:tabs>
              <w:snapToGrid w:val="false"/>
              <w:jc w:val="center"/>
              <w:rPr/>
            </w:pPr>
            <w:r>
              <w:rPr/>
            </w:r>
          </w:p>
        </w:tc>
      </w:tr>
    </w:tbl>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Notes:</w:t>
      </w:r>
    </w:p>
    <w:p>
      <w:pPr>
        <w:pStyle w:val="Normal"/>
        <w:numPr>
          <w:ilvl w:val="0"/>
          <w:numId w:val="4"/>
        </w:numPr>
        <w:tabs>
          <w:tab w:val="clear" w:pos="720"/>
          <w:tab w:val="left" w:pos="0" w:leader="none"/>
          <w:tab w:val="left" w:pos="1800" w:leader="none"/>
          <w:tab w:val="left" w:pos="5400" w:leader="none"/>
          <w:tab w:val="left" w:pos="6840" w:leader="none"/>
        </w:tabs>
        <w:ind w:hanging="720" w:start="720" w:end="0"/>
        <w:rPr/>
      </w:pPr>
      <w:r>
        <w:rPr/>
        <w:t>Visual</w:t>
      </w:r>
    </w:p>
    <w:p>
      <w:pPr>
        <w:pStyle w:val="Normal"/>
        <w:numPr>
          <w:ilvl w:val="0"/>
          <w:numId w:val="4"/>
        </w:numPr>
        <w:tabs>
          <w:tab w:val="clear" w:pos="720"/>
          <w:tab w:val="left" w:pos="0" w:leader="none"/>
          <w:tab w:val="left" w:pos="1800" w:leader="none"/>
          <w:tab w:val="left" w:pos="5400" w:leader="none"/>
          <w:tab w:val="left" w:pos="6840" w:leader="none"/>
        </w:tabs>
        <w:ind w:hanging="360" w:start="720" w:end="0"/>
        <w:rPr/>
      </w:pPr>
      <w:r>
        <w:rPr/>
        <w:t>By Difference</w:t>
      </w:r>
    </w:p>
    <w:p>
      <w:pPr>
        <w:pStyle w:val="Normal"/>
        <w:tabs>
          <w:tab w:val="clear" w:pos="720"/>
          <w:tab w:val="left" w:pos="2160" w:leader="none"/>
          <w:tab w:val="left" w:pos="5760" w:leader="none"/>
          <w:tab w:val="left" w:pos="7200" w:leader="none"/>
        </w:tabs>
        <w:rPr/>
      </w:pPr>
      <w:r>
        <w:rPr/>
      </w:r>
    </w:p>
    <w:p>
      <w:pPr>
        <w:pStyle w:val="Normal"/>
        <w:tabs>
          <w:tab w:val="clear" w:pos="720"/>
          <w:tab w:val="left" w:pos="360" w:leader="none"/>
          <w:tab w:val="left" w:pos="540" w:leader="none"/>
          <w:tab w:val="left" w:pos="900" w:leader="none"/>
          <w:tab w:val="left" w:pos="2160" w:leader="none"/>
          <w:tab w:val="left" w:pos="5760" w:leader="none"/>
          <w:tab w:val="left" w:pos="7200" w:leader="none"/>
        </w:tabs>
        <w:rPr/>
      </w:pPr>
      <w:r>
        <w:rPr/>
        <w:t>Note:  These specifications define only a basic purity for this product.  The product is to be free of any contaminants that might render the product unsuitable.</w:t>
      </w:r>
    </w:p>
    <w:p>
      <w:pPr>
        <w:pStyle w:val="Normal"/>
        <w:tabs>
          <w:tab w:val="clear" w:pos="720"/>
          <w:tab w:val="left" w:pos="2160" w:leader="none"/>
          <w:tab w:val="left" w:pos="5760" w:leader="none"/>
          <w:tab w:val="left" w:pos="7200" w:leader="none"/>
        </w:tabs>
        <w:rPr/>
      </w:pPr>
      <w:r>
        <w:rPr/>
      </w:r>
      <w:r>
        <w:br w:type="page"/>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jc w:val="center"/>
        <w:rPr/>
      </w:pPr>
      <w:r>
        <w:rPr/>
        <w:t>EXHIBIT “B”</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MTBE PLANT</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NORMAL BUTANE QUALITY SPECIFICATIONS</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RECEIVED VIA PIPELINE</w:t>
      </w:r>
    </w:p>
    <w:p>
      <w:pPr>
        <w:pStyle w:val="Normal"/>
        <w:tabs>
          <w:tab w:val="clear" w:pos="720"/>
          <w:tab w:val="left" w:pos="2160" w:leader="none"/>
          <w:tab w:val="left" w:pos="5760" w:leader="none"/>
          <w:tab w:val="left" w:pos="7200" w:leader="none"/>
        </w:tabs>
        <w:rPr/>
      </w:pPr>
      <w:r>
        <w:rPr/>
      </w:r>
    </w:p>
    <w:tbl>
      <w:tblPr>
        <w:tblW w:w="9518" w:type="dxa"/>
        <w:jc w:val="center"/>
        <w:tblInd w:w="0" w:type="dxa"/>
        <w:tblLayout w:type="fixed"/>
        <w:tblCellMar>
          <w:top w:w="0" w:type="dxa"/>
          <w:start w:w="108" w:type="dxa"/>
          <w:bottom w:w="0" w:type="dxa"/>
          <w:end w:w="108" w:type="dxa"/>
        </w:tblCellMar>
      </w:tblPr>
      <w:tblGrid>
        <w:gridCol w:w="5951"/>
        <w:gridCol w:w="1776"/>
        <w:gridCol w:w="1791"/>
      </w:tblGrid>
      <w:tr>
        <w:trPr>
          <w:trHeight w:val="360" w:hRule="atLeast"/>
        </w:trPr>
        <w:tc>
          <w:tcPr>
            <w:tcW w:w="5951"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jc w:val="center"/>
              <w:rPr/>
            </w:pPr>
            <w:r>
              <w:rPr/>
              <w:t>Product Characteristics</w:t>
            </w:r>
          </w:p>
        </w:tc>
        <w:tc>
          <w:tcPr>
            <w:tcW w:w="1776" w:type="dxa"/>
            <w:tcBorders>
              <w:top w:val="single" w:sz="12" w:space="0" w:color="000000"/>
              <w:start w:val="single" w:sz="6" w:space="0" w:color="000000"/>
              <w:bottom w:val="single" w:sz="6" w:space="0" w:color="000000"/>
              <w:end w:val="single" w:sz="6" w:space="0" w:color="000000"/>
            </w:tcBorders>
          </w:tcPr>
          <w:p>
            <w:pPr>
              <w:pStyle w:val="Normal"/>
              <w:jc w:val="center"/>
              <w:rPr/>
            </w:pPr>
            <w:r>
              <w:rPr/>
              <w:t>Normal Butane</w:t>
            </w:r>
          </w:p>
        </w:tc>
        <w:tc>
          <w:tcPr>
            <w:tcW w:w="1791" w:type="dxa"/>
            <w:tcBorders>
              <w:top w:val="single" w:sz="12" w:space="0" w:color="000000"/>
              <w:start w:val="single" w:sz="6" w:space="0" w:color="000000"/>
              <w:bottom w:val="single" w:sz="6" w:space="0" w:color="000000"/>
              <w:end w:val="single" w:sz="12" w:space="0" w:color="000000"/>
            </w:tcBorders>
          </w:tcPr>
          <w:p>
            <w:pPr>
              <w:pStyle w:val="Normal"/>
              <w:jc w:val="center"/>
              <w:rPr/>
            </w:pPr>
            <w:r>
              <w:rPr/>
              <w:t>Test Method</w:t>
            </w:r>
          </w:p>
        </w:tc>
      </w:tr>
      <w:tr>
        <w:trPr>
          <w:trHeight w:val="280" w:hRule="atLeast"/>
        </w:trPr>
        <w:tc>
          <w:tcPr>
            <w:tcW w:w="5951" w:type="dxa"/>
            <w:tcBorders>
              <w:top w:val="dashed" w:sz="6" w:space="0" w:color="auto"/>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Composition:</w:t>
            </w:r>
          </w:p>
        </w:tc>
        <w:tc>
          <w:tcPr>
            <w:tcW w:w="1776" w:type="dxa"/>
            <w:tcBorders>
              <w:top w:val="dashed" w:sz="6" w:space="0" w:color="auto"/>
              <w:start w:val="single" w:sz="6" w:space="0" w:color="000000"/>
              <w:bottom w:val="single" w:sz="6" w:space="0" w:color="000000"/>
              <w:end w:val="single" w:sz="6" w:space="0" w:color="000000"/>
            </w:tcBorders>
          </w:tcPr>
          <w:p>
            <w:pPr>
              <w:pStyle w:val="Normal"/>
              <w:tabs>
                <w:tab w:val="clear" w:pos="720"/>
                <w:tab w:val="left" w:pos="393" w:leader="none"/>
              </w:tabs>
              <w:snapToGrid w:val="false"/>
              <w:jc w:val="center"/>
              <w:rPr/>
            </w:pPr>
            <w:r>
              <w:rPr/>
            </w:r>
          </w:p>
        </w:tc>
        <w:tc>
          <w:tcPr>
            <w:tcW w:w="1791" w:type="dxa"/>
            <w:tcBorders>
              <w:top w:val="dashed" w:sz="6" w:space="0" w:color="auto"/>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Liquid Volume %</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snapToGrid w:val="false"/>
              <w:jc w:val="center"/>
              <w:rPr/>
            </w:pPr>
            <w:r>
              <w:rPr/>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Normal Butane, Min.</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94.0%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ASTM D-2163</w:t>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Propane &amp; Lighter,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0.5%</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Isobutane,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6.0%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Pentanes,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1.5%</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Hexanes &amp; Heavier,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0.05%</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Total Olefins,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.35%</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ab/>
              <w:t>Isobutylene,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.02%</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ab/>
              <w:t>Butadiene,&amp; Other Diolefins,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.002%</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32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Vapor Pressure @ 100 Degrees F,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50 psig</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ASTM D-1267</w:t>
            </w:r>
          </w:p>
        </w:tc>
      </w:tr>
      <w:tr>
        <w:trPr>
          <w:trHeight w:val="32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 xml:space="preserve">Volatile Residue:  Temp @ 95% Evaporation, </w:t>
              <w:tab/>
              <w:t>Degrees F,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snapToGrid w:val="false"/>
              <w:jc w:val="center"/>
              <w:rPr/>
            </w:pPr>
            <w:r>
              <w:rPr/>
            </w:r>
          </w:p>
          <w:p>
            <w:pPr>
              <w:pStyle w:val="Normal"/>
              <w:tabs>
                <w:tab w:val="clear" w:pos="720"/>
                <w:tab w:val="left" w:pos="393" w:leader="none"/>
              </w:tabs>
              <w:jc w:val="center"/>
              <w:rPr/>
            </w:pPr>
            <w:r>
              <w:rPr/>
              <w:t>+36</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p>
            <w:pPr>
              <w:pStyle w:val="Normal"/>
              <w:tabs>
                <w:tab w:val="clear" w:pos="720"/>
                <w:tab w:val="left" w:pos="393" w:leader="none"/>
              </w:tabs>
              <w:jc w:val="center"/>
              <w:rPr/>
            </w:pPr>
            <w:r>
              <w:rPr/>
              <w:t>ASTM D-1837</w:t>
            </w:r>
          </w:p>
        </w:tc>
      </w:tr>
      <w:tr>
        <w:trPr>
          <w:trHeight w:val="32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Corrosion, Copper Strip,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No. 1</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ASTM D-1838</w:t>
            </w:r>
          </w:p>
        </w:tc>
      </w:tr>
      <w:tr>
        <w:trPr>
          <w:trHeight w:val="32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Free Water Content</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None</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Total Oxygenates, ppm wt., Max.</w:t>
            </w:r>
          </w:p>
          <w:p>
            <w:pPr>
              <w:pStyle w:val="Normal"/>
              <w:tabs>
                <w:tab w:val="clear" w:pos="720"/>
                <w:tab w:val="left" w:pos="393" w:leader="none"/>
                <w:tab w:val="left" w:pos="753" w:leader="none"/>
                <w:tab w:val="left" w:pos="1113" w:leader="none"/>
              </w:tabs>
              <w:rPr/>
            </w:pPr>
            <w:r>
              <w:rPr/>
              <w:tab/>
              <w:t>(Methanol, CO</w:t>
            </w:r>
            <w:r>
              <w:rPr>
                <w:vertAlign w:val="subscript"/>
              </w:rPr>
              <w:t>2</w:t>
            </w:r>
            <w:r>
              <w:rPr/>
              <w:t>, Heavy Alcohols, Ethers, Glycols)</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20.0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UOP-845</w:t>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ab/>
              <w:t>Methanol, ppm wt.,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20.0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ab/>
              <w:t>IPA and Heavier Alcohols, ppm wt.,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5.0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ab/>
              <w:t xml:space="preserve">MTBE and Other Ethers, ppm wt., Max. </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2.0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28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b/>
              <w:tab/>
              <w:t>Other Oxygenates, ppm wt.,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5.0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32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Total Sulphur, ppm wt.,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140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ASTM D-2784</w:t>
            </w:r>
          </w:p>
        </w:tc>
      </w:tr>
      <w:tr>
        <w:trPr>
          <w:trHeight w:val="32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Fluorides, ppm wt.,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1.0</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UOP-619</w:t>
            </w:r>
          </w:p>
        </w:tc>
      </w:tr>
      <w:tr>
        <w:trPr>
          <w:trHeight w:val="320" w:hRule="atLeast"/>
        </w:trPr>
        <w:tc>
          <w:tcPr>
            <w:tcW w:w="5951"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Fuel Bound Nitrogen, ppm wt., Max.</w:t>
            </w:r>
          </w:p>
        </w:tc>
        <w:tc>
          <w:tcPr>
            <w:tcW w:w="17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jc w:val="center"/>
              <w:rPr/>
            </w:pPr>
            <w:r>
              <w:rPr/>
              <w:t>0.5</w:t>
            </w:r>
          </w:p>
        </w:tc>
        <w:tc>
          <w:tcPr>
            <w:tcW w:w="179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ASTM D-4629</w:t>
            </w:r>
          </w:p>
        </w:tc>
      </w:tr>
      <w:tr>
        <w:trPr>
          <w:trHeight w:val="320" w:hRule="atLeast"/>
        </w:trPr>
        <w:tc>
          <w:tcPr>
            <w:tcW w:w="5951"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393" w:leader="none"/>
                <w:tab w:val="left" w:pos="753" w:leader="none"/>
                <w:tab w:val="left" w:pos="1113" w:leader="none"/>
              </w:tabs>
              <w:rPr/>
            </w:pPr>
            <w:r>
              <w:rPr/>
              <w:t>Metals, ppb wt., Max.</w:t>
            </w:r>
          </w:p>
        </w:tc>
        <w:tc>
          <w:tcPr>
            <w:tcW w:w="1776"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393" w:leader="none"/>
              </w:tabs>
              <w:jc w:val="center"/>
              <w:rPr/>
            </w:pPr>
            <w:r>
              <w:rPr/>
              <w:t>15</w:t>
            </w:r>
          </w:p>
        </w:tc>
        <w:tc>
          <w:tcPr>
            <w:tcW w:w="1791"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393" w:leader="none"/>
              </w:tabs>
              <w:jc w:val="center"/>
              <w:rPr/>
            </w:pPr>
            <w:r>
              <w:rPr/>
              <w:t>UOP-834</w:t>
            </w:r>
          </w:p>
          <w:p>
            <w:pPr>
              <w:pStyle w:val="Normal"/>
              <w:tabs>
                <w:tab w:val="clear" w:pos="720"/>
                <w:tab w:val="left" w:pos="393" w:leader="none"/>
              </w:tabs>
              <w:jc w:val="center"/>
              <w:rPr/>
            </w:pPr>
            <w:r>
              <w:rPr/>
              <w:t>UOP-906</w:t>
            </w:r>
          </w:p>
        </w:tc>
      </w:tr>
    </w:tbl>
    <w:p>
      <w:pPr>
        <w:pStyle w:val="Normal"/>
        <w:tabs>
          <w:tab w:val="clear" w:pos="720"/>
          <w:tab w:val="left" w:pos="2160" w:leader="none"/>
          <w:tab w:val="left" w:pos="5760" w:leader="none"/>
          <w:tab w:val="left" w:pos="7200" w:leader="none"/>
        </w:tabs>
        <w:rPr/>
      </w:pPr>
      <w:r>
        <w:rPr/>
      </w:r>
    </w:p>
    <w:p>
      <w:pPr>
        <w:pStyle w:val="Normal"/>
        <w:tabs>
          <w:tab w:val="clear" w:pos="720"/>
          <w:tab w:val="left" w:pos="360" w:leader="none"/>
          <w:tab w:val="left" w:pos="540" w:leader="none"/>
          <w:tab w:val="left" w:pos="900" w:leader="none"/>
          <w:tab w:val="left" w:pos="2160" w:leader="none"/>
          <w:tab w:val="left" w:pos="5760" w:leader="none"/>
          <w:tab w:val="left" w:pos="7200" w:leader="none"/>
        </w:tabs>
        <w:rPr/>
      </w:pPr>
      <w:r>
        <w:rPr/>
        <w:t>Note:  These specifications define only a basic purity for this product.  The product is to be free of any contaminants that might render the product unsuitable for isomerization.</w:t>
      </w:r>
    </w:p>
    <w:p>
      <w:pPr>
        <w:pStyle w:val="Normal"/>
        <w:tabs>
          <w:tab w:val="clear" w:pos="720"/>
          <w:tab w:val="left" w:pos="2160" w:leader="none"/>
          <w:tab w:val="left" w:pos="5760" w:leader="none"/>
          <w:tab w:val="left" w:pos="7200" w:leader="none"/>
        </w:tabs>
        <w:rPr/>
      </w:pPr>
      <w:r>
        <w:rPr/>
      </w:r>
      <w:r>
        <w:br w:type="page"/>
      </w:r>
    </w:p>
    <w:p>
      <w:pPr>
        <w:pStyle w:val="Normal"/>
        <w:jc w:val="center"/>
        <w:rPr/>
      </w:pPr>
      <w:r>
        <w:rPr/>
        <w:t>EXHIBIT “C”</w:t>
      </w:r>
    </w:p>
    <w:p>
      <w:pPr>
        <w:pStyle w:val="Normal"/>
        <w:jc w:val="center"/>
        <w:rPr/>
      </w:pPr>
      <w:r>
        <w:rPr/>
      </w:r>
    </w:p>
    <w:p>
      <w:pPr>
        <w:pStyle w:val="Normal"/>
        <w:tabs>
          <w:tab w:val="clear" w:pos="720"/>
          <w:tab w:val="left" w:pos="2160" w:leader="none"/>
          <w:tab w:val="left" w:pos="5760" w:leader="none"/>
          <w:tab w:val="left" w:pos="7200" w:leader="none"/>
        </w:tabs>
        <w:jc w:val="center"/>
        <w:rPr/>
      </w:pPr>
      <w:r>
        <w:rPr/>
        <w:t>MTBE PLANT</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MTBE QUALITY SPECIFICATIONS</w:t>
      </w:r>
    </w:p>
    <w:p>
      <w:pPr>
        <w:pStyle w:val="Normal"/>
        <w:tabs>
          <w:tab w:val="clear" w:pos="720"/>
          <w:tab w:val="left" w:pos="2160" w:leader="none"/>
          <w:tab w:val="left" w:pos="5760" w:leader="none"/>
          <w:tab w:val="left" w:pos="7200" w:leader="none"/>
        </w:tabs>
        <w:jc w:val="center"/>
        <w:rPr/>
      </w:pPr>
      <w:r>
        <w:rPr/>
      </w:r>
    </w:p>
    <w:tbl>
      <w:tblPr>
        <w:tblW w:w="5583" w:type="dxa"/>
        <w:jc w:val="center"/>
        <w:tblInd w:w="0" w:type="dxa"/>
        <w:tblLayout w:type="fixed"/>
        <w:tblCellMar>
          <w:top w:w="0" w:type="dxa"/>
          <w:start w:w="108" w:type="dxa"/>
          <w:bottom w:w="0" w:type="dxa"/>
          <w:end w:w="108" w:type="dxa"/>
        </w:tblCellMar>
      </w:tblPr>
      <w:tblGrid>
        <w:gridCol w:w="2601"/>
        <w:gridCol w:w="981"/>
        <w:gridCol w:w="2001"/>
      </w:tblGrid>
      <w:tr>
        <w:trPr>
          <w:trHeight w:val="360" w:hRule="atLeast"/>
        </w:trPr>
        <w:tc>
          <w:tcPr>
            <w:tcW w:w="2601" w:type="dxa"/>
            <w:tcBorders>
              <w:top w:val="single" w:sz="12" w:space="0" w:color="000000"/>
              <w:start w:val="single" w:sz="12" w:space="0" w:color="000000"/>
              <w:bottom w:val="single" w:sz="6" w:space="0" w:color="000000"/>
              <w:end w:val="single" w:sz="6" w:space="0" w:color="000000"/>
            </w:tcBorders>
          </w:tcPr>
          <w:p>
            <w:pPr>
              <w:pStyle w:val="Normal"/>
              <w:jc w:val="center"/>
              <w:rPr/>
            </w:pPr>
            <w:r>
              <w:rPr/>
              <w:t>Product Characteristics</w:t>
            </w:r>
          </w:p>
        </w:tc>
        <w:tc>
          <w:tcPr>
            <w:tcW w:w="981" w:type="dxa"/>
            <w:tcBorders>
              <w:top w:val="single" w:sz="12" w:space="0" w:color="000000"/>
              <w:start w:val="single" w:sz="6" w:space="0" w:color="000000"/>
              <w:bottom w:val="single" w:sz="6" w:space="0" w:color="000000"/>
              <w:end w:val="single" w:sz="6" w:space="0" w:color="000000"/>
            </w:tcBorders>
          </w:tcPr>
          <w:p>
            <w:pPr>
              <w:pStyle w:val="Normal"/>
              <w:jc w:val="center"/>
              <w:rPr/>
            </w:pPr>
            <w:r>
              <w:rPr/>
              <w:t>MTBE</w:t>
            </w:r>
          </w:p>
        </w:tc>
        <w:tc>
          <w:tcPr>
            <w:tcW w:w="2001" w:type="dxa"/>
            <w:tcBorders>
              <w:top w:val="single" w:sz="12" w:space="0" w:color="000000"/>
              <w:start w:val="single" w:sz="6" w:space="0" w:color="000000"/>
              <w:bottom w:val="single" w:sz="6" w:space="0" w:color="000000"/>
              <w:end w:val="single" w:sz="12" w:space="0" w:color="000000"/>
            </w:tcBorders>
          </w:tcPr>
          <w:p>
            <w:pPr>
              <w:pStyle w:val="Normal"/>
              <w:jc w:val="center"/>
              <w:rPr/>
            </w:pPr>
            <w:r>
              <w:rPr/>
              <w:t>Test Method</w:t>
            </w:r>
          </w:p>
        </w:tc>
      </w:tr>
      <w:tr>
        <w:trPr>
          <w:trHeight w:val="360" w:hRule="atLeast"/>
        </w:trPr>
        <w:tc>
          <w:tcPr>
            <w:tcW w:w="2601" w:type="dxa"/>
            <w:tcBorders>
              <w:top w:val="dashed" w:sz="6" w:space="0" w:color="auto"/>
              <w:start w:val="single" w:sz="12" w:space="0" w:color="000000"/>
              <w:bottom w:val="single" w:sz="6" w:space="0" w:color="000000"/>
              <w:end w:val="single" w:sz="6" w:space="0" w:color="000000"/>
            </w:tcBorders>
          </w:tcPr>
          <w:p>
            <w:pPr>
              <w:pStyle w:val="Normal"/>
              <w:rPr/>
            </w:pPr>
            <w:r>
              <w:rPr/>
              <w:t>MTBE - Minimum</w:t>
            </w:r>
          </w:p>
        </w:tc>
        <w:tc>
          <w:tcPr>
            <w:tcW w:w="981" w:type="dxa"/>
            <w:tcBorders>
              <w:top w:val="dashed" w:sz="6" w:space="0" w:color="auto"/>
              <w:start w:val="single" w:sz="6" w:space="0" w:color="000000"/>
              <w:bottom w:val="single" w:sz="6" w:space="0" w:color="000000"/>
              <w:end w:val="single" w:sz="6" w:space="0" w:color="000000"/>
            </w:tcBorders>
          </w:tcPr>
          <w:p>
            <w:pPr>
              <w:pStyle w:val="Normal"/>
              <w:jc w:val="center"/>
              <w:rPr/>
            </w:pPr>
            <w:r>
              <w:rPr/>
              <w:t>95.0%</w:t>
            </w:r>
          </w:p>
        </w:tc>
        <w:tc>
          <w:tcPr>
            <w:tcW w:w="2001" w:type="dxa"/>
            <w:tcBorders>
              <w:top w:val="dashed" w:sz="6" w:space="0" w:color="auto"/>
              <w:start w:val="single" w:sz="6" w:space="0" w:color="000000"/>
              <w:bottom w:val="single" w:sz="6" w:space="0" w:color="000000"/>
              <w:end w:val="single" w:sz="12" w:space="0" w:color="000000"/>
            </w:tcBorders>
          </w:tcPr>
          <w:p>
            <w:pPr>
              <w:pStyle w:val="Normal"/>
              <w:jc w:val="center"/>
              <w:rPr/>
            </w:pPr>
            <w:r>
              <w:rPr/>
              <w:t>EGP Fuels</w:t>
            </w:r>
          </w:p>
        </w:tc>
      </w:tr>
      <w:tr>
        <w:trPr>
          <w:trHeight w:val="360" w:hRule="atLeast"/>
        </w:trPr>
        <w:tc>
          <w:tcPr>
            <w:tcW w:w="2601" w:type="dxa"/>
            <w:tcBorders>
              <w:top w:val="single" w:sz="6" w:space="0" w:color="000000"/>
              <w:start w:val="single" w:sz="12" w:space="0" w:color="000000"/>
              <w:bottom w:val="single" w:sz="6" w:space="0" w:color="000000"/>
              <w:end w:val="single" w:sz="6" w:space="0" w:color="000000"/>
            </w:tcBorders>
          </w:tcPr>
          <w:p>
            <w:pPr>
              <w:pStyle w:val="Normal"/>
              <w:rPr/>
            </w:pPr>
            <w:r>
              <w:rPr/>
              <w:t>Methanol - Maximum</w:t>
            </w:r>
          </w:p>
        </w:tc>
        <w:tc>
          <w:tcPr>
            <w:tcW w:w="981"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2001" w:type="dxa"/>
            <w:tcBorders>
              <w:top w:val="single" w:sz="6" w:space="0" w:color="000000"/>
              <w:start w:val="single" w:sz="6" w:space="0" w:color="000000"/>
              <w:bottom w:val="single" w:sz="6" w:space="0" w:color="000000"/>
              <w:end w:val="single" w:sz="12" w:space="0" w:color="000000"/>
            </w:tcBorders>
          </w:tcPr>
          <w:p>
            <w:pPr>
              <w:pStyle w:val="Normal"/>
              <w:jc w:val="center"/>
              <w:rPr/>
            </w:pPr>
            <w:r>
              <w:rPr/>
              <w:t>EGP Fuels</w:t>
            </w:r>
          </w:p>
        </w:tc>
      </w:tr>
      <w:tr>
        <w:trPr>
          <w:trHeight w:val="360" w:hRule="atLeast"/>
        </w:trPr>
        <w:tc>
          <w:tcPr>
            <w:tcW w:w="2601" w:type="dxa"/>
            <w:tcBorders>
              <w:top w:val="single" w:sz="6" w:space="0" w:color="000000"/>
              <w:start w:val="single" w:sz="12" w:space="0" w:color="000000"/>
              <w:bottom w:val="single" w:sz="6" w:space="0" w:color="000000"/>
              <w:end w:val="single" w:sz="6" w:space="0" w:color="000000"/>
            </w:tcBorders>
          </w:tcPr>
          <w:p>
            <w:pPr>
              <w:pStyle w:val="Normal"/>
              <w:rPr/>
            </w:pPr>
            <w:r>
              <w:rPr/>
              <w:t>Water - Maximum</w:t>
            </w:r>
          </w:p>
        </w:tc>
        <w:tc>
          <w:tcPr>
            <w:tcW w:w="981" w:type="dxa"/>
            <w:tcBorders>
              <w:top w:val="single" w:sz="6" w:space="0" w:color="000000"/>
              <w:start w:val="single" w:sz="6" w:space="0" w:color="000000"/>
              <w:bottom w:val="single" w:sz="6" w:space="0" w:color="000000"/>
              <w:end w:val="single" w:sz="6" w:space="0" w:color="000000"/>
            </w:tcBorders>
          </w:tcPr>
          <w:p>
            <w:pPr>
              <w:pStyle w:val="Normal"/>
              <w:jc w:val="center"/>
              <w:rPr/>
            </w:pPr>
            <w:r>
              <w:rPr/>
              <w:t>0.15%</w:t>
            </w:r>
          </w:p>
        </w:tc>
        <w:tc>
          <w:tcPr>
            <w:tcW w:w="2001" w:type="dxa"/>
            <w:tcBorders>
              <w:top w:val="single" w:sz="6" w:space="0" w:color="000000"/>
              <w:start w:val="single" w:sz="6" w:space="0" w:color="000000"/>
              <w:bottom w:val="single" w:sz="6" w:space="0" w:color="000000"/>
              <w:end w:val="single" w:sz="12" w:space="0" w:color="000000"/>
            </w:tcBorders>
          </w:tcPr>
          <w:p>
            <w:pPr>
              <w:pStyle w:val="Normal"/>
              <w:jc w:val="center"/>
              <w:rPr/>
            </w:pPr>
            <w:r>
              <w:rPr/>
              <w:t>GC Method</w:t>
            </w:r>
          </w:p>
        </w:tc>
      </w:tr>
      <w:tr>
        <w:trPr>
          <w:trHeight w:val="360" w:hRule="atLeast"/>
        </w:trPr>
        <w:tc>
          <w:tcPr>
            <w:tcW w:w="2601" w:type="dxa"/>
            <w:tcBorders>
              <w:top w:val="single" w:sz="6" w:space="0" w:color="000000"/>
              <w:start w:val="single" w:sz="12" w:space="0" w:color="000000"/>
              <w:bottom w:val="single" w:sz="6" w:space="0" w:color="000000"/>
              <w:end w:val="single" w:sz="6" w:space="0" w:color="000000"/>
            </w:tcBorders>
          </w:tcPr>
          <w:p>
            <w:pPr>
              <w:pStyle w:val="Normal"/>
              <w:rPr/>
            </w:pPr>
            <w:r>
              <w:rPr/>
              <w:t>Other</w:t>
            </w:r>
          </w:p>
        </w:tc>
        <w:tc>
          <w:tcPr>
            <w:tcW w:w="981" w:type="dxa"/>
            <w:tcBorders>
              <w:top w:val="single" w:sz="6" w:space="0" w:color="000000"/>
              <w:start w:val="single" w:sz="6" w:space="0" w:color="000000"/>
              <w:bottom w:val="single" w:sz="6" w:space="0" w:color="000000"/>
              <w:end w:val="single" w:sz="6" w:space="0" w:color="000000"/>
            </w:tcBorders>
          </w:tcPr>
          <w:p>
            <w:pPr>
              <w:pStyle w:val="Normal"/>
              <w:jc w:val="center"/>
              <w:rPr>
                <w:rFonts w:ascii="Wingdings;Symbol" w:hAnsi="Wingdings;Symbol" w:eastAsia="Wingdings;Symbol" w:cs="Wingdings;Symbol"/>
              </w:rPr>
            </w:pPr>
            <w:r>
              <w:rPr>
                <w:rFonts w:eastAsia="Wingdings;Symbol" w:cs="Wingdings;Symbol" w:ascii="Wingdings;Symbol" w:hAnsi="Wingdings;Symbol"/>
              </w:rPr>
              <w:sym w:font="Wingdings;Symbol" w:char="ac"/>
            </w:r>
          </w:p>
        </w:tc>
        <w:tc>
          <w:tcPr>
            <w:tcW w:w="2001" w:type="dxa"/>
            <w:tcBorders>
              <w:top w:val="single" w:sz="6" w:space="0" w:color="000000"/>
              <w:start w:val="single" w:sz="6" w:space="0" w:color="000000"/>
              <w:bottom w:val="single" w:sz="6" w:space="0" w:color="000000"/>
              <w:end w:val="single" w:sz="12" w:space="0" w:color="000000"/>
            </w:tcBorders>
          </w:tcPr>
          <w:p>
            <w:pPr>
              <w:pStyle w:val="Normal"/>
              <w:jc w:val="center"/>
              <w:rPr/>
            </w:pPr>
            <w:r>
              <w:rPr/>
              <w:t>GC Method</w:t>
            </w:r>
          </w:p>
        </w:tc>
      </w:tr>
      <w:tr>
        <w:trPr>
          <w:trHeight w:val="360" w:hRule="atLeast"/>
        </w:trPr>
        <w:tc>
          <w:tcPr>
            <w:tcW w:w="2601" w:type="dxa"/>
            <w:tcBorders>
              <w:top w:val="single" w:sz="6" w:space="0" w:color="000000"/>
              <w:start w:val="single" w:sz="12" w:space="0" w:color="000000"/>
              <w:bottom w:val="single" w:sz="6" w:space="0" w:color="000000"/>
              <w:end w:val="single" w:sz="6" w:space="0" w:color="000000"/>
            </w:tcBorders>
          </w:tcPr>
          <w:p>
            <w:pPr>
              <w:pStyle w:val="Normal"/>
              <w:rPr/>
            </w:pPr>
            <w:r>
              <w:rPr/>
              <w:t>RVP, PSIA - Maximum</w:t>
            </w:r>
          </w:p>
        </w:tc>
        <w:tc>
          <w:tcPr>
            <w:tcW w:w="981" w:type="dxa"/>
            <w:tcBorders>
              <w:top w:val="single" w:sz="6" w:space="0" w:color="000000"/>
              <w:start w:val="single" w:sz="6" w:space="0" w:color="000000"/>
              <w:bottom w:val="single" w:sz="6" w:space="0" w:color="000000"/>
              <w:end w:val="single" w:sz="6" w:space="0" w:color="000000"/>
            </w:tcBorders>
          </w:tcPr>
          <w:p>
            <w:pPr>
              <w:pStyle w:val="Normal"/>
              <w:jc w:val="center"/>
              <w:rPr/>
            </w:pPr>
            <w:r>
              <w:rPr/>
              <w:t>9</w:t>
            </w:r>
          </w:p>
        </w:tc>
        <w:tc>
          <w:tcPr>
            <w:tcW w:w="2001" w:type="dxa"/>
            <w:tcBorders>
              <w:top w:val="single" w:sz="6" w:space="0" w:color="000000"/>
              <w:start w:val="single" w:sz="6" w:space="0" w:color="000000"/>
              <w:bottom w:val="single" w:sz="6" w:space="0" w:color="000000"/>
              <w:end w:val="single" w:sz="12" w:space="0" w:color="000000"/>
            </w:tcBorders>
          </w:tcPr>
          <w:p>
            <w:pPr>
              <w:pStyle w:val="Normal"/>
              <w:jc w:val="center"/>
              <w:rPr/>
            </w:pPr>
            <w:r>
              <w:rPr/>
              <w:t>ASTM D-5191-96</w:t>
            </w:r>
          </w:p>
        </w:tc>
      </w:tr>
      <w:tr>
        <w:trPr>
          <w:trHeight w:val="360" w:hRule="atLeast"/>
        </w:trPr>
        <w:tc>
          <w:tcPr>
            <w:tcW w:w="2601" w:type="dxa"/>
            <w:tcBorders>
              <w:top w:val="single" w:sz="6" w:space="0" w:color="000000"/>
              <w:start w:val="single" w:sz="12" w:space="0" w:color="000000"/>
              <w:bottom w:val="single" w:sz="12" w:space="0" w:color="000000"/>
              <w:end w:val="single" w:sz="6" w:space="0" w:color="000000"/>
            </w:tcBorders>
          </w:tcPr>
          <w:p>
            <w:pPr>
              <w:pStyle w:val="Normal"/>
              <w:rPr/>
            </w:pPr>
            <w:r>
              <w:rPr/>
              <w:t>Sulfur - Maximum</w:t>
            </w:r>
          </w:p>
        </w:tc>
        <w:tc>
          <w:tcPr>
            <w:tcW w:w="981" w:type="dxa"/>
            <w:tcBorders>
              <w:top w:val="single" w:sz="6" w:space="0" w:color="000000"/>
              <w:start w:val="single" w:sz="6" w:space="0" w:color="000000"/>
              <w:bottom w:val="single" w:sz="12" w:space="0" w:color="000000"/>
              <w:end w:val="single" w:sz="6" w:space="0" w:color="000000"/>
            </w:tcBorders>
          </w:tcPr>
          <w:p>
            <w:pPr>
              <w:pStyle w:val="Normal"/>
              <w:jc w:val="center"/>
              <w:rPr/>
            </w:pPr>
            <w:r>
              <w:rPr/>
              <w:t>10 ppm</w:t>
            </w:r>
          </w:p>
        </w:tc>
        <w:tc>
          <w:tcPr>
            <w:tcW w:w="2001" w:type="dxa"/>
            <w:tcBorders>
              <w:top w:val="single" w:sz="6" w:space="0" w:color="000000"/>
              <w:start w:val="single" w:sz="6" w:space="0" w:color="000000"/>
              <w:bottom w:val="single" w:sz="12" w:space="0" w:color="000000"/>
              <w:end w:val="single" w:sz="12" w:space="0" w:color="000000"/>
            </w:tcBorders>
          </w:tcPr>
          <w:p>
            <w:pPr>
              <w:pStyle w:val="Normal"/>
              <w:snapToGrid w:val="false"/>
              <w:jc w:val="center"/>
              <w:rPr/>
            </w:pPr>
            <w:r>
              <w:rPr/>
            </w:r>
          </w:p>
        </w:tc>
      </w:tr>
    </w:tbl>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Contaminants - The product shall be free of dirt, scale, rust and all other types of solid contaminants.</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rFonts w:eastAsia="Wingdings;Symbol" w:cs="Wingdings;Symbol" w:ascii="Wingdings;Symbol" w:hAnsi="Wingdings;Symbol"/>
        </w:rPr>
        <w:sym w:font="Wingdings;Symbol" w:char="ac"/>
      </w:r>
      <w:r>
        <w:rPr/>
        <w:t xml:space="preserve"> The balance of the composition of the MTBE shall consist of small quantities of various Olefins, Hydro Carbons and other Oxygenates directly associated with the manufacturing process and suitable for gasoline blending.</w:t>
      </w:r>
    </w:p>
    <w:p>
      <w:pPr>
        <w:pStyle w:val="Normal"/>
        <w:rPr/>
      </w:pPr>
      <w:r>
        <w:rPr/>
      </w:r>
      <w:r>
        <w:br w:type="page"/>
      </w:r>
    </w:p>
    <w:p>
      <w:pPr>
        <w:pStyle w:val="Normal"/>
        <w:jc w:val="center"/>
        <w:rPr/>
      </w:pPr>
      <w:r>
        <w:rPr/>
        <w:t>EXHIBIT “D”</w:t>
      </w:r>
    </w:p>
    <w:p>
      <w:pPr>
        <w:pStyle w:val="Normal"/>
        <w:rPr/>
      </w:pPr>
      <w:r>
        <w:rPr/>
      </w:r>
    </w:p>
    <w:p>
      <w:pPr>
        <w:pStyle w:val="Normal"/>
        <w:jc w:val="center"/>
        <w:rPr/>
      </w:pPr>
      <w:r>
        <w:rPr/>
        <w:t>MTBE PLANT</w:t>
      </w:r>
    </w:p>
    <w:p>
      <w:pPr>
        <w:pStyle w:val="Normal"/>
        <w:jc w:val="center"/>
        <w:rPr/>
      </w:pPr>
      <w:r>
        <w:rPr/>
      </w:r>
    </w:p>
    <w:p>
      <w:pPr>
        <w:pStyle w:val="Normal"/>
        <w:jc w:val="center"/>
        <w:rPr/>
      </w:pPr>
      <w:r>
        <w:rPr/>
        <w:t>ISOBUTYLENE MIX QUALITY SPECIFICATIONS</w:t>
      </w:r>
    </w:p>
    <w:p>
      <w:pPr>
        <w:pStyle w:val="Normal"/>
        <w:jc w:val="center"/>
        <w:rPr/>
      </w:pPr>
      <w:r>
        <w:rPr/>
      </w:r>
    </w:p>
    <w:p>
      <w:pPr>
        <w:pStyle w:val="Normal"/>
        <w:jc w:val="center"/>
        <w:rPr/>
      </w:pPr>
      <w:r>
        <w:rPr/>
        <w:t>DELIVERED VIA PIPELINE</w:t>
      </w:r>
    </w:p>
    <w:p>
      <w:pPr>
        <w:pStyle w:val="Normal"/>
        <w:rPr/>
      </w:pPr>
      <w:r>
        <w:rPr/>
      </w:r>
    </w:p>
    <w:tbl>
      <w:tblPr>
        <w:tblW w:w="9959" w:type="dxa"/>
        <w:jc w:val="center"/>
        <w:tblInd w:w="0" w:type="dxa"/>
        <w:tblLayout w:type="fixed"/>
        <w:tblCellMar>
          <w:top w:w="0" w:type="dxa"/>
          <w:start w:w="108" w:type="dxa"/>
          <w:bottom w:w="0" w:type="dxa"/>
          <w:end w:w="108" w:type="dxa"/>
        </w:tblCellMar>
      </w:tblPr>
      <w:tblGrid>
        <w:gridCol w:w="2550"/>
        <w:gridCol w:w="2666"/>
        <w:gridCol w:w="1511"/>
        <w:gridCol w:w="3232"/>
      </w:tblGrid>
      <w:tr>
        <w:trPr>
          <w:trHeight w:val="360" w:hRule="atLeast"/>
        </w:trPr>
        <w:tc>
          <w:tcPr>
            <w:tcW w:w="2550" w:type="dxa"/>
            <w:tcBorders>
              <w:top w:val="single" w:sz="12" w:space="0" w:color="000000"/>
              <w:start w:val="single" w:sz="12" w:space="0" w:color="000000"/>
              <w:bottom w:val="single" w:sz="6" w:space="0" w:color="000000"/>
              <w:end w:val="single" w:sz="6" w:space="0" w:color="000000"/>
            </w:tcBorders>
          </w:tcPr>
          <w:p>
            <w:pPr>
              <w:pStyle w:val="Normal"/>
              <w:jc w:val="center"/>
              <w:rPr/>
            </w:pPr>
            <w:r>
              <w:rPr/>
              <w:t>Component</w:t>
            </w:r>
          </w:p>
        </w:tc>
        <w:tc>
          <w:tcPr>
            <w:tcW w:w="2666" w:type="dxa"/>
            <w:tcBorders>
              <w:top w:val="single" w:sz="12" w:space="0" w:color="000000"/>
              <w:start w:val="single" w:sz="6" w:space="0" w:color="000000"/>
              <w:bottom w:val="single" w:sz="6" w:space="0" w:color="000000"/>
              <w:end w:val="single" w:sz="6" w:space="0" w:color="000000"/>
            </w:tcBorders>
          </w:tcPr>
          <w:p>
            <w:pPr>
              <w:pStyle w:val="Normal"/>
              <w:jc w:val="center"/>
              <w:rPr/>
            </w:pPr>
            <w:r>
              <w:rPr/>
              <w:t>Concentration Limits</w:t>
            </w:r>
          </w:p>
        </w:tc>
        <w:tc>
          <w:tcPr>
            <w:tcW w:w="1511" w:type="dxa"/>
            <w:tcBorders>
              <w:top w:val="single" w:sz="12" w:space="0" w:color="000000"/>
              <w:start w:val="single" w:sz="6" w:space="0" w:color="000000"/>
              <w:bottom w:val="single" w:sz="6" w:space="0" w:color="000000"/>
              <w:end w:val="single" w:sz="6" w:space="0" w:color="000000"/>
            </w:tcBorders>
          </w:tcPr>
          <w:p>
            <w:pPr>
              <w:pStyle w:val="Normal"/>
              <w:jc w:val="center"/>
              <w:rPr/>
            </w:pPr>
            <w:r>
              <w:rPr/>
              <w:t>Typical</w:t>
            </w:r>
          </w:p>
        </w:tc>
        <w:tc>
          <w:tcPr>
            <w:tcW w:w="3232" w:type="dxa"/>
            <w:tcBorders>
              <w:top w:val="single" w:sz="12" w:space="0" w:color="000000"/>
              <w:start w:val="single" w:sz="6" w:space="0" w:color="000000"/>
              <w:bottom w:val="single" w:sz="6" w:space="0" w:color="000000"/>
              <w:end w:val="single" w:sz="12" w:space="0" w:color="000000"/>
            </w:tcBorders>
          </w:tcPr>
          <w:p>
            <w:pPr>
              <w:pStyle w:val="Normal"/>
              <w:jc w:val="center"/>
              <w:rPr/>
            </w:pPr>
            <w:r>
              <w:rPr/>
              <w:t>Test Method</w:t>
            </w:r>
          </w:p>
        </w:tc>
      </w:tr>
      <w:tr>
        <w:trPr>
          <w:trHeight w:val="360" w:hRule="atLeast"/>
        </w:trPr>
        <w:tc>
          <w:tcPr>
            <w:tcW w:w="2550" w:type="dxa"/>
            <w:tcBorders>
              <w:top w:val="dashed" w:sz="6" w:space="0" w:color="auto"/>
              <w:start w:val="single" w:sz="12" w:space="0" w:color="000000"/>
              <w:bottom w:val="single" w:sz="6" w:space="0" w:color="000000"/>
              <w:end w:val="single" w:sz="6" w:space="0" w:color="000000"/>
            </w:tcBorders>
          </w:tcPr>
          <w:p>
            <w:pPr>
              <w:pStyle w:val="Normal"/>
              <w:rPr/>
            </w:pPr>
            <w:r>
              <w:rPr/>
              <w:t>Isobutane</w:t>
            </w:r>
          </w:p>
        </w:tc>
        <w:tc>
          <w:tcPr>
            <w:tcW w:w="2666" w:type="dxa"/>
            <w:tcBorders>
              <w:top w:val="dashed" w:sz="6" w:space="0" w:color="auto"/>
              <w:start w:val="single" w:sz="6" w:space="0" w:color="000000"/>
              <w:bottom w:val="single" w:sz="6" w:space="0" w:color="000000"/>
              <w:end w:val="single" w:sz="6" w:space="0" w:color="000000"/>
            </w:tcBorders>
          </w:tcPr>
          <w:p>
            <w:pPr>
              <w:pStyle w:val="Normal"/>
              <w:jc w:val="center"/>
              <w:rPr/>
            </w:pPr>
            <w:r>
              <w:rPr/>
              <w:t>No Limit</w:t>
            </w:r>
          </w:p>
        </w:tc>
        <w:tc>
          <w:tcPr>
            <w:tcW w:w="1511" w:type="dxa"/>
            <w:tcBorders>
              <w:top w:val="dashed" w:sz="6" w:space="0" w:color="auto"/>
              <w:start w:val="single" w:sz="6" w:space="0" w:color="000000"/>
              <w:bottom w:val="single" w:sz="6" w:space="0" w:color="000000"/>
              <w:end w:val="single" w:sz="6" w:space="0" w:color="000000"/>
            </w:tcBorders>
          </w:tcPr>
          <w:p>
            <w:pPr>
              <w:pStyle w:val="Normal"/>
              <w:jc w:val="center"/>
              <w:rPr/>
            </w:pPr>
            <w:r>
              <w:rPr/>
              <w:t>49.0 wt. %</w:t>
            </w:r>
          </w:p>
        </w:tc>
        <w:tc>
          <w:tcPr>
            <w:tcW w:w="3232" w:type="dxa"/>
            <w:tcBorders>
              <w:top w:val="dashed" w:sz="6" w:space="0" w:color="auto"/>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Isobutylene</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39.2 wt. % (minimum)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43.8 wt. %</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Other C4 Olefins</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2.28 wt. %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1.39 wt. %</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Normal Butane</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2.54 wt. %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1.4 wt. %</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C3 and Lighter</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4.5 wt. %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4.2 wt. %</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C5 and Heavier</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0.6 wt. %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0.02 wt. %</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Butadiene</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0.28 wt. %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0.07 wt. %</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Oxidex Oxygenates</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50.0 wt. ppm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ppm</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Free Water</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None</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None</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Visual Check</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Nitrogen Compounds</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2.24 wt. ppm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&lt;1.0 wt. ppm</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ASTM D4629-71</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Halides</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0.6 wt. ppm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&lt;0.1 wt. ppm</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UOP 779-77</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Aluminum</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1.0 wt. ppm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ppm</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IP 377</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Sodium</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0.6 wt. ppm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ppm</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UOP 249</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Sulfur Compounds</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2.0 wt. ppm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&lt;1.0 wt. ppm</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ASTM D-3246</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Mercury</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12.0 wt. ppb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ppb</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Arsenic</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1.0 wt. ppb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ppb</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Lead</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12.0 wt. ppb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ppb</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Iron</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0.3 wt. ppb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ppm</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Copper</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1.0 wt. ppb (maximum)</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0.0 wt. ppb</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50" w:type="dxa"/>
            <w:tcBorders>
              <w:top w:val="single" w:sz="6" w:space="0" w:color="000000"/>
              <w:start w:val="single" w:sz="12" w:space="0" w:color="000000"/>
              <w:bottom w:val="single" w:sz="6" w:space="0" w:color="000000"/>
              <w:end w:val="single" w:sz="6" w:space="0" w:color="000000"/>
            </w:tcBorders>
          </w:tcPr>
          <w:p>
            <w:pPr>
              <w:pStyle w:val="Normal"/>
              <w:rPr/>
            </w:pPr>
            <w:r>
              <w:rPr/>
              <w:t>Corrosion, Copper Strip</w:t>
            </w:r>
          </w:p>
        </w:tc>
        <w:tc>
          <w:tcPr>
            <w:tcW w:w="2666" w:type="dxa"/>
            <w:tcBorders>
              <w:top w:val="single" w:sz="6" w:space="0" w:color="000000"/>
              <w:start w:val="single" w:sz="6" w:space="0" w:color="000000"/>
              <w:bottom w:val="single" w:sz="6" w:space="0" w:color="000000"/>
              <w:end w:val="single" w:sz="6" w:space="0" w:color="000000"/>
            </w:tcBorders>
          </w:tcPr>
          <w:p>
            <w:pPr>
              <w:pStyle w:val="Normal"/>
              <w:jc w:val="center"/>
              <w:rPr/>
            </w:pPr>
            <w:r>
              <w:rPr/>
              <w:t>No. 1 max</w:t>
            </w:r>
          </w:p>
        </w:tc>
        <w:tc>
          <w:tcPr>
            <w:tcW w:w="1511" w:type="dxa"/>
            <w:tcBorders>
              <w:top w:val="single" w:sz="6" w:space="0" w:color="000000"/>
              <w:start w:val="single" w:sz="6" w:space="0" w:color="000000"/>
              <w:bottom w:val="single" w:sz="6" w:space="0" w:color="000000"/>
              <w:end w:val="single" w:sz="6" w:space="0" w:color="000000"/>
            </w:tcBorders>
          </w:tcPr>
          <w:p>
            <w:pPr>
              <w:pStyle w:val="Normal"/>
              <w:jc w:val="center"/>
              <w:rPr/>
            </w:pPr>
            <w:r>
              <w:rPr/>
              <w:t>&lt;1</w:t>
            </w:r>
          </w:p>
        </w:tc>
        <w:tc>
          <w:tcPr>
            <w:tcW w:w="3232" w:type="dxa"/>
            <w:tcBorders>
              <w:top w:val="single" w:sz="6" w:space="0" w:color="000000"/>
              <w:start w:val="single" w:sz="6" w:space="0" w:color="000000"/>
              <w:bottom w:val="single" w:sz="6" w:space="0" w:color="000000"/>
              <w:end w:val="single" w:sz="12" w:space="0" w:color="000000"/>
            </w:tcBorders>
          </w:tcPr>
          <w:p>
            <w:pPr>
              <w:pStyle w:val="Normal"/>
              <w:rPr/>
            </w:pPr>
            <w:r>
              <w:rPr/>
              <w:t>ASTM D-1838</w:t>
            </w:r>
          </w:p>
        </w:tc>
      </w:tr>
      <w:tr>
        <w:trPr>
          <w:trHeight w:val="360" w:hRule="atLeast"/>
        </w:trPr>
        <w:tc>
          <w:tcPr>
            <w:tcW w:w="2550" w:type="dxa"/>
            <w:tcBorders>
              <w:top w:val="single" w:sz="6" w:space="0" w:color="000000"/>
              <w:start w:val="single" w:sz="12" w:space="0" w:color="000000"/>
              <w:bottom w:val="single" w:sz="12" w:space="0" w:color="000000"/>
              <w:end w:val="single" w:sz="6" w:space="0" w:color="000000"/>
            </w:tcBorders>
          </w:tcPr>
          <w:p>
            <w:pPr>
              <w:pStyle w:val="Normal"/>
              <w:rPr/>
            </w:pPr>
            <w:r>
              <w:rPr/>
              <w:t>Nitriles</w:t>
            </w:r>
          </w:p>
        </w:tc>
        <w:tc>
          <w:tcPr>
            <w:tcW w:w="2666" w:type="dxa"/>
            <w:tcBorders>
              <w:top w:val="single" w:sz="6" w:space="0" w:color="000000"/>
              <w:start w:val="single" w:sz="6" w:space="0" w:color="000000"/>
              <w:bottom w:val="single" w:sz="12" w:space="0" w:color="000000"/>
              <w:end w:val="single" w:sz="6" w:space="0" w:color="000000"/>
            </w:tcBorders>
          </w:tcPr>
          <w:p>
            <w:pPr>
              <w:pStyle w:val="Normal"/>
              <w:jc w:val="center"/>
              <w:rPr/>
            </w:pPr>
            <w:r>
              <w:rPr/>
              <w:t>0 wt. ppm (maximum)</w:t>
            </w:r>
          </w:p>
        </w:tc>
        <w:tc>
          <w:tcPr>
            <w:tcW w:w="1511" w:type="dxa"/>
            <w:tcBorders>
              <w:top w:val="single" w:sz="6" w:space="0" w:color="000000"/>
              <w:start w:val="single" w:sz="6" w:space="0" w:color="000000"/>
              <w:bottom w:val="single" w:sz="12" w:space="0" w:color="000000"/>
              <w:end w:val="single" w:sz="6" w:space="0" w:color="000000"/>
            </w:tcBorders>
          </w:tcPr>
          <w:p>
            <w:pPr>
              <w:pStyle w:val="Normal"/>
              <w:jc w:val="center"/>
              <w:rPr/>
            </w:pPr>
            <w:r>
              <w:rPr/>
              <w:t>0.0 wt. ppm</w:t>
            </w:r>
          </w:p>
        </w:tc>
        <w:tc>
          <w:tcPr>
            <w:tcW w:w="3232" w:type="dxa"/>
            <w:tcBorders>
              <w:top w:val="single" w:sz="6" w:space="0" w:color="000000"/>
              <w:start w:val="single" w:sz="6" w:space="0" w:color="000000"/>
              <w:bottom w:val="single" w:sz="12" w:space="0" w:color="000000"/>
              <w:end w:val="single" w:sz="12" w:space="0" w:color="000000"/>
            </w:tcBorders>
          </w:tcPr>
          <w:p>
            <w:pPr>
              <w:pStyle w:val="Normal"/>
              <w:rPr/>
            </w:pPr>
            <w:r>
              <w:rPr/>
              <w:t>ASTM D-4629</w:t>
            </w:r>
          </w:p>
        </w:tc>
      </w:tr>
    </w:tbl>
    <w:p>
      <w:pPr>
        <w:pStyle w:val="Normal"/>
        <w:tabs>
          <w:tab w:val="clear" w:pos="720"/>
          <w:tab w:val="left" w:pos="2160" w:leader="none"/>
          <w:tab w:val="left" w:pos="5760" w:leader="none"/>
          <w:tab w:val="left" w:pos="7200" w:leader="none"/>
        </w:tabs>
        <w:rPr/>
      </w:pPr>
      <w:r>
        <w:rPr/>
      </w:r>
      <w:r>
        <w:br w:type="page"/>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jc w:val="center"/>
        <w:rPr/>
      </w:pPr>
      <w:r>
        <w:rPr/>
        <w:t>EXHIBIT “E”</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MTBE PLANT</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LUBRIZOL RETURN STREAM SPECIFICATIONS</w:t>
      </w:r>
    </w:p>
    <w:p>
      <w:pPr>
        <w:pStyle w:val="Normal"/>
        <w:tabs>
          <w:tab w:val="clear" w:pos="720"/>
          <w:tab w:val="left" w:pos="2160" w:leader="none"/>
          <w:tab w:val="left" w:pos="5760" w:leader="none"/>
          <w:tab w:val="left" w:pos="7200" w:leader="none"/>
        </w:tabs>
        <w:rPr/>
      </w:pPr>
      <w:r>
        <w:rPr/>
      </w:r>
    </w:p>
    <w:tbl>
      <w:tblPr>
        <w:tblW w:w="8516" w:type="dxa"/>
        <w:jc w:val="center"/>
        <w:tblInd w:w="0" w:type="dxa"/>
        <w:tblLayout w:type="fixed"/>
        <w:tblCellMar>
          <w:top w:w="0" w:type="dxa"/>
          <w:start w:w="108" w:type="dxa"/>
          <w:bottom w:w="0" w:type="dxa"/>
          <w:end w:w="108" w:type="dxa"/>
        </w:tblCellMar>
      </w:tblPr>
      <w:tblGrid>
        <w:gridCol w:w="2547"/>
        <w:gridCol w:w="2694"/>
        <w:gridCol w:w="3275"/>
      </w:tblGrid>
      <w:tr>
        <w:trPr>
          <w:trHeight w:val="360" w:hRule="atLeast"/>
        </w:trPr>
        <w:tc>
          <w:tcPr>
            <w:tcW w:w="2547" w:type="dxa"/>
            <w:tcBorders>
              <w:top w:val="single" w:sz="12" w:space="0" w:color="000000"/>
              <w:start w:val="single" w:sz="12" w:space="0" w:color="000000"/>
              <w:bottom w:val="single" w:sz="6" w:space="0" w:color="000000"/>
              <w:end w:val="single" w:sz="6" w:space="0" w:color="000000"/>
            </w:tcBorders>
          </w:tcPr>
          <w:p>
            <w:pPr>
              <w:pStyle w:val="Normal"/>
              <w:jc w:val="center"/>
              <w:rPr/>
            </w:pPr>
            <w:r>
              <w:rPr/>
              <w:t>Component</w:t>
            </w:r>
          </w:p>
        </w:tc>
        <w:tc>
          <w:tcPr>
            <w:tcW w:w="2694" w:type="dxa"/>
            <w:tcBorders>
              <w:top w:val="single" w:sz="12" w:space="0" w:color="000000"/>
              <w:start w:val="single" w:sz="6" w:space="0" w:color="000000"/>
              <w:bottom w:val="single" w:sz="6" w:space="0" w:color="000000"/>
              <w:end w:val="single" w:sz="6" w:space="0" w:color="000000"/>
            </w:tcBorders>
          </w:tcPr>
          <w:p>
            <w:pPr>
              <w:pStyle w:val="Normal"/>
              <w:jc w:val="center"/>
              <w:rPr/>
            </w:pPr>
            <w:r>
              <w:rPr/>
              <w:t>Concentration Limits</w:t>
            </w:r>
          </w:p>
        </w:tc>
        <w:tc>
          <w:tcPr>
            <w:tcW w:w="3275" w:type="dxa"/>
            <w:tcBorders>
              <w:top w:val="single" w:sz="12" w:space="0" w:color="000000"/>
              <w:start w:val="single" w:sz="6" w:space="0" w:color="000000"/>
              <w:bottom w:val="single" w:sz="6" w:space="0" w:color="000000"/>
              <w:end w:val="single" w:sz="12" w:space="0" w:color="000000"/>
            </w:tcBorders>
          </w:tcPr>
          <w:p>
            <w:pPr>
              <w:pStyle w:val="Normal"/>
              <w:jc w:val="center"/>
              <w:rPr/>
            </w:pPr>
            <w:r>
              <w:rPr/>
              <w:t>Test Method</w:t>
            </w:r>
          </w:p>
        </w:tc>
      </w:tr>
      <w:tr>
        <w:trPr>
          <w:trHeight w:val="360" w:hRule="atLeast"/>
        </w:trPr>
        <w:tc>
          <w:tcPr>
            <w:tcW w:w="2547" w:type="dxa"/>
            <w:tcBorders>
              <w:top w:val="dashed" w:sz="6" w:space="0" w:color="auto"/>
              <w:start w:val="single" w:sz="12" w:space="0" w:color="000000"/>
              <w:bottom w:val="single" w:sz="6" w:space="0" w:color="000000"/>
              <w:end w:val="single" w:sz="6" w:space="0" w:color="000000"/>
            </w:tcBorders>
          </w:tcPr>
          <w:p>
            <w:pPr>
              <w:pStyle w:val="Normal"/>
              <w:rPr/>
            </w:pPr>
            <w:r>
              <w:rPr/>
              <w:t>Isobutane</w:t>
            </w:r>
          </w:p>
        </w:tc>
        <w:tc>
          <w:tcPr>
            <w:tcW w:w="2694" w:type="dxa"/>
            <w:tcBorders>
              <w:top w:val="dashed" w:sz="6" w:space="0" w:color="auto"/>
              <w:start w:val="single" w:sz="6" w:space="0" w:color="000000"/>
              <w:bottom w:val="single" w:sz="6" w:space="0" w:color="000000"/>
              <w:end w:val="single" w:sz="6" w:space="0" w:color="000000"/>
            </w:tcBorders>
          </w:tcPr>
          <w:p>
            <w:pPr>
              <w:pStyle w:val="Normal"/>
              <w:jc w:val="center"/>
              <w:rPr/>
            </w:pPr>
            <w:r>
              <w:rPr/>
              <w:t>No Limit</w:t>
            </w:r>
          </w:p>
        </w:tc>
        <w:tc>
          <w:tcPr>
            <w:tcW w:w="3275" w:type="dxa"/>
            <w:tcBorders>
              <w:top w:val="dashed" w:sz="6" w:space="0" w:color="auto"/>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Isobutylene</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No Limit</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Other C4 Olefins</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3.5 wt. %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Normal Butane</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4.0 wt. %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C3 and Lighter</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9.0 wt. %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C5 and Heavier</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1.0 wt. %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Butadiene</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0.5 wt. %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Oxidex Oxygenates</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100 wt. ppm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Wasson ECE G.C. Application</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Free Water</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None</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Visual Check</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Nitrogen Compounds</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3.5 wt. NIL (Proposed)</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ASTM D4629-71</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Halides</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1.0 wt. ppm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UOP 779-77</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Aluminum</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1.5 wt. ppm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IP 377</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Sodium</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1.0 wt. ppm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UOP 249</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Sulfur Compounds</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3.0 wt. ppm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ASTM D-3246</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Mercury</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20.0 wt. ppb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Arsenic</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1.0 wt. ppb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Lead</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20.0 wt. ppb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Iron</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0.5 wt. ppb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Copper</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1.0 wt. ppb (maximum)</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UOP 391-81</w:t>
            </w:r>
          </w:p>
        </w:tc>
      </w:tr>
      <w:tr>
        <w:trPr>
          <w:trHeight w:val="360" w:hRule="atLeast"/>
        </w:trPr>
        <w:tc>
          <w:tcPr>
            <w:tcW w:w="2547" w:type="dxa"/>
            <w:tcBorders>
              <w:top w:val="single" w:sz="6" w:space="0" w:color="000000"/>
              <w:start w:val="single" w:sz="12" w:space="0" w:color="000000"/>
              <w:bottom w:val="single" w:sz="6" w:space="0" w:color="000000"/>
              <w:end w:val="single" w:sz="6" w:space="0" w:color="000000"/>
            </w:tcBorders>
          </w:tcPr>
          <w:p>
            <w:pPr>
              <w:pStyle w:val="Normal"/>
              <w:rPr/>
            </w:pPr>
            <w:r>
              <w:rPr/>
              <w:t>Corrosion, Copper Strip</w:t>
            </w:r>
          </w:p>
        </w:tc>
        <w:tc>
          <w:tcPr>
            <w:tcW w:w="2694" w:type="dxa"/>
            <w:tcBorders>
              <w:top w:val="single" w:sz="6" w:space="0" w:color="000000"/>
              <w:start w:val="single" w:sz="6" w:space="0" w:color="000000"/>
              <w:bottom w:val="single" w:sz="6" w:space="0" w:color="000000"/>
              <w:end w:val="single" w:sz="6" w:space="0" w:color="000000"/>
            </w:tcBorders>
          </w:tcPr>
          <w:p>
            <w:pPr>
              <w:pStyle w:val="Normal"/>
              <w:jc w:val="center"/>
              <w:rPr/>
            </w:pPr>
            <w:r>
              <w:rPr/>
              <w:t>No. 1 max</w:t>
            </w:r>
          </w:p>
        </w:tc>
        <w:tc>
          <w:tcPr>
            <w:tcW w:w="3275" w:type="dxa"/>
            <w:tcBorders>
              <w:top w:val="single" w:sz="6" w:space="0" w:color="000000"/>
              <w:start w:val="single" w:sz="6" w:space="0" w:color="000000"/>
              <w:bottom w:val="single" w:sz="6" w:space="0" w:color="000000"/>
              <w:end w:val="single" w:sz="12" w:space="0" w:color="000000"/>
            </w:tcBorders>
          </w:tcPr>
          <w:p>
            <w:pPr>
              <w:pStyle w:val="Normal"/>
              <w:rPr/>
            </w:pPr>
            <w:r>
              <w:rPr/>
              <w:t>ASTM D-1638</w:t>
            </w:r>
          </w:p>
        </w:tc>
      </w:tr>
      <w:tr>
        <w:trPr>
          <w:trHeight w:val="360" w:hRule="atLeast"/>
        </w:trPr>
        <w:tc>
          <w:tcPr>
            <w:tcW w:w="2547" w:type="dxa"/>
            <w:tcBorders>
              <w:top w:val="single" w:sz="6" w:space="0" w:color="000000"/>
              <w:start w:val="single" w:sz="12" w:space="0" w:color="000000"/>
              <w:bottom w:val="single" w:sz="12" w:space="0" w:color="000000"/>
              <w:end w:val="single" w:sz="6" w:space="0" w:color="000000"/>
            </w:tcBorders>
          </w:tcPr>
          <w:p>
            <w:pPr>
              <w:pStyle w:val="Normal"/>
              <w:rPr/>
            </w:pPr>
            <w:r>
              <w:rPr/>
              <w:t>Nitriles</w:t>
            </w:r>
          </w:p>
        </w:tc>
        <w:tc>
          <w:tcPr>
            <w:tcW w:w="2694" w:type="dxa"/>
            <w:tcBorders>
              <w:top w:val="single" w:sz="6" w:space="0" w:color="000000"/>
              <w:start w:val="single" w:sz="6" w:space="0" w:color="000000"/>
              <w:bottom w:val="single" w:sz="12" w:space="0" w:color="000000"/>
              <w:end w:val="single" w:sz="6" w:space="0" w:color="000000"/>
            </w:tcBorders>
          </w:tcPr>
          <w:p>
            <w:pPr>
              <w:pStyle w:val="Normal"/>
              <w:jc w:val="center"/>
              <w:rPr/>
            </w:pPr>
            <w:r>
              <w:rPr/>
              <w:t>0 wt. ppm (maximum)</w:t>
            </w:r>
          </w:p>
        </w:tc>
        <w:tc>
          <w:tcPr>
            <w:tcW w:w="3275" w:type="dxa"/>
            <w:tcBorders>
              <w:top w:val="single" w:sz="6" w:space="0" w:color="000000"/>
              <w:start w:val="single" w:sz="6" w:space="0" w:color="000000"/>
              <w:bottom w:val="single" w:sz="12" w:space="0" w:color="000000"/>
              <w:end w:val="single" w:sz="12" w:space="0" w:color="000000"/>
            </w:tcBorders>
          </w:tcPr>
          <w:p>
            <w:pPr>
              <w:pStyle w:val="Normal"/>
              <w:rPr/>
            </w:pPr>
            <w:r>
              <w:rPr/>
              <w:t>ASTM D-4629</w:t>
            </w:r>
          </w:p>
        </w:tc>
      </w:tr>
    </w:tbl>
    <w:p>
      <w:pPr>
        <w:pStyle w:val="Normal"/>
        <w:tabs>
          <w:tab w:val="clear" w:pos="720"/>
          <w:tab w:val="left" w:pos="2160" w:leader="none"/>
          <w:tab w:val="left" w:pos="5760" w:leader="none"/>
          <w:tab w:val="left" w:pos="7200" w:leader="none"/>
        </w:tabs>
        <w:rPr/>
      </w:pPr>
      <w:r>
        <w:rPr/>
      </w:r>
    </w:p>
    <w:p>
      <w:pPr>
        <w:pStyle w:val="Normal"/>
        <w:ind w:hanging="720" w:start="720" w:end="0"/>
        <w:jc w:val="both"/>
        <w:rPr>
          <w:sz w:val="22"/>
          <w:szCs w:val="22"/>
        </w:rPr>
      </w:pPr>
      <w:r>
        <w:rPr>
          <w:sz w:val="22"/>
          <w:szCs w:val="22"/>
        </w:rPr>
      </w:r>
    </w:p>
    <w:p>
      <w:pPr>
        <w:pStyle w:val="Normal"/>
        <w:jc w:val="both"/>
        <w:rPr>
          <w:sz w:val="22"/>
          <w:szCs w:val="22"/>
        </w:rPr>
      </w:pPr>
      <w:r>
        <w:rPr>
          <w:sz w:val="22"/>
          <w:szCs w:val="22"/>
        </w:rPr>
      </w:r>
    </w:p>
    <w:p>
      <w:pPr>
        <w:pStyle w:val="Normal"/>
        <w:rPr>
          <w:sz w:val="22"/>
          <w:szCs w:val="22"/>
        </w:rPr>
      </w:pPr>
      <w:r>
        <w:rPr>
          <w:sz w:val="22"/>
          <w:szCs w:val="22"/>
        </w:rPr>
      </w:r>
    </w:p>
    <w:p>
      <w:pPr>
        <w:pStyle w:val="Normal"/>
        <w:rPr/>
      </w:pPr>
      <w:r>
        <w:rPr/>
      </w:r>
    </w:p>
    <w:p>
      <w:pPr>
        <w:pStyle w:val="Normal"/>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ingdings">
    <w:altName w:val="Symbol"/>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rPr>
        <w:sz w:val="12"/>
        <w:szCs w:val="12"/>
      </w:rPr>
    </w:pPr>
    <w:r>
      <w:rPr>
        <w:sz w:val="12"/>
        <w:szCs w:val="12"/>
      </w:rPr>
      <w:t>O:\COMMON\LEGAL\DHYVL\DJH\98002FCTR.DOC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r>
  </w:p>
  <w:p>
    <w:pPr>
      <w:pStyle w:val="Footer"/>
      <w:rPr>
        <w:sz w:val="12"/>
        <w:szCs w:val="12"/>
      </w:rPr>
    </w:pPr>
    <w:r>
      <w:rPr>
        <w:sz w:val="12"/>
        <w:szCs w:val="12"/>
      </w:rPr>
      <w:t>O:\COMMON\LEGAL\DHYVL\DJH\98002FCTR.DOC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6.%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1998-10-05T19:32:00Z</dcterms:created>
  <dc:creator>Daniel J. Hyvl</dc:creator>
  <dc:description/>
  <dc:language>en-CA</dc:language>
  <cp:lastModifiedBy>Daniel J. Hyvl</cp:lastModifiedBy>
  <cp:lastPrinted>1998-10-05T16:02:00Z</cp:lastPrinted>
  <dcterms:modified xsi:type="dcterms:W3CDTF">1999-02-09T19:39:00Z</dcterms:modified>
  <cp:revision>1</cp:revision>
  <dc:subject/>
  <dc:title>1998</dc:title>
</cp:coreProperties>
</file>