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1"/>
          <w:szCs w:val="21"/>
          <w:u w:val="single"/>
        </w:rPr>
      </w:pPr>
      <w:r>
        <w:rPr>
          <w:b/>
          <w:bCs/>
          <w:sz w:val="21"/>
          <w:szCs w:val="21"/>
          <w:u w:val="single"/>
        </w:rPr>
        <w:t>1998</w:t>
      </w:r>
    </w:p>
    <w:p>
      <w:pPr>
        <w:pStyle w:val="Normal"/>
        <w:jc w:val="center"/>
        <w:rPr>
          <w:b/>
          <w:bCs/>
          <w:sz w:val="21"/>
          <w:szCs w:val="21"/>
          <w:u w:val="single"/>
        </w:rPr>
      </w:pPr>
      <w:r>
        <w:rPr>
          <w:b/>
          <w:bCs/>
          <w:sz w:val="21"/>
          <w:szCs w:val="21"/>
          <w:u w:val="single"/>
        </w:rPr>
        <w:t>PASADENA METHANOL PLANT</w:t>
      </w:r>
    </w:p>
    <w:p>
      <w:pPr>
        <w:pStyle w:val="Normal"/>
        <w:jc w:val="center"/>
        <w:rPr>
          <w:b/>
          <w:bCs/>
          <w:sz w:val="21"/>
          <w:szCs w:val="21"/>
          <w:u w:val="single"/>
        </w:rPr>
      </w:pPr>
      <w:r>
        <w:rPr>
          <w:b/>
          <w:bCs/>
          <w:sz w:val="21"/>
          <w:szCs w:val="21"/>
          <w:u w:val="single"/>
        </w:rPr>
        <w:t>FEEDSTOCK SUPPLY AND PRODUCTION OFFTAKE AGREEMENT</w:t>
      </w:r>
    </w:p>
    <w:p>
      <w:pPr>
        <w:pStyle w:val="Normal"/>
        <w:jc w:val="center"/>
        <w:rPr>
          <w:b/>
          <w:bCs/>
          <w:sz w:val="21"/>
          <w:szCs w:val="21"/>
          <w:u w:val="single"/>
        </w:rPr>
      </w:pPr>
      <w:r>
        <w:rPr>
          <w:b/>
          <w:bCs/>
          <w:sz w:val="21"/>
          <w:szCs w:val="21"/>
          <w:u w:val="single"/>
        </w:rPr>
      </w:r>
    </w:p>
    <w:p>
      <w:pPr>
        <w:pStyle w:val="Normal"/>
        <w:jc w:val="both"/>
        <w:rPr/>
      </w:pPr>
      <w:r>
        <w:rPr>
          <w:b/>
          <w:bCs/>
          <w:sz w:val="21"/>
          <w:szCs w:val="21"/>
        </w:rPr>
        <w:t>1.</w:t>
        <w:tab/>
        <w:t xml:space="preserve">PURPOSE:     </w:t>
      </w:r>
      <w:r>
        <w:rPr>
          <w:sz w:val="21"/>
          <w:szCs w:val="21"/>
        </w:rPr>
        <w:t>This Agreement is between the various Enron Corp. subsidiary companies identified below and is intended to cover, during calendar year 1998, the purchase of methanol production from the methanol plant located adjacent to the Houston Ship Channel in Pasadena, Texas (“Methanol Plant”).</w:t>
      </w:r>
    </w:p>
    <w:p>
      <w:pPr>
        <w:pStyle w:val="Normal"/>
        <w:jc w:val="both"/>
        <w:rPr>
          <w:sz w:val="21"/>
          <w:szCs w:val="21"/>
        </w:rPr>
      </w:pPr>
      <w:r>
        <w:rPr>
          <w:sz w:val="21"/>
          <w:szCs w:val="21"/>
        </w:rPr>
      </w:r>
    </w:p>
    <w:p>
      <w:pPr>
        <w:pStyle w:val="Normal"/>
        <w:jc w:val="both"/>
        <w:rPr/>
      </w:pPr>
      <w:r>
        <w:rPr>
          <w:b/>
          <w:bCs/>
          <w:sz w:val="21"/>
          <w:szCs w:val="21"/>
        </w:rPr>
        <w:t>2.</w:t>
        <w:tab/>
        <w:t xml:space="preserve">NOT ASSIGNABLE:     </w:t>
      </w:r>
      <w:r>
        <w:rPr>
          <w:sz w:val="21"/>
          <w:szCs w:val="21"/>
        </w:rPr>
        <w:t>This Agreement is between and among those certain Enron Corp. subsidiary companies that are signatory parties hereto.  Certain legal provisions, normally included in written contracts between nonaffiliated companies, have been purposely omitted from this document.  This Agreement, therefore, may not under any circumstances be assigned or transferred to any company or other legal entity that is not a wholly owned subsidiary of Enron Corp.  Any such purported assignment or transfer will be null and void as to this Agreement.  Similarly, should the ownership or control of any party to this Agreement change such that it is no longer a wholly owned subsidiary of Enron Corp., this Agreement shall terminate and shall no longer be binding upon any other party hereto.</w:t>
      </w:r>
    </w:p>
    <w:p>
      <w:pPr>
        <w:pStyle w:val="Normal"/>
        <w:jc w:val="both"/>
        <w:rPr>
          <w:sz w:val="21"/>
          <w:szCs w:val="21"/>
        </w:rPr>
      </w:pPr>
      <w:r>
        <w:rPr>
          <w:sz w:val="21"/>
          <w:szCs w:val="21"/>
        </w:rPr>
      </w:r>
    </w:p>
    <w:p>
      <w:pPr>
        <w:pStyle w:val="Normal"/>
        <w:jc w:val="both"/>
        <w:rPr/>
      </w:pPr>
      <w:r>
        <w:rPr>
          <w:b/>
          <w:bCs/>
          <w:sz w:val="21"/>
          <w:szCs w:val="21"/>
        </w:rPr>
        <w:t>3.</w:t>
        <w:tab/>
        <w:t xml:space="preserve">COMPANIES:     </w:t>
      </w:r>
      <w:r>
        <w:rPr>
          <w:sz w:val="21"/>
          <w:szCs w:val="21"/>
        </w:rPr>
        <w:t>The following acronyms shall be used throughout this Agreement:</w:t>
      </w:r>
    </w:p>
    <w:p>
      <w:pPr>
        <w:pStyle w:val="Normal"/>
        <w:jc w:val="both"/>
        <w:rPr>
          <w:sz w:val="21"/>
          <w:szCs w:val="21"/>
        </w:rPr>
      </w:pPr>
      <w:r>
        <w:rPr>
          <w:sz w:val="21"/>
          <w:szCs w:val="21"/>
        </w:rPr>
      </w:r>
    </w:p>
    <w:p>
      <w:pPr>
        <w:pStyle w:val="Normal"/>
        <w:jc w:val="both"/>
        <w:rPr>
          <w:sz w:val="21"/>
          <w:szCs w:val="21"/>
        </w:rPr>
      </w:pPr>
      <w:r>
        <w:rPr>
          <w:sz w:val="21"/>
          <w:szCs w:val="21"/>
        </w:rPr>
        <w:tab/>
      </w:r>
      <w:r>
        <w:rPr>
          <w:sz w:val="21"/>
          <w:szCs w:val="21"/>
          <w:u w:val="single"/>
        </w:rPr>
        <w:t>Full Legal Name</w:t>
      </w:r>
      <w:r>
        <w:rPr>
          <w:sz w:val="21"/>
          <w:szCs w:val="21"/>
        </w:rPr>
        <w:tab/>
        <w:tab/>
        <w:tab/>
      </w:r>
      <w:r>
        <w:rPr>
          <w:sz w:val="21"/>
          <w:szCs w:val="21"/>
          <w:u w:val="single"/>
        </w:rPr>
        <w:t>Enron Company No.</w:t>
      </w:r>
      <w:r>
        <w:rPr>
          <w:sz w:val="21"/>
          <w:szCs w:val="21"/>
        </w:rPr>
        <w:tab/>
        <w:tab/>
      </w:r>
      <w:r>
        <w:rPr>
          <w:sz w:val="21"/>
          <w:szCs w:val="21"/>
          <w:u w:val="single"/>
        </w:rPr>
        <w:t>Acronym</w:t>
      </w:r>
    </w:p>
    <w:p>
      <w:pPr>
        <w:pStyle w:val="Normal"/>
        <w:jc w:val="both"/>
        <w:rPr>
          <w:sz w:val="21"/>
          <w:szCs w:val="21"/>
        </w:rPr>
      </w:pPr>
      <w:r>
        <w:rPr>
          <w:sz w:val="21"/>
          <w:szCs w:val="21"/>
        </w:rPr>
        <w:tab/>
      </w:r>
    </w:p>
    <w:p>
      <w:pPr>
        <w:pStyle w:val="Normal"/>
        <w:jc w:val="both"/>
        <w:rPr>
          <w:sz w:val="21"/>
          <w:szCs w:val="21"/>
        </w:rPr>
      </w:pPr>
      <w:r>
        <w:rPr>
          <w:sz w:val="21"/>
          <w:szCs w:val="21"/>
        </w:rPr>
        <w:tab/>
        <w:t>Enron Clean Fuels Company,</w:t>
      </w:r>
    </w:p>
    <w:p>
      <w:pPr>
        <w:pStyle w:val="Normal"/>
        <w:jc w:val="both"/>
        <w:rPr>
          <w:sz w:val="21"/>
          <w:szCs w:val="21"/>
        </w:rPr>
      </w:pPr>
      <w:r>
        <w:rPr>
          <w:sz w:val="21"/>
          <w:szCs w:val="21"/>
        </w:rPr>
        <w:tab/>
        <w:t>a division of Enron Gas Liquids, Inc.</w:t>
        <w:tab/>
        <w:tab/>
        <w:t>416</w:t>
        <w:tab/>
        <w:tab/>
        <w:t>ECFC</w:t>
      </w:r>
    </w:p>
    <w:p>
      <w:pPr>
        <w:pStyle w:val="Normal"/>
        <w:jc w:val="both"/>
        <w:rPr>
          <w:sz w:val="21"/>
          <w:szCs w:val="21"/>
        </w:rPr>
      </w:pPr>
      <w:r>
        <w:rPr>
          <w:sz w:val="21"/>
          <w:szCs w:val="21"/>
        </w:rPr>
        <w:tab/>
      </w:r>
    </w:p>
    <w:p>
      <w:pPr>
        <w:pStyle w:val="Normal"/>
        <w:jc w:val="both"/>
        <w:rPr>
          <w:sz w:val="21"/>
          <w:szCs w:val="21"/>
        </w:rPr>
      </w:pPr>
      <w:r>
        <w:rPr>
          <w:sz w:val="21"/>
          <w:szCs w:val="21"/>
        </w:rPr>
        <w:tab/>
        <w:t>Enron Methanol Company</w:t>
        <w:tab/>
        <w:tab/>
        <w:tab/>
        <w:t>404</w:t>
        <w:tab/>
        <w:tab/>
        <w:t>EMC</w:t>
      </w:r>
    </w:p>
    <w:p>
      <w:pPr>
        <w:pStyle w:val="Normal"/>
        <w:jc w:val="both"/>
        <w:rPr>
          <w:sz w:val="21"/>
          <w:szCs w:val="21"/>
        </w:rPr>
      </w:pPr>
      <w:r>
        <w:rPr>
          <w:sz w:val="21"/>
          <w:szCs w:val="21"/>
        </w:rPr>
      </w:r>
    </w:p>
    <w:p>
      <w:pPr>
        <w:pStyle w:val="Normal"/>
        <w:jc w:val="both"/>
        <w:rPr/>
      </w:pPr>
      <w:r>
        <w:rPr>
          <w:b/>
          <w:bCs/>
          <w:sz w:val="21"/>
          <w:szCs w:val="21"/>
        </w:rPr>
        <w:t>4.</w:t>
        <w:tab/>
        <w:t xml:space="preserve">TERM:     </w:t>
      </w:r>
      <w:r>
        <w:rPr>
          <w:sz w:val="21"/>
          <w:szCs w:val="21"/>
        </w:rPr>
        <w:t>January 1, 1998 through December 31, 1998.</w:t>
      </w:r>
    </w:p>
    <w:p>
      <w:pPr>
        <w:pStyle w:val="Normal"/>
        <w:jc w:val="both"/>
        <w:rPr>
          <w:sz w:val="21"/>
          <w:szCs w:val="21"/>
        </w:rPr>
      </w:pPr>
      <w:r>
        <w:rPr>
          <w:sz w:val="21"/>
          <w:szCs w:val="21"/>
        </w:rPr>
      </w:r>
    </w:p>
    <w:p>
      <w:pPr>
        <w:pStyle w:val="Normal"/>
        <w:jc w:val="both"/>
        <w:rPr/>
      </w:pPr>
      <w:r>
        <w:rPr>
          <w:b/>
          <w:bCs/>
          <w:sz w:val="21"/>
          <w:szCs w:val="21"/>
        </w:rPr>
        <w:t>5.</w:t>
        <w:tab/>
        <w:t xml:space="preserve">PAYMENT DATE:     </w:t>
      </w:r>
      <w:r>
        <w:rPr>
          <w:sz w:val="21"/>
          <w:szCs w:val="21"/>
        </w:rPr>
        <w:t>ECFC or EMC will render payment by the 25</w:t>
      </w:r>
      <w:r>
        <w:rPr>
          <w:sz w:val="21"/>
          <w:szCs w:val="21"/>
          <w:vertAlign w:val="superscript"/>
        </w:rPr>
        <w:t>th</w:t>
      </w:r>
      <w:r>
        <w:rPr>
          <w:sz w:val="21"/>
          <w:szCs w:val="21"/>
        </w:rPr>
        <w:t xml:space="preserve"> day of the following month for all mutually agreed on invoices or settlement amounts (the “Payment Date”).  All amounts are to be settled and paid by the 25</w:t>
      </w:r>
      <w:r>
        <w:rPr>
          <w:sz w:val="21"/>
          <w:szCs w:val="21"/>
          <w:vertAlign w:val="superscript"/>
        </w:rPr>
        <w:t>th</w:t>
      </w:r>
      <w:r>
        <w:rPr>
          <w:sz w:val="21"/>
          <w:szCs w:val="21"/>
        </w:rPr>
        <w:t xml:space="preserve"> day of the following month or interest will accrue from the due date of the invoice at an annualized rate of 6% per annum using the actual number of days elapsed from the due date until paid.  These payment terms override any contrary payment date or terms referenced anywhere in  this Agreement.</w:t>
      </w:r>
    </w:p>
    <w:p>
      <w:pPr>
        <w:pStyle w:val="Normal"/>
        <w:ind w:hanging="720" w:start="720" w:end="0"/>
        <w:jc w:val="both"/>
        <w:rPr>
          <w:sz w:val="21"/>
          <w:szCs w:val="21"/>
        </w:rPr>
      </w:pPr>
      <w:r>
        <w:rPr>
          <w:sz w:val="21"/>
          <w:szCs w:val="21"/>
        </w:rPr>
      </w:r>
    </w:p>
    <w:p>
      <w:pPr>
        <w:pStyle w:val="Normal"/>
        <w:ind w:hanging="720" w:start="720" w:end="0"/>
        <w:jc w:val="both"/>
        <w:rPr>
          <w:sz w:val="21"/>
          <w:szCs w:val="21"/>
        </w:rPr>
      </w:pPr>
      <w:r>
        <w:rPr>
          <w:b/>
          <w:bCs/>
          <w:sz w:val="21"/>
          <w:szCs w:val="21"/>
        </w:rPr>
        <w:t>6.</w:t>
        <w:tab/>
        <w:t>METHANOL PRODUCTION:</w:t>
        <w:tab/>
      </w:r>
    </w:p>
    <w:p>
      <w:pPr>
        <w:pStyle w:val="Normal"/>
        <w:ind w:hanging="720" w:start="720" w:end="0"/>
        <w:jc w:val="both"/>
        <w:rPr>
          <w:sz w:val="21"/>
          <w:szCs w:val="21"/>
        </w:rPr>
      </w:pPr>
      <w:r>
        <w:rPr>
          <w:sz w:val="21"/>
          <w:szCs w:val="21"/>
        </w:rPr>
      </w:r>
    </w:p>
    <w:p>
      <w:pPr>
        <w:pStyle w:val="Normal"/>
        <w:ind w:hanging="720" w:start="720" w:end="0"/>
        <w:jc w:val="both"/>
        <w:rPr/>
      </w:pPr>
      <w:r>
        <w:rPr>
          <w:sz w:val="21"/>
          <w:szCs w:val="21"/>
        </w:rPr>
        <w:tab/>
        <w:t>6.1</w:t>
        <w:tab/>
      </w:r>
      <w:r>
        <w:rPr>
          <w:sz w:val="21"/>
          <w:szCs w:val="21"/>
          <w:u w:val="single"/>
        </w:rPr>
        <w:t>Quantity</w:t>
      </w:r>
      <w:r>
        <w:rPr>
          <w:sz w:val="21"/>
          <w:szCs w:val="21"/>
        </w:rPr>
        <w:t>:     EMC will sell to ECFC all Methanol produced at the Methanol Plant.  In excess of EGP Fuels Company’s (“EGPFC”) MTBE Plant requirements.  EMC will provide a projected production and feedstock volumetric schedule to ECFC by the fifth (5</w:t>
      </w:r>
      <w:r>
        <w:rPr>
          <w:sz w:val="21"/>
          <w:szCs w:val="21"/>
          <w:vertAlign w:val="superscript"/>
        </w:rPr>
        <w:t>th</w:t>
      </w:r>
      <w:r>
        <w:rPr>
          <w:sz w:val="21"/>
          <w:szCs w:val="21"/>
        </w:rPr>
        <w:t>) working day prior to the end of the month preceding the month the Methanol quantity is to be made available.</w:t>
      </w:r>
    </w:p>
    <w:p>
      <w:pPr>
        <w:pStyle w:val="Normal"/>
        <w:ind w:hanging="720" w:start="720" w:end="0"/>
        <w:jc w:val="both"/>
        <w:rPr>
          <w:sz w:val="21"/>
          <w:szCs w:val="21"/>
        </w:rPr>
      </w:pPr>
      <w:r>
        <w:rPr>
          <w:sz w:val="21"/>
          <w:szCs w:val="21"/>
        </w:rPr>
      </w:r>
    </w:p>
    <w:p>
      <w:pPr>
        <w:pStyle w:val="Normal"/>
        <w:ind w:hanging="720" w:start="720" w:end="0"/>
        <w:jc w:val="both"/>
        <w:rPr>
          <w:sz w:val="21"/>
          <w:szCs w:val="21"/>
        </w:rPr>
      </w:pPr>
      <w:r>
        <w:rPr>
          <w:sz w:val="21"/>
          <w:szCs w:val="21"/>
        </w:rPr>
        <w:tab/>
        <w:t>6.2</w:t>
        <w:tab/>
      </w:r>
      <w:r>
        <w:rPr>
          <w:sz w:val="21"/>
          <w:szCs w:val="21"/>
          <w:u w:val="single"/>
        </w:rPr>
        <w:t>Delivery</w:t>
      </w:r>
      <w:r>
        <w:rPr>
          <w:sz w:val="21"/>
          <w:szCs w:val="21"/>
        </w:rPr>
        <w:t xml:space="preserve">:     Ownership of the Methanol being sold to ECFC will transfer from EMC to ECFC at the barge dock facilities at the Methanol Plant.  ECFC will schedule all Methanol product movement through EMC.  Measurement at the delivery point shall be made in accordance with EMC’s static shore tank measurement or if static shore tank measurement is unavailable then turbine meter measurement and vessel with VEF will be used in determining correct volume loaded.   </w:t>
      </w:r>
      <w:r>
        <w:rPr>
          <w:sz w:val="22"/>
          <w:szCs w:val="22"/>
        </w:rPr>
        <w:t>EMC will load the barge(s) at a minimum rate of 3,500 barrels per hour unless the tankerman requires a lower rate.  All other terms and conditions of the barge party charter agreement shall be applicable and EMC shall reimburse ECFC for any and all demurrage,  laytime and other charges caused by EMC.</w:t>
      </w:r>
    </w:p>
    <w:p>
      <w:pPr>
        <w:pStyle w:val="Normal"/>
        <w:ind w:hanging="720" w:start="720" w:end="0"/>
        <w:jc w:val="both"/>
        <w:rPr>
          <w:sz w:val="21"/>
          <w:szCs w:val="21"/>
        </w:rPr>
      </w:pPr>
      <w:r>
        <w:rPr>
          <w:sz w:val="21"/>
          <w:szCs w:val="21"/>
        </w:rPr>
      </w:r>
    </w:p>
    <w:p>
      <w:pPr>
        <w:pStyle w:val="Normal"/>
        <w:ind w:hanging="720" w:start="720" w:end="0"/>
        <w:jc w:val="both"/>
        <w:rPr/>
      </w:pPr>
      <w:r>
        <w:rPr>
          <w:sz w:val="21"/>
          <w:szCs w:val="21"/>
        </w:rPr>
        <w:tab/>
        <w:t>6.3</w:t>
        <w:tab/>
      </w:r>
      <w:r>
        <w:rPr>
          <w:sz w:val="21"/>
          <w:szCs w:val="21"/>
          <w:u w:val="single"/>
        </w:rPr>
        <w:t>Specifications</w:t>
      </w:r>
      <w:r>
        <w:rPr>
          <w:sz w:val="21"/>
          <w:szCs w:val="21"/>
        </w:rPr>
        <w:t>:     All Methanol delivered to ECFC will meet (a) the specifications set by EMC in Exhibit “A” and (b) the ASTM D-1152 specification for methyl alcohol.  Testing for quality will be performed by EMC at EMC’s expense.  The cost for third-party inspection of quantity will be split between ECFC, ECFC’s customer and EMC.  The cost of any special testing requested by either party to be performed by a commercial laboratory will be borne by the party making the request.</w:t>
      </w:r>
    </w:p>
    <w:p>
      <w:pPr>
        <w:pStyle w:val="Normal"/>
        <w:ind w:hanging="720" w:start="720" w:end="0"/>
        <w:jc w:val="both"/>
        <w:rPr>
          <w:sz w:val="21"/>
          <w:szCs w:val="21"/>
        </w:rPr>
      </w:pPr>
      <w:r>
        <w:rPr>
          <w:sz w:val="21"/>
          <w:szCs w:val="21"/>
        </w:rPr>
      </w:r>
    </w:p>
    <w:p>
      <w:pPr>
        <w:pStyle w:val="Normal"/>
        <w:ind w:hanging="720" w:start="720" w:end="0"/>
        <w:jc w:val="both"/>
        <w:rPr/>
      </w:pPr>
      <w:r>
        <w:rPr>
          <w:sz w:val="21"/>
          <w:szCs w:val="21"/>
        </w:rPr>
        <w:tab/>
        <w:t>6.4</w:t>
        <w:tab/>
      </w:r>
      <w:r>
        <w:rPr>
          <w:sz w:val="21"/>
          <w:szCs w:val="21"/>
          <w:u w:val="single"/>
        </w:rPr>
        <w:t>Price</w:t>
      </w:r>
      <w:r>
        <w:rPr>
          <w:sz w:val="21"/>
          <w:szCs w:val="21"/>
        </w:rPr>
        <w:t xml:space="preserve">:   </w:t>
      </w:r>
      <w:r>
        <w:rPr>
          <w:rFonts w:eastAsia="Tms Rmn;Times New Roman" w:cs="Tms Rmn;Times New Roman" w:ascii="Tms Rmn;Times New Roman" w:hAnsi="Tms Rmn;Times New Roman"/>
          <w:color w:val="000000"/>
        </w:rPr>
        <w:t>ECFC will pay EMC on or before the Payment Date for the quantity of Methanol delivered each month a price per gallon equal to the weighted average price received by ECFC for the middle third by volume of all of its U S Gulf Barge Sales of Methanol during such month; provided, however, in the event EMC elects not to participate in any fixed price physical sale offered by ECFC, then such fixed price physical sale shall be excluded from the calculation of the middle third by volume of ECFC’s U S Gulf Barge Sales during such month.  By way of example, assume that ECFC sold 60,000 barrels of Methanol received from EMC during April, 1998 at the following prices:  18,000 barrels at the average postings for U.S. Gulf Spot Prices FOB Domestic Barges, being $0.27; 12,500 barrels at a fixed price of $0.35 per gallon that EMC elected to participate; 12,000 barrels at a fixed price of $0.38 per gallon that EMC elected not to participate; and 17,500 barrels at the average postings for Methanol U.S. Gulf Contract Prices FOB Barge, being $0.33.  This results in 48,000 barrels being averaged, with 16,000 barrels being the middle third at an average price of $0.3225 per gallon.</w:t>
      </w:r>
    </w:p>
    <w:p>
      <w:pPr>
        <w:pStyle w:val="Normal"/>
        <w:ind w:hanging="720" w:start="720" w:end="0"/>
        <w:jc w:val="both"/>
        <w:rPr>
          <w:rFonts w:ascii="Tms Rmn;Times New Roman" w:hAnsi="Tms Rmn;Times New Roman" w:eastAsia="Tms Rmn;Times New Roman" w:cs="Tms Rmn;Times New Roman"/>
          <w:color w:val="000000"/>
          <w:sz w:val="21"/>
          <w:szCs w:val="21"/>
        </w:rPr>
      </w:pPr>
      <w:r>
        <w:rPr>
          <w:rFonts w:eastAsia="Tms Rmn;Times New Roman" w:cs="Tms Rmn;Times New Roman" w:ascii="Tms Rmn;Times New Roman" w:hAnsi="Tms Rmn;Times New Roman"/>
          <w:color w:val="000000"/>
          <w:sz w:val="21"/>
          <w:szCs w:val="21"/>
        </w:rPr>
      </w:r>
    </w:p>
    <w:p>
      <w:pPr>
        <w:pStyle w:val="Normal"/>
        <w:ind w:hanging="720" w:start="720" w:end="0"/>
        <w:jc w:val="both"/>
        <w:rPr>
          <w:sz w:val="21"/>
          <w:szCs w:val="21"/>
        </w:rPr>
      </w:pPr>
      <w:r>
        <w:rPr>
          <w:sz w:val="21"/>
          <w:szCs w:val="21"/>
        </w:rPr>
      </w:r>
    </w:p>
    <w:p>
      <w:pPr>
        <w:pStyle w:val="Normal"/>
        <w:jc w:val="both"/>
        <w:rPr>
          <w:b/>
          <w:bCs/>
          <w:sz w:val="21"/>
          <w:szCs w:val="21"/>
        </w:rPr>
      </w:pPr>
      <w:r>
        <w:rPr>
          <w:b/>
          <w:bCs/>
          <w:sz w:val="21"/>
          <w:szCs w:val="21"/>
        </w:rPr>
        <w:t xml:space="preserve">7.  </w:t>
        <w:tab/>
        <w:t>TERMINALING:</w:t>
      </w:r>
    </w:p>
    <w:p>
      <w:pPr>
        <w:pStyle w:val="Normal"/>
        <w:ind w:hanging="360" w:start="1080" w:end="0"/>
        <w:jc w:val="both"/>
        <w:rPr>
          <w:b/>
          <w:bCs/>
          <w:sz w:val="21"/>
          <w:szCs w:val="21"/>
        </w:rPr>
      </w:pPr>
      <w:r>
        <w:rPr>
          <w:b/>
          <w:bCs/>
          <w:sz w:val="21"/>
          <w:szCs w:val="21"/>
        </w:rPr>
      </w:r>
    </w:p>
    <w:p>
      <w:pPr>
        <w:pStyle w:val="Normal"/>
        <w:ind w:start="720" w:end="0"/>
        <w:jc w:val="both"/>
        <w:rPr>
          <w:b/>
          <w:bCs/>
          <w:sz w:val="21"/>
          <w:szCs w:val="21"/>
        </w:rPr>
      </w:pPr>
      <w:r>
        <w:rPr>
          <w:sz w:val="21"/>
          <w:szCs w:val="21"/>
        </w:rPr>
        <w:t>7.1</w:t>
        <w:tab/>
      </w:r>
      <w:r>
        <w:rPr>
          <w:sz w:val="21"/>
          <w:szCs w:val="21"/>
          <w:u w:val="single"/>
        </w:rPr>
        <w:t>Quantity</w:t>
      </w:r>
      <w:r>
        <w:rPr>
          <w:sz w:val="21"/>
          <w:szCs w:val="21"/>
        </w:rPr>
        <w:t>:    ECFC may from time to time deliver Methanol to EMC by barge or ship for terminaling.  Both parties must mutually agree on such volumes.</w:t>
      </w:r>
    </w:p>
    <w:p>
      <w:pPr>
        <w:pStyle w:val="Normal"/>
        <w:ind w:start="720" w:end="0"/>
        <w:jc w:val="both"/>
        <w:rPr>
          <w:b/>
          <w:bCs/>
          <w:sz w:val="21"/>
          <w:szCs w:val="21"/>
        </w:rPr>
      </w:pPr>
      <w:r>
        <w:rPr>
          <w:b/>
          <w:bCs/>
          <w:sz w:val="21"/>
          <w:szCs w:val="21"/>
        </w:rPr>
      </w:r>
    </w:p>
    <w:p>
      <w:pPr>
        <w:pStyle w:val="Normal"/>
        <w:ind w:start="720" w:end="0"/>
        <w:jc w:val="both"/>
        <w:rPr/>
      </w:pPr>
      <w:r>
        <w:rPr>
          <w:sz w:val="21"/>
          <w:szCs w:val="21"/>
        </w:rPr>
        <w:t>7.2</w:t>
        <w:tab/>
      </w:r>
      <w:r>
        <w:rPr>
          <w:sz w:val="21"/>
          <w:szCs w:val="21"/>
          <w:u w:val="single"/>
        </w:rPr>
        <w:t>Delivery</w:t>
      </w:r>
      <w:r>
        <w:rPr>
          <w:sz w:val="21"/>
          <w:szCs w:val="21"/>
        </w:rPr>
        <w:t>:   All receipts and deliveries will be scheduled through EMC.  Measurement at receipt and delivery will be determined by static shore tank gauging.  ECFC retains ownership of such product at all times for Methanol delivered for terminaling purposes.</w:t>
      </w:r>
    </w:p>
    <w:p>
      <w:pPr>
        <w:pStyle w:val="Normal"/>
        <w:ind w:start="720" w:end="0"/>
        <w:jc w:val="both"/>
        <w:rPr>
          <w:b/>
          <w:bCs/>
          <w:sz w:val="21"/>
          <w:szCs w:val="21"/>
        </w:rPr>
      </w:pPr>
      <w:r>
        <w:rPr>
          <w:b/>
          <w:bCs/>
          <w:sz w:val="21"/>
          <w:szCs w:val="21"/>
        </w:rPr>
      </w:r>
    </w:p>
    <w:p>
      <w:pPr>
        <w:pStyle w:val="Normal"/>
        <w:ind w:start="720" w:end="0"/>
        <w:jc w:val="both"/>
        <w:rPr/>
      </w:pPr>
      <w:r>
        <w:rPr>
          <w:sz w:val="21"/>
          <w:szCs w:val="21"/>
        </w:rPr>
        <w:t>7.3</w:t>
        <w:tab/>
      </w:r>
      <w:r>
        <w:rPr>
          <w:sz w:val="21"/>
          <w:szCs w:val="21"/>
          <w:u w:val="single"/>
        </w:rPr>
        <w:t>Specifications</w:t>
      </w:r>
      <w:r>
        <w:rPr>
          <w:sz w:val="21"/>
          <w:szCs w:val="21"/>
        </w:rPr>
        <w:t>:     Methanol delivered to EMC will meet the specifications set forth in Exhibit A unless waived by EMC prior to delivery.</w:t>
      </w:r>
    </w:p>
    <w:p>
      <w:pPr>
        <w:pStyle w:val="Normal"/>
        <w:ind w:start="720" w:end="0"/>
        <w:jc w:val="both"/>
        <w:rPr>
          <w:sz w:val="21"/>
          <w:szCs w:val="21"/>
        </w:rPr>
      </w:pPr>
      <w:r>
        <w:rPr>
          <w:sz w:val="21"/>
          <w:szCs w:val="21"/>
        </w:rPr>
      </w:r>
    </w:p>
    <w:p>
      <w:pPr>
        <w:pStyle w:val="Normal"/>
        <w:ind w:start="720" w:end="0"/>
        <w:jc w:val="both"/>
        <w:rPr/>
      </w:pPr>
      <w:r>
        <w:rPr>
          <w:sz w:val="21"/>
          <w:szCs w:val="21"/>
        </w:rPr>
        <w:t>7.4</w:t>
        <w:tab/>
      </w:r>
      <w:r>
        <w:rPr>
          <w:sz w:val="21"/>
          <w:szCs w:val="21"/>
          <w:u w:val="single"/>
        </w:rPr>
        <w:t>Price</w:t>
      </w:r>
      <w:r>
        <w:rPr>
          <w:sz w:val="21"/>
          <w:szCs w:val="21"/>
        </w:rPr>
        <w:t>:   ECFC will pay EMC on or before the Payment Date a throughput fee of $0.0083 per gallon ($0.35 per barrel) for quantities received by EMC and delivered back to ECFC during the previous month.  This fee provides for, but is not limited to, loading, unloading, storage and testing of product.</w:t>
      </w:r>
    </w:p>
    <w:p>
      <w:pPr>
        <w:pStyle w:val="Normal"/>
        <w:ind w:start="720" w:end="0"/>
        <w:jc w:val="both"/>
        <w:rPr>
          <w:sz w:val="21"/>
          <w:szCs w:val="21"/>
        </w:rPr>
      </w:pPr>
      <w:r>
        <w:rPr>
          <w:sz w:val="21"/>
          <w:szCs w:val="21"/>
        </w:rPr>
      </w:r>
      <w:r>
        <w:br w:type="page"/>
      </w:r>
    </w:p>
    <w:p>
      <w:pPr>
        <w:pStyle w:val="Normal"/>
        <w:jc w:val="both"/>
        <w:rPr>
          <w:b/>
          <w:bCs/>
          <w:sz w:val="21"/>
          <w:szCs w:val="21"/>
        </w:rPr>
      </w:pPr>
      <w:r>
        <w:rPr>
          <w:b/>
          <w:bCs/>
          <w:sz w:val="21"/>
          <w:szCs w:val="21"/>
        </w:rPr>
        <w:t>8.</w:t>
        <w:tab/>
        <w:t>LABORATORY ANALYSIS:</w:t>
      </w:r>
    </w:p>
    <w:p>
      <w:pPr>
        <w:pStyle w:val="Normal"/>
        <w:jc w:val="both"/>
        <w:rPr>
          <w:b/>
          <w:bCs/>
          <w:sz w:val="21"/>
          <w:szCs w:val="21"/>
        </w:rPr>
      </w:pPr>
      <w:r>
        <w:rPr>
          <w:b/>
          <w:bCs/>
          <w:sz w:val="21"/>
          <w:szCs w:val="21"/>
        </w:rPr>
      </w:r>
    </w:p>
    <w:p>
      <w:pPr>
        <w:pStyle w:val="Normal"/>
        <w:ind w:start="720" w:end="0"/>
        <w:jc w:val="both"/>
        <w:rPr/>
      </w:pPr>
      <w:r>
        <w:rPr>
          <w:sz w:val="21"/>
          <w:szCs w:val="21"/>
        </w:rPr>
        <w:t xml:space="preserve">8.1 </w:t>
        <w:tab/>
      </w:r>
      <w:r>
        <w:rPr>
          <w:sz w:val="21"/>
          <w:szCs w:val="21"/>
          <w:u w:val="single"/>
        </w:rPr>
        <w:t>Analysis</w:t>
      </w:r>
      <w:r>
        <w:rPr>
          <w:sz w:val="21"/>
          <w:szCs w:val="21"/>
        </w:rPr>
        <w:t>:     ECFC may from time to time deliver samples to the EMC lab for testing and issuance of a Certificate of Analysis.  Such deliveries for testing will be scheduled through EGP Fuels Company.</w:t>
        <w:tab/>
      </w:r>
    </w:p>
    <w:p>
      <w:pPr>
        <w:pStyle w:val="Normal"/>
        <w:ind w:start="720" w:end="0"/>
        <w:jc w:val="both"/>
        <w:rPr>
          <w:sz w:val="21"/>
          <w:szCs w:val="21"/>
        </w:rPr>
      </w:pPr>
      <w:r>
        <w:rPr>
          <w:sz w:val="21"/>
          <w:szCs w:val="21"/>
        </w:rPr>
      </w:r>
    </w:p>
    <w:p>
      <w:pPr>
        <w:pStyle w:val="Normal"/>
        <w:ind w:start="720" w:end="0"/>
        <w:jc w:val="both"/>
        <w:rPr>
          <w:b/>
          <w:bCs/>
          <w:sz w:val="21"/>
          <w:szCs w:val="21"/>
        </w:rPr>
      </w:pPr>
      <w:r>
        <w:rPr>
          <w:sz w:val="21"/>
          <w:szCs w:val="21"/>
        </w:rPr>
        <w:t>8.2</w:t>
        <w:tab/>
      </w:r>
      <w:r>
        <w:rPr>
          <w:sz w:val="21"/>
          <w:szCs w:val="21"/>
          <w:u w:val="single"/>
        </w:rPr>
        <w:t>Fees</w:t>
      </w:r>
      <w:r>
        <w:rPr>
          <w:sz w:val="21"/>
          <w:szCs w:val="21"/>
        </w:rPr>
        <w:t>:     For each sample EMC’s lab analyzes and issues a Certificate of Analysis during the previous month as it relates to Section 8.1 above, ECFC will pay to EMC a fee of $500.00 on or before the Payment Date.  For sake of clarity, these do not include the analysis of samples done under Section 7.3.</w:t>
        <w:tab/>
        <w:tab/>
        <w:tab/>
        <w:tab/>
        <w:tab/>
      </w:r>
    </w:p>
    <w:p>
      <w:pPr>
        <w:pStyle w:val="Normal"/>
        <w:jc w:val="both"/>
        <w:rPr>
          <w:b/>
          <w:bCs/>
          <w:sz w:val="21"/>
          <w:szCs w:val="21"/>
        </w:rPr>
      </w:pPr>
      <w:r>
        <w:rPr>
          <w:b/>
          <w:bCs/>
          <w:sz w:val="21"/>
          <w:szCs w:val="21"/>
        </w:rPr>
      </w:r>
    </w:p>
    <w:p>
      <w:pPr>
        <w:pStyle w:val="Normal"/>
        <w:jc w:val="both"/>
        <w:rPr/>
      </w:pPr>
      <w:r>
        <w:rPr>
          <w:b/>
          <w:bCs/>
          <w:sz w:val="21"/>
          <w:szCs w:val="21"/>
        </w:rPr>
        <w:t>9.</w:t>
        <w:tab/>
        <w:t>AMENDMENTS</w:t>
      </w:r>
      <w:r>
        <w:rPr>
          <w:sz w:val="21"/>
          <w:szCs w:val="21"/>
        </w:rPr>
        <w:t>:     This Agreement contains all the agreements and understandings with respect to the subject matter of this Agreement.  No amendment or modification of this Agreement shall be of any force or effect unless made in writing and signed by both parties.  If the terms of this Agreement and any other writing related to this Agreement conflict, then the terms of this Agreement govern.</w:t>
      </w:r>
    </w:p>
    <w:p>
      <w:pPr>
        <w:pStyle w:val="Normal"/>
        <w:jc w:val="both"/>
        <w:rPr>
          <w:sz w:val="21"/>
          <w:szCs w:val="21"/>
        </w:rPr>
      </w:pPr>
      <w:r>
        <w:rPr>
          <w:sz w:val="21"/>
          <w:szCs w:val="21"/>
        </w:rPr>
      </w:r>
    </w:p>
    <w:p>
      <w:pPr>
        <w:pStyle w:val="Normal"/>
        <w:jc w:val="both"/>
        <w:rPr>
          <w:sz w:val="21"/>
          <w:szCs w:val="21"/>
        </w:rPr>
      </w:pPr>
      <w:r>
        <w:rPr>
          <w:sz w:val="21"/>
          <w:szCs w:val="21"/>
        </w:rPr>
        <w:tab/>
        <w:t>IN WITNESS WHEREOF, the undersigned parties have executed this Agreement effective as of January 1, 1998.</w:t>
      </w:r>
    </w:p>
    <w:p>
      <w:pPr>
        <w:pStyle w:val="Normal"/>
        <w:ind w:hanging="720" w:start="720" w:end="0"/>
        <w:jc w:val="both"/>
        <w:rPr>
          <w:sz w:val="21"/>
          <w:szCs w:val="21"/>
        </w:rPr>
      </w:pPr>
      <w:r>
        <w:rPr>
          <w:sz w:val="21"/>
          <w:szCs w:val="21"/>
        </w:rPr>
      </w:r>
    </w:p>
    <w:p>
      <w:pPr>
        <w:pStyle w:val="Normal"/>
        <w:ind w:firstLine="720" w:start="3600" w:end="0"/>
        <w:jc w:val="both"/>
        <w:rPr>
          <w:sz w:val="21"/>
          <w:szCs w:val="21"/>
        </w:rPr>
      </w:pPr>
      <w:r>
        <w:rPr>
          <w:sz w:val="21"/>
          <w:szCs w:val="21"/>
        </w:rPr>
        <w:t>ENRON CLEAN FUELS COMPANY,</w:t>
      </w:r>
    </w:p>
    <w:p>
      <w:pPr>
        <w:pStyle w:val="Normal"/>
        <w:ind w:firstLine="720" w:start="3600" w:end="0"/>
        <w:jc w:val="both"/>
        <w:rPr>
          <w:sz w:val="21"/>
          <w:szCs w:val="21"/>
        </w:rPr>
      </w:pPr>
      <w:r>
        <w:rPr>
          <w:sz w:val="21"/>
          <w:szCs w:val="21"/>
        </w:rPr>
        <w:t>a division of ENRON GAS LIQUIDS, INC.</w:t>
      </w:r>
    </w:p>
    <w:p>
      <w:pPr>
        <w:pStyle w:val="Normal"/>
        <w:ind w:hanging="720" w:start="720" w:end="0"/>
        <w:jc w:val="both"/>
        <w:rPr>
          <w:sz w:val="21"/>
          <w:szCs w:val="21"/>
        </w:rPr>
      </w:pPr>
      <w:r>
        <w:rPr>
          <w:sz w:val="21"/>
          <w:szCs w:val="21"/>
        </w:rPr>
      </w:r>
    </w:p>
    <w:p>
      <w:pPr>
        <w:pStyle w:val="Normal"/>
        <w:ind w:hanging="720" w:start="720" w:end="0"/>
        <w:jc w:val="both"/>
        <w:rPr>
          <w:sz w:val="21"/>
          <w:szCs w:val="21"/>
        </w:rPr>
      </w:pPr>
      <w:r>
        <w:rPr>
          <w:sz w:val="21"/>
          <w:szCs w:val="21"/>
        </w:rPr>
      </w:r>
    </w:p>
    <w:p>
      <w:pPr>
        <w:pStyle w:val="Normal"/>
        <w:ind w:firstLine="720" w:start="3600" w:end="0"/>
        <w:jc w:val="both"/>
        <w:rPr>
          <w:sz w:val="21"/>
          <w:szCs w:val="21"/>
        </w:rPr>
      </w:pPr>
      <w:r>
        <w:rPr>
          <w:sz w:val="21"/>
          <w:szCs w:val="21"/>
        </w:rPr>
        <w:t>By: ________________________________</w:t>
      </w:r>
    </w:p>
    <w:p>
      <w:pPr>
        <w:pStyle w:val="Normal"/>
        <w:ind w:hanging="720" w:start="720" w:end="0"/>
        <w:jc w:val="both"/>
        <w:rPr>
          <w:sz w:val="21"/>
          <w:szCs w:val="21"/>
        </w:rPr>
      </w:pPr>
      <w:r>
        <w:rPr>
          <w:sz w:val="21"/>
          <w:szCs w:val="21"/>
        </w:rPr>
      </w:r>
    </w:p>
    <w:p>
      <w:pPr>
        <w:pStyle w:val="Normal"/>
        <w:ind w:hanging="720" w:start="720" w:end="0"/>
        <w:jc w:val="both"/>
        <w:rPr>
          <w:sz w:val="21"/>
          <w:szCs w:val="21"/>
        </w:rPr>
      </w:pPr>
      <w:r>
        <w:rPr>
          <w:sz w:val="21"/>
          <w:szCs w:val="21"/>
        </w:rPr>
      </w:r>
    </w:p>
    <w:p>
      <w:pPr>
        <w:pStyle w:val="Normal"/>
        <w:ind w:firstLine="720" w:start="3600" w:end="0"/>
        <w:jc w:val="both"/>
        <w:rPr>
          <w:sz w:val="21"/>
          <w:szCs w:val="21"/>
        </w:rPr>
      </w:pPr>
      <w:r>
        <w:rPr>
          <w:sz w:val="21"/>
          <w:szCs w:val="21"/>
        </w:rPr>
        <w:t>ENRON METHANOL COMPANY</w:t>
      </w:r>
    </w:p>
    <w:p>
      <w:pPr>
        <w:pStyle w:val="Normal"/>
        <w:ind w:hanging="720" w:start="720" w:end="0"/>
        <w:jc w:val="both"/>
        <w:rPr>
          <w:sz w:val="21"/>
          <w:szCs w:val="21"/>
        </w:rPr>
      </w:pPr>
      <w:r>
        <w:rPr>
          <w:sz w:val="21"/>
          <w:szCs w:val="21"/>
        </w:rPr>
      </w:r>
    </w:p>
    <w:p>
      <w:pPr>
        <w:pStyle w:val="Normal"/>
        <w:ind w:hanging="720" w:start="720" w:end="0"/>
        <w:jc w:val="both"/>
        <w:rPr>
          <w:sz w:val="21"/>
          <w:szCs w:val="21"/>
        </w:rPr>
      </w:pPr>
      <w:r>
        <w:rPr>
          <w:sz w:val="21"/>
          <w:szCs w:val="21"/>
        </w:rPr>
      </w:r>
    </w:p>
    <w:p>
      <w:pPr>
        <w:pStyle w:val="Normal"/>
        <w:ind w:firstLine="720" w:start="3600" w:end="0"/>
        <w:jc w:val="both"/>
        <w:rPr>
          <w:sz w:val="21"/>
          <w:szCs w:val="21"/>
        </w:rPr>
      </w:pPr>
      <w:r>
        <w:rPr>
          <w:sz w:val="21"/>
          <w:szCs w:val="21"/>
        </w:rPr>
        <w:t>By: ________________________________</w:t>
      </w:r>
    </w:p>
    <w:p>
      <w:pPr>
        <w:pStyle w:val="Normal"/>
        <w:ind w:hanging="720" w:start="720" w:end="0"/>
        <w:jc w:val="both"/>
        <w:rPr>
          <w:sz w:val="21"/>
          <w:szCs w:val="21"/>
        </w:rPr>
      </w:pPr>
      <w:r>
        <w:rPr>
          <w:sz w:val="21"/>
          <w:szCs w:val="21"/>
        </w:rPr>
      </w:r>
    </w:p>
    <w:p>
      <w:pPr>
        <w:pStyle w:val="Normal"/>
        <w:ind w:hanging="720" w:start="720" w:end="0"/>
        <w:jc w:val="both"/>
        <w:rPr>
          <w:sz w:val="21"/>
          <w:szCs w:val="21"/>
        </w:rPr>
      </w:pPr>
      <w:r>
        <w:rPr>
          <w:sz w:val="21"/>
          <w:szCs w:val="21"/>
        </w:rPr>
      </w:r>
      <w:r>
        <w:br w:type="page"/>
      </w:r>
    </w:p>
    <w:p>
      <w:pPr>
        <w:pStyle w:val="Normal"/>
        <w:tabs>
          <w:tab w:val="clear" w:pos="720"/>
          <w:tab w:val="left" w:pos="2160" w:leader="none"/>
          <w:tab w:val="left" w:pos="5760" w:leader="none"/>
          <w:tab w:val="left" w:pos="7200" w:leader="none"/>
        </w:tabs>
        <w:jc w:val="center"/>
        <w:rPr/>
      </w:pPr>
      <w:r>
        <w:rPr/>
        <w:t xml:space="preserve"> </w:t>
      </w:r>
      <w:r>
        <w:rPr/>
        <w:t>EXHIBIT “A”</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METHANOL PLANT</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METHANOL QUALITY SPECIFICATIONS</w:t>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An intermediate for the synthesis of a variety of chemicals, such as; formaldehyde, methyl esters, ethers, amines, methyl and methylene chlorides and various chemical intermediates; used in non-permanent anti-freeze; as a fuel, solvent, extractant, and denaturant.</w:t>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FORMULA:  CH</w:t>
      </w:r>
      <w:r>
        <w:rPr>
          <w:vertAlign w:val="subscript"/>
        </w:rPr>
        <w:t>3</w:t>
      </w:r>
      <w:r>
        <w:rPr/>
        <w:t>OH</w:t>
        <w:tab/>
        <w:tab/>
        <w:t>MOL. WT.:  32.04</w:t>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FORM:  Liquid</w:t>
      </w:r>
    </w:p>
    <w:p>
      <w:pPr>
        <w:pStyle w:val="Normal"/>
        <w:tabs>
          <w:tab w:val="clear" w:pos="720"/>
          <w:tab w:val="left" w:pos="2160" w:leader="none"/>
          <w:tab w:val="left" w:pos="5760" w:leader="none"/>
          <w:tab w:val="left" w:pos="7200" w:leader="none"/>
        </w:tabs>
        <w:rPr/>
      </w:pPr>
      <w:r>
        <w:rPr/>
      </w:r>
    </w:p>
    <w:tbl>
      <w:tblPr>
        <w:tblW w:w="9063" w:type="dxa"/>
        <w:jc w:val="center"/>
        <w:tblInd w:w="0" w:type="dxa"/>
        <w:tblLayout w:type="fixed"/>
        <w:tblCellMar>
          <w:top w:w="0" w:type="dxa"/>
          <w:start w:w="108" w:type="dxa"/>
          <w:bottom w:w="0" w:type="dxa"/>
          <w:end w:w="108" w:type="dxa"/>
        </w:tblCellMar>
      </w:tblPr>
      <w:tblGrid>
        <w:gridCol w:w="2286"/>
        <w:gridCol w:w="5226"/>
        <w:gridCol w:w="1551"/>
      </w:tblGrid>
      <w:tr>
        <w:trPr>
          <w:trHeight w:val="360" w:hRule="atLeast"/>
        </w:trPr>
        <w:tc>
          <w:tcPr>
            <w:tcW w:w="2286"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snapToGrid w:val="false"/>
              <w:rPr/>
            </w:pPr>
            <w:r>
              <w:rPr/>
            </w:r>
          </w:p>
        </w:tc>
        <w:tc>
          <w:tcPr>
            <w:tcW w:w="5226" w:type="dxa"/>
            <w:tcBorders>
              <w:top w:val="single" w:sz="12" w:space="0" w:color="000000"/>
              <w:start w:val="single" w:sz="6" w:space="0" w:color="000000"/>
              <w:bottom w:val="single" w:sz="6" w:space="0" w:color="000000"/>
              <w:end w:val="single" w:sz="6" w:space="0" w:color="000000"/>
            </w:tcBorders>
          </w:tcPr>
          <w:p>
            <w:pPr>
              <w:pStyle w:val="Normal"/>
              <w:snapToGrid w:val="false"/>
              <w:rPr/>
            </w:pPr>
            <w:r>
              <w:rPr/>
            </w:r>
          </w:p>
        </w:tc>
        <w:tc>
          <w:tcPr>
            <w:tcW w:w="1551" w:type="dxa"/>
            <w:tcBorders>
              <w:top w:val="single" w:sz="12" w:space="0" w:color="000000"/>
              <w:start w:val="single" w:sz="6" w:space="0" w:color="000000"/>
              <w:bottom w:val="single" w:sz="6" w:space="0" w:color="000000"/>
              <w:end w:val="single" w:sz="12" w:space="0" w:color="000000"/>
            </w:tcBorders>
          </w:tcPr>
          <w:p>
            <w:pPr>
              <w:pStyle w:val="Normal"/>
              <w:jc w:val="center"/>
              <w:rPr/>
            </w:pPr>
            <w:r>
              <w:rPr/>
              <w:t>Test Method</w:t>
            </w:r>
          </w:p>
        </w:tc>
      </w:tr>
      <w:tr>
        <w:trPr>
          <w:trHeight w:val="360" w:hRule="atLeast"/>
        </w:trPr>
        <w:tc>
          <w:tcPr>
            <w:tcW w:w="2286" w:type="dxa"/>
            <w:tcBorders>
              <w:top w:val="dashed" w:sz="6" w:space="0" w:color="auto"/>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Suspended Solids</w:t>
            </w:r>
          </w:p>
        </w:tc>
        <w:tc>
          <w:tcPr>
            <w:tcW w:w="5226" w:type="dxa"/>
            <w:tcBorders>
              <w:top w:val="dashed" w:sz="6" w:space="0" w:color="auto"/>
              <w:start w:val="single" w:sz="6" w:space="0" w:color="000000"/>
              <w:bottom w:val="single" w:sz="6" w:space="0" w:color="000000"/>
              <w:end w:val="single" w:sz="6" w:space="0" w:color="000000"/>
            </w:tcBorders>
          </w:tcPr>
          <w:p>
            <w:pPr>
              <w:pStyle w:val="Normal"/>
              <w:tabs>
                <w:tab w:val="clear" w:pos="720"/>
                <w:tab w:val="left" w:pos="393" w:leader="none"/>
              </w:tabs>
              <w:rPr/>
            </w:pPr>
            <w:r>
              <w:rPr/>
              <w:t>Free from suspended matter</w:t>
            </w:r>
          </w:p>
        </w:tc>
        <w:tc>
          <w:tcPr>
            <w:tcW w:w="1551" w:type="dxa"/>
            <w:tcBorders>
              <w:top w:val="dashed" w:sz="6" w:space="0" w:color="auto"/>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Appearance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Clear, colorless, liquid</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(1)</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Odor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No foreign odor; characteristic</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D-1296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Methanol</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99.90% by wt. Minimum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(2)</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Distillation Range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1</w:t>
            </w:r>
            <w:r>
              <w:rPr>
                <w:vertAlign w:val="superscript"/>
              </w:rPr>
              <w:t>o</w:t>
            </w:r>
            <w:r>
              <w:rPr/>
              <w:t>C. max., to include 64.6 ± 0.1</w:t>
            </w:r>
            <w:r>
              <w:rPr>
                <w:vertAlign w:val="superscript"/>
              </w:rPr>
              <w:t>o</w:t>
            </w:r>
            <w:r>
              <w:rPr/>
              <w:t>C @ 760mm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D-1078</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Specific Gravity</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0.7892 maximum @ 25</w:t>
            </w:r>
            <w:r>
              <w:rPr>
                <w:vertAlign w:val="superscript"/>
              </w:rPr>
              <w:t>o</w:t>
            </w:r>
            <w:r>
              <w:rPr/>
              <w:t>C</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E-346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Color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5 APHA,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D-1209</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Acidity</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0.003% by wt. Maximum; as acetic acid</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D-1613</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Alkalinity</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0.0003% by wt. Maximum; as ammonia</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D-1614</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Acetone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0.003% by wt.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D-1612</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Carbonizables</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20 APHA,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E-346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Hydrocarbons</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Clear when diluted 1:2 with water, after 30 minutes</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E-346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Non-Volatile Matter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0.001% by wt.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D-1353</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Permanganate Time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50 minutes minimum (0.02% KMnO</w:t>
            </w:r>
            <w:r>
              <w:rPr>
                <w:vertAlign w:val="subscript"/>
              </w:rPr>
              <w:t>4</w:t>
            </w:r>
            <w:r>
              <w:rPr/>
              <w:t xml:space="preserve"> @ 15</w:t>
            </w:r>
            <w:r>
              <w:rPr>
                <w:vertAlign w:val="superscript"/>
              </w:rPr>
              <w:t>o</w:t>
            </w:r>
            <w:r>
              <w:rPr/>
              <w:t>C</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D-1363</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Water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0.05% by wt. Maximum when shipped</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E-203</w:t>
            </w:r>
          </w:p>
        </w:tc>
      </w:tr>
      <w:tr>
        <w:trPr>
          <w:trHeight w:val="360" w:hRule="atLeast"/>
        </w:trPr>
        <w:tc>
          <w:tcPr>
            <w:tcW w:w="2286" w:type="dxa"/>
            <w:tcBorders>
              <w:top w:val="single" w:sz="6" w:space="0" w:color="000000"/>
              <w:start w:val="single" w:sz="12" w:space="0" w:color="000000"/>
              <w:bottom w:val="single" w:sz="12" w:space="0" w:color="000000"/>
              <w:end w:val="single" w:sz="6" w:space="0" w:color="000000"/>
            </w:tcBorders>
          </w:tcPr>
          <w:p>
            <w:pPr>
              <w:pStyle w:val="Normal"/>
              <w:tabs>
                <w:tab w:val="clear" w:pos="720"/>
                <w:tab w:val="left" w:pos="393" w:leader="none"/>
                <w:tab w:val="left" w:pos="753" w:leader="none"/>
                <w:tab w:val="left" w:pos="1113" w:leader="none"/>
              </w:tabs>
              <w:rPr/>
            </w:pPr>
            <w:r>
              <w:rPr/>
              <w:t>Metals</w:t>
            </w:r>
          </w:p>
        </w:tc>
        <w:tc>
          <w:tcPr>
            <w:tcW w:w="5226"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393" w:leader="none"/>
              </w:tabs>
              <w:rPr/>
            </w:pPr>
            <w:r>
              <w:rPr/>
              <w:t>1.0 ppm wt., maximum; as sodium, zinc, iron</w:t>
            </w:r>
          </w:p>
        </w:tc>
        <w:tc>
          <w:tcPr>
            <w:tcW w:w="1551"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393" w:leader="none"/>
              </w:tabs>
              <w:snapToGrid w:val="false"/>
              <w:jc w:val="center"/>
              <w:rPr/>
            </w:pPr>
            <w:r>
              <w:rPr/>
            </w:r>
          </w:p>
        </w:tc>
      </w:tr>
    </w:tbl>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Notes:</w:t>
      </w:r>
    </w:p>
    <w:p>
      <w:pPr>
        <w:pStyle w:val="Normal"/>
        <w:numPr>
          <w:ilvl w:val="0"/>
          <w:numId w:val="1"/>
        </w:numPr>
        <w:tabs>
          <w:tab w:val="clear" w:pos="720"/>
          <w:tab w:val="left" w:pos="0" w:leader="none"/>
          <w:tab w:val="left" w:pos="1800" w:leader="none"/>
          <w:tab w:val="left" w:pos="5400" w:leader="none"/>
          <w:tab w:val="left" w:pos="6840" w:leader="none"/>
        </w:tabs>
        <w:ind w:hanging="720" w:start="720" w:end="0"/>
        <w:rPr/>
      </w:pPr>
      <w:r>
        <w:rPr/>
        <w:t>Visual</w:t>
      </w:r>
    </w:p>
    <w:p>
      <w:pPr>
        <w:pStyle w:val="Normal"/>
        <w:numPr>
          <w:ilvl w:val="0"/>
          <w:numId w:val="1"/>
        </w:numPr>
        <w:tabs>
          <w:tab w:val="clear" w:pos="720"/>
          <w:tab w:val="left" w:pos="0" w:leader="none"/>
          <w:tab w:val="left" w:pos="1800" w:leader="none"/>
          <w:tab w:val="left" w:pos="5400" w:leader="none"/>
          <w:tab w:val="left" w:pos="6840" w:leader="none"/>
        </w:tabs>
        <w:ind w:hanging="360" w:start="720" w:end="0"/>
        <w:rPr/>
      </w:pPr>
      <w:r>
        <w:rPr/>
        <w:t>By Difference</w:t>
      </w:r>
    </w:p>
    <w:p>
      <w:pPr>
        <w:pStyle w:val="Normal"/>
        <w:tabs>
          <w:tab w:val="clear" w:pos="720"/>
          <w:tab w:val="left" w:pos="2160" w:leader="none"/>
          <w:tab w:val="left" w:pos="5760" w:leader="none"/>
          <w:tab w:val="left" w:pos="7200" w:leader="none"/>
        </w:tabs>
        <w:rPr/>
      </w:pPr>
      <w:r>
        <w:rPr/>
      </w:r>
    </w:p>
    <w:p>
      <w:pPr>
        <w:pStyle w:val="Normal"/>
        <w:tabs>
          <w:tab w:val="clear" w:pos="720"/>
          <w:tab w:val="left" w:pos="360" w:leader="none"/>
          <w:tab w:val="left" w:pos="540" w:leader="none"/>
          <w:tab w:val="left" w:pos="900" w:leader="none"/>
          <w:tab w:val="left" w:pos="2160" w:leader="none"/>
          <w:tab w:val="left" w:pos="5760" w:leader="none"/>
          <w:tab w:val="left" w:pos="7200" w:leader="none"/>
        </w:tabs>
        <w:rPr/>
      </w:pPr>
      <w:r>
        <w:rPr/>
        <w:t>Note:  These specifications define only a basic purity for this product.  The product is to be free of any contaminants that might render the product unsuitable.</w:t>
      </w:r>
    </w:p>
    <w:p>
      <w:pPr>
        <w:pStyle w:val="Normal"/>
        <w:tabs>
          <w:tab w:val="clear" w:pos="720"/>
          <w:tab w:val="left" w:pos="2160" w:leader="none"/>
          <w:tab w:val="left" w:pos="5760" w:leader="none"/>
          <w:tab w:val="left" w:pos="7200" w:leader="none"/>
        </w:tabs>
        <w:jc w:val="center"/>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 w:name="Arial">
    <w:altName w:val="Helvetic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Helvetica" w:hAnsi="Arial;Helvetica" w:eastAsia="Arial;Helvetica" w:cs="Arial;Helvetica"/>
        <w:sz w:val="12"/>
        <w:szCs w:val="12"/>
      </w:rPr>
    </w:pPr>
    <w:r>
      <w:rPr>
        <w:rFonts w:eastAsia="Arial;Helvetica" w:cs="Arial;Helvetica" w:ascii="Arial;Helvetica" w:hAnsi="Arial;Helvetica"/>
        <w:sz w:val="12"/>
        <w:szCs w:val="12"/>
      </w:rPr>
    </w:r>
  </w:p>
  <w:p>
    <w:pPr>
      <w:pStyle w:val="Footer"/>
      <w:rPr>
        <w:rFonts w:ascii="Arial;Helvetica" w:hAnsi="Arial;Helvetica" w:eastAsia="Arial;Helvetica" w:cs="Arial;Helvetica"/>
        <w:sz w:val="12"/>
        <w:szCs w:val="12"/>
      </w:rPr>
    </w:pPr>
    <w:r>
      <w:rPr>
        <w:rFonts w:eastAsia="Arial;Helvetica" w:cs="Arial;Helvetica" w:ascii="Arial;Helvetica" w:hAnsi="Arial;Helvetica"/>
        <w:sz w:val="12"/>
        <w:szCs w:val="12"/>
      </w:rPr>
      <w:t>O:\COMMON\LEGAL\DHYVL\DJH\98001FCTR.DOC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1998-10-05T17:32:00Z</dcterms:created>
  <dc:creator>Daniel J. Hyvl</dc:creator>
  <dc:description/>
  <dc:language>en-CA</dc:language>
  <cp:lastModifiedBy>Daniel J. Hyvl</cp:lastModifiedBy>
  <dcterms:modified xsi:type="dcterms:W3CDTF">1998-10-05T17:32:00Z</dcterms:modified>
  <cp:revision>1</cp:revision>
  <dc:subject/>
  <dc:title>1998</dc:title>
</cp:coreProperties>
</file>