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72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VELogo" w:hAnsi="VELogo" w:cs="VELogo"/>
          <w:sz w:val="48"/>
        </w:rPr>
      </w:pPr>
      <w:r>
        <w:rPr>
          <w:rFonts w:cs="VELogo" w:ascii="VELogo" w:hAnsi="VELogo"/>
          <w:sz w:val="48"/>
        </w:rPr>
        <w:t>&amp;</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z w:val="48"/>
        </w:rPr>
      </w:pPr>
      <w:r>
        <w:fldChar w:fldCharType="begin"/>
      </w:r>
      <w:r>
        <w:rPr>
          <w:i/>
          <w:rFonts w:cs="Humanst521 Lt BT" w:ascii="Humanst521 Lt BT" w:hAnsi="Humanst521 Lt BT"/>
        </w:rPr>
        <w:instrText xml:space="preserve">ADVANCE \d 1"</w:instrText>
      </w:r>
      <w:r>
        <w:rPr>
          <w:rFonts w:cs="Humanst521 Lt BT" w:ascii="Humanst521 Lt BT" w:hAnsi="Humanst521 Lt BT"/>
          <w:i/>
        </w:rPr>
      </w:r>
      <w:r>
        <w:rPr>
          <w:i/>
          <w:rFonts w:cs="Humanst521 Lt BT" w:ascii="Humanst521 Lt BT" w:hAnsi="Humanst521 Lt BT"/>
        </w:rPr>
        <w:fldChar w:fldCharType="separate"/>
      </w:r>
      <w:r>
        <w:rPr>
          <w:rFonts w:cs="Humanst521 Lt BT" w:ascii="Humanst521 Lt BT" w:hAnsi="Humanst521 Lt BT"/>
          <w:i/>
        </w:rPr>
      </w:r>
      <w:r>
        <w:rPr>
          <w:rFonts w:cs="Humanst521 Lt BT" w:ascii="Humanst521 Lt BT" w:hAnsi="Humanst521 Lt BT"/>
          <w:i/>
        </w:rPr>
      </w:r>
      <w:r>
        <w:rPr>
          <w:i/>
          <w:rFonts w:cs="Humanst521 Lt BT" w:ascii="Humanst521 Lt BT" w:hAnsi="Humanst521 Lt BT"/>
        </w:rPr>
        <w:fldChar w:fldCharType="end"/>
      </w:r>
      <w:r>
        <w:fldChar w:fldCharType="begin"/>
      </w:r>
      <w:r>
        <w:rPr>
          <w:i/>
          <w:rFonts w:cs="Humanst521 Lt BT" w:ascii="Humanst521 Lt BT" w:hAnsi="Humanst521 Lt BT"/>
        </w:rPr>
        <w:instrText xml:space="preserve">ADVANCE \d 2"</w:instrText>
      </w:r>
      <w:r>
        <w:rPr>
          <w:rFonts w:cs="Humanst521 Lt BT" w:ascii="Humanst521 Lt BT" w:hAnsi="Humanst521 Lt BT"/>
          <w:i/>
        </w:rPr>
      </w:r>
      <w:r>
        <w:rPr>
          <w:i/>
          <w:rFonts w:cs="Humanst521 Lt BT" w:ascii="Humanst521 Lt BT" w:hAnsi="Humanst521 Lt BT"/>
        </w:rPr>
        <w:fldChar w:fldCharType="separate"/>
      </w:r>
      <w:r>
        <w:rPr>
          <w:rFonts w:cs="Humanst521 Lt BT" w:ascii="Humanst521 Lt BT" w:hAnsi="Humanst521 Lt BT"/>
          <w:i/>
        </w:rPr>
      </w:r>
      <w:r>
        <w:rPr>
          <w:rFonts w:cs="Humanst521 Lt BT" w:ascii="Humanst521 Lt BT" w:hAnsi="Humanst521 Lt BT"/>
          <w:i/>
        </w:rPr>
      </w:r>
      <w:r>
        <w:rPr>
          <w:i/>
          <w:rFonts w:cs="Humanst521 Lt BT" w:ascii="Humanst521 Lt BT" w:hAnsi="Humanst521 Lt BT"/>
        </w:rPr>
        <w:fldChar w:fldCharType="end"/>
      </w:r>
      <w:r>
        <w:rPr>
          <w:rFonts w:cs="Humanst521 Lt BT" w:ascii="Humanst521 Lt BT" w:hAnsi="Humanst521 Lt BT"/>
          <w:spacing w:val="9"/>
          <w:sz w:val="16"/>
        </w:rPr>
        <w:t>ATTORNEYS AT LAW</w:t>
      </w:r>
    </w:p>
    <w:p>
      <w:pPr>
        <w:pStyle w:val="Normal"/>
        <w:numPr>
          <w:ilvl w:val="0"/>
          <w:numId w:val="0"/>
        </w:numPr>
        <w:tabs>
          <w:tab w:val="clear" w:pos="720"/>
          <w:tab w:val="left" w:pos="-1440" w:leader="none"/>
          <w:tab w:val="left" w:pos="-720" w:leader="none"/>
          <w:tab w:val="left" w:pos="1" w:leader="none"/>
          <w:tab w:val="left" w:pos="936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r>
    </w:p>
    <w:p>
      <w:pPr>
        <w:pStyle w:val="Normal"/>
        <w:numPr>
          <w:ilvl w:val="0"/>
          <w:numId w:val="0"/>
        </w:numPr>
        <w:tabs>
          <w:tab w:val="clear" w:pos="720"/>
          <w:tab w:val="left" w:pos="-1440" w:leader="none"/>
          <w:tab w:val="left" w:pos="-720" w:leader="none"/>
          <w:tab w:val="left" w:pos="1" w:leader="none"/>
          <w:tab w:val="left" w:pos="936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jc w:val="center"/>
        <w:outlineLvl w:val="0"/>
        <w:rPr>
          <w:rFonts w:ascii="Humanst521 Lt BT" w:hAnsi="Humanst521 Lt BT" w:cs="Humanst521 Lt BT"/>
          <w:spacing w:val="19"/>
          <w:sz w:val="12"/>
        </w:rPr>
      </w:pPr>
      <w:r>
        <w:rPr>
          <w:rFonts w:cs="Humanst521 Lt BT" w:ascii="Humanst521 Lt BT" w:hAnsi="Humanst521 Lt BT"/>
          <w:spacing w:val="19"/>
          <w:sz w:val="12"/>
        </w:rPr>
        <w:t>VINSON &amp; ELKINS L.L.P.</w:t>
      </w:r>
    </w:p>
    <w:tbl>
      <w:tblPr>
        <w:tblW w:w="9540" w:type="dxa"/>
        <w:jc w:val="start"/>
        <w:tblInd w:w="18" w:type="dxa"/>
        <w:tblLayout w:type="fixed"/>
        <w:tblCellMar>
          <w:top w:w="0" w:type="dxa"/>
          <w:start w:w="108" w:type="dxa"/>
          <w:bottom w:w="0" w:type="dxa"/>
          <w:end w:w="108" w:type="dxa"/>
        </w:tblCellMar>
      </w:tblPr>
      <w:tblGrid>
        <w:gridCol w:w="3150"/>
        <w:gridCol w:w="3060"/>
        <w:gridCol w:w="3330"/>
      </w:tblGrid>
      <w:tr>
        <w:trPr/>
        <w:tc>
          <w:tcPr>
            <w:tcW w:w="3150" w:type="dxa"/>
            <w:tcBorders/>
          </w:tcPr>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auto" w:line="300"/>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rPr>
                <w:rFonts w:ascii="Humanst521 Lt BT" w:hAnsi="Humanst521 Lt BT" w:cs="Humanst521 Lt BT"/>
                <w:spacing w:val="19"/>
                <w:sz w:val="12"/>
              </w:rPr>
            </w:pPr>
            <w:bookmarkStart w:id="0" w:name="SenderPhone"/>
            <w:bookmarkEnd w:id="0"/>
            <w:r>
              <w:rPr>
                <w:rFonts w:cs="Humanst521 Lt BT" w:ascii="Humanst521 Lt BT" w:hAnsi="Humanst521 Lt BT"/>
                <w:spacing w:val="19"/>
                <w:sz w:val="12"/>
              </w:rPr>
              <w:t>Writer's Phone: (202) 639-6533</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rPr>
                <w:rFonts w:ascii="Humanst521 Lt BT" w:hAnsi="Humanst521 Lt BT" w:cs="Humanst521 Lt BT"/>
                <w:spacing w:val="19"/>
                <w:sz w:val="12"/>
              </w:rPr>
            </w:pPr>
            <w:bookmarkStart w:id="1" w:name="SenderFax"/>
            <w:bookmarkEnd w:id="1"/>
            <w:r>
              <w:rPr>
                <w:rFonts w:cs="Humanst521 Lt BT" w:ascii="Humanst521 Lt BT" w:hAnsi="Humanst521 Lt BT"/>
                <w:spacing w:val="19"/>
                <w:sz w:val="12"/>
              </w:rPr>
              <w:t>Writer's Fax: (202) 639-6604</w:t>
            </w:r>
          </w:p>
        </w:tc>
        <w:tc>
          <w:tcPr>
            <w:tcW w:w="3060" w:type="dxa"/>
            <w:tcBorders/>
          </w:tcPr>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bookmarkStart w:id="2" w:name="OffAdd1"/>
            <w:bookmarkEnd w:id="2"/>
            <w:r>
              <w:rPr>
                <w:rFonts w:cs="Humanst521 Lt BT" w:ascii="Humanst521 Lt BT" w:hAnsi="Humanst521 Lt BT"/>
                <w:spacing w:val="19"/>
                <w:sz w:val="12"/>
              </w:rPr>
              <w:t>THE WILLARD OFFICE BUILDING</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bookmarkStart w:id="3" w:name="OffAdd2"/>
            <w:bookmarkEnd w:id="3"/>
            <w:r>
              <w:rPr>
                <w:rFonts w:cs="Humanst521 Lt BT" w:ascii="Humanst521 Lt BT" w:hAnsi="Humanst521 Lt BT"/>
                <w:spacing w:val="19"/>
                <w:sz w:val="12"/>
              </w:rPr>
              <w:t>1455 PENNSYLVANIA AVE., N.W.</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b/>
                <w:spacing w:val="19"/>
                <w:sz w:val="14"/>
              </w:rPr>
            </w:pPr>
            <w:bookmarkStart w:id="4" w:name="OffCity"/>
            <w:bookmarkStart w:id="5" w:name="OffAdd3"/>
            <w:bookmarkEnd w:id="4"/>
            <w:bookmarkEnd w:id="5"/>
            <w:r>
              <w:rPr>
                <w:rFonts w:cs="Humanst521 Lt BT" w:ascii="Humanst521 Lt BT" w:hAnsi="Humanst521 Lt BT"/>
                <w:b/>
                <w:spacing w:val="19"/>
                <w:sz w:val="14"/>
              </w:rPr>
              <w:t>WASHINGTON, D.C.  20004-1008</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bookmarkStart w:id="6" w:name="OffPhone"/>
            <w:bookmarkEnd w:id="6"/>
            <w:r>
              <w:rPr>
                <w:rFonts w:cs="Humanst521 Lt BT" w:ascii="Humanst521 Lt BT" w:hAnsi="Humanst521 Lt BT"/>
                <w:spacing w:val="19"/>
                <w:sz w:val="12"/>
              </w:rPr>
              <w:t>TELEPHONE (202) 639-6500</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bookmarkStart w:id="7" w:name="OffFax"/>
            <w:bookmarkEnd w:id="7"/>
            <w:r>
              <w:rPr>
                <w:rFonts w:cs="Humanst521 Lt BT" w:ascii="Humanst521 Lt BT" w:hAnsi="Humanst521 Lt BT"/>
                <w:spacing w:val="19"/>
                <w:sz w:val="12"/>
              </w:rPr>
              <w:t>FAX (202) 639-6604</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08"/>
              <w:jc w:val="center"/>
              <w:rPr>
                <w:rFonts w:ascii="Humanst521 Lt BT" w:hAnsi="Humanst521 Lt BT" w:cs="Humanst521 Lt BT"/>
                <w:spacing w:val="19"/>
                <w:sz w:val="12"/>
              </w:rPr>
            </w:pPr>
            <w:r>
              <w:rPr>
                <w:rFonts w:cs="Humanst521 Lt BT" w:ascii="Humanst521 Lt BT" w:hAnsi="Humanst521 Lt BT"/>
                <w:spacing w:val="19"/>
                <w:sz w:val="12"/>
              </w:rPr>
            </w:r>
          </w:p>
        </w:tc>
        <w:tc>
          <w:tcPr>
            <w:tcW w:w="3330" w:type="dxa"/>
            <w:tcBorders/>
          </w:tcPr>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lineRule="auto" w:line="300"/>
              <w:ind w:end="-18"/>
              <w:jc w:val="end"/>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r>
              <w:rPr>
                <w:rFonts w:cs="Humanst521 Lt BT" w:ascii="Humanst521 Lt BT" w:hAnsi="Humanst521 Lt BT"/>
                <w:spacing w:val="19"/>
                <w:sz w:val="12"/>
              </w:rPr>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bookmarkStart w:id="8" w:name="SenderEmail"/>
            <w:bookmarkEnd w:id="8"/>
            <w:r>
              <w:rPr>
                <w:rFonts w:cs="Humanst521 Lt BT" w:ascii="Humanst521 Lt BT" w:hAnsi="Humanst521 Lt BT"/>
                <w:spacing w:val="19"/>
                <w:sz w:val="12"/>
              </w:rPr>
              <w:t>E-Mail: awenner@velaw.com</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bookmarkStart w:id="9" w:name="VEWeb"/>
            <w:bookmarkEnd w:id="9"/>
            <w:r>
              <w:rPr>
                <w:rFonts w:cs="Humanst521 Lt BT" w:ascii="Humanst521 Lt BT" w:hAnsi="Humanst521 Lt BT"/>
                <w:spacing w:val="19"/>
                <w:sz w:val="12"/>
              </w:rPr>
              <w:t>Web: www.velaw.com </w:t>
            </w:r>
          </w:p>
          <w:p>
            <w:pPr>
              <w:pStyle w:val="Normal"/>
              <w:tabs>
                <w:tab w:val="clear" w:pos="720"/>
                <w:tab w:val="left" w:pos="-1440" w:leader="none"/>
                <w:tab w:val="left" w:pos="-720" w:leader="none"/>
                <w:tab w:val="left" w:pos="1"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300"/>
              <w:ind w:end="-18"/>
              <w:jc w:val="end"/>
              <w:rPr>
                <w:rFonts w:ascii="Humanst521 Lt BT" w:hAnsi="Humanst521 Lt BT" w:cs="Humanst521 Lt BT"/>
                <w:spacing w:val="19"/>
                <w:sz w:val="12"/>
              </w:rPr>
            </w:pPr>
            <w:r>
              <w:rPr>
                <w:rFonts w:cs="Humanst521 Lt BT" w:ascii="Humanst521 Lt BT" w:hAnsi="Humanst521 Lt BT"/>
                <w:spacing w:val="19"/>
                <w:sz w:val="12"/>
              </w:rPr>
            </w:r>
          </w:p>
        </w:tc>
      </w:tr>
    </w:tbl>
    <w:p>
      <w:pPr>
        <w:pStyle w:val="DocumentLabel"/>
        <w:jc w:val="center"/>
        <w:rPr>
          <w:sz w:val="28"/>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306705</wp:posOffset>
                </wp:positionV>
                <wp:extent cx="3200400" cy="0"/>
                <wp:effectExtent l="0" t="6350" r="0" b="6350"/>
                <wp:wrapNone/>
                <wp:docPr id="1" name=""/>
                <a:graphic xmlns:a="http://schemas.openxmlformats.org/drawingml/2006/main">
                  <a:graphicData uri="http://schemas.microsoft.com/office/word/2010/wordprocessingShape">
                    <wps:wsp>
                      <wps:cNvSpPr/>
                      <wps:spPr>
                        <a:xfrm>
                          <a:off x="0" y="0"/>
                          <a:ext cx="3200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24.15pt" to="352.75pt,24.15pt" stroked="t" o:allowincell="f" style="position:absolute">
                <v:stroke color="black" weight="12600" joinstyle="miter" endcap="flat"/>
                <v:fill o:detectmouseclick="t" on="false"/>
                <w10:wrap type="none"/>
              </v:line>
            </w:pict>
          </mc:Fallback>
        </mc:AlternateContent>
      </w:r>
      <w:r>
        <w:rPr>
          <w:sz w:val="28"/>
        </w:rPr>
        <w:t>Memorandum</w:t>
      </w:r>
    </w:p>
    <w:p>
      <w:pPr>
        <w:pStyle w:val="Normal"/>
        <w:tabs>
          <w:tab w:val="clear" w:pos="720"/>
          <w:tab w:val="center" w:pos="691" w:leader="none"/>
          <w:tab w:val="center" w:pos="8899" w:leader="none"/>
        </w:tabs>
        <w:spacing w:lineRule="atLeast" w:line="283"/>
        <w:jc w:val="center"/>
        <w:rPr/>
      </w:pPr>
      <w:bookmarkStart w:id="10" w:name="BodyDate"/>
      <w:bookmarkEnd w:id="10"/>
      <w:r>
        <w:rPr/>
        <w:t>July 27, 2000</w:t>
      </w:r>
    </w:p>
    <w:p>
      <w:pPr>
        <w:pStyle w:val="Normal"/>
        <w:tabs>
          <w:tab w:val="clear" w:pos="720"/>
          <w:tab w:val="center" w:pos="691" w:leader="none"/>
          <w:tab w:val="center" w:pos="8899" w:leader="none"/>
        </w:tabs>
        <w:spacing w:lineRule="atLeast" w:line="283"/>
        <w:jc w:val="center"/>
        <w:rPr/>
      </w:pPr>
      <w:r>
        <w:rPr/>
      </w:r>
    </w:p>
    <w:p>
      <w:pPr>
        <w:pStyle w:val="Header"/>
        <w:tabs>
          <w:tab w:val="clear" w:pos="4320"/>
          <w:tab w:val="clear" w:pos="8640"/>
        </w:tabs>
        <w:jc w:val="end"/>
        <w:rPr>
          <w:b/>
        </w:rPr>
      </w:pPr>
      <w:r>
        <w:rPr>
          <w:b/>
        </w:rPr>
        <w:t>Confidential</w:t>
      </w:r>
    </w:p>
    <w:p>
      <w:pPr>
        <w:pStyle w:val="Header"/>
        <w:tabs>
          <w:tab w:val="clear" w:pos="4320"/>
          <w:tab w:val="clear" w:pos="8640"/>
        </w:tabs>
        <w:jc w:val="end"/>
        <w:rPr>
          <w:b/>
        </w:rPr>
      </w:pPr>
      <w:r>
        <w:rPr>
          <w:b/>
        </w:rPr>
        <w:t>Attorney-Work Product</w:t>
      </w:r>
    </w:p>
    <w:p>
      <w:pPr>
        <w:pStyle w:val="Normal"/>
        <w:rPr>
          <w:b/>
        </w:rPr>
      </w:pPr>
      <w:r>
        <w:rPr>
          <w:b/>
        </w:rPr>
      </w:r>
    </w:p>
    <w:tbl>
      <w:tblPr>
        <w:tblW w:w="9648" w:type="dxa"/>
        <w:jc w:val="start"/>
        <w:tblInd w:w="0" w:type="dxa"/>
        <w:tblLayout w:type="fixed"/>
        <w:tblCellMar>
          <w:top w:w="0" w:type="dxa"/>
          <w:start w:w="108" w:type="dxa"/>
          <w:bottom w:w="0" w:type="dxa"/>
          <w:end w:w="108" w:type="dxa"/>
        </w:tblCellMar>
      </w:tblPr>
      <w:tblGrid>
        <w:gridCol w:w="1083"/>
        <w:gridCol w:w="8565"/>
      </w:tblGrid>
      <w:tr>
        <w:trPr/>
        <w:tc>
          <w:tcPr>
            <w:tcW w:w="1083" w:type="dxa"/>
            <w:tcBorders/>
          </w:tcPr>
          <w:p>
            <w:pPr>
              <w:pStyle w:val="BodyText"/>
              <w:rPr/>
            </w:pPr>
            <w:r>
              <w:rPr/>
              <w:t>TO:</w:t>
            </w:r>
          </w:p>
        </w:tc>
        <w:tc>
          <w:tcPr>
            <w:tcW w:w="8565" w:type="dxa"/>
            <w:tcBorders/>
          </w:tcPr>
          <w:p>
            <w:pPr>
              <w:pStyle w:val="BodyText"/>
              <w:ind w:firstLine="357" w:end="0"/>
              <w:rPr/>
            </w:pPr>
            <w:bookmarkStart w:id="11" w:name="MemoTo"/>
            <w:bookmarkEnd w:id="11"/>
            <w:r>
              <w:rPr/>
              <w:t>Enron Granite Team</w:t>
            </w:r>
          </w:p>
        </w:tc>
      </w:tr>
      <w:tr>
        <w:trPr/>
        <w:tc>
          <w:tcPr>
            <w:tcW w:w="1083" w:type="dxa"/>
            <w:tcBorders/>
          </w:tcPr>
          <w:p>
            <w:pPr>
              <w:pStyle w:val="BodyText"/>
              <w:snapToGrid w:val="false"/>
              <w:rPr/>
            </w:pPr>
            <w:r>
              <w:rPr/>
            </w:r>
          </w:p>
        </w:tc>
        <w:tc>
          <w:tcPr>
            <w:tcW w:w="8565" w:type="dxa"/>
            <w:tcBorders/>
          </w:tcPr>
          <w:p>
            <w:pPr>
              <w:pStyle w:val="BodyText"/>
              <w:snapToGrid w:val="false"/>
              <w:ind w:start="357" w:end="0"/>
              <w:rPr/>
            </w:pPr>
            <w:r>
              <w:rPr/>
            </w:r>
          </w:p>
        </w:tc>
      </w:tr>
      <w:tr>
        <w:trPr/>
        <w:tc>
          <w:tcPr>
            <w:tcW w:w="1083" w:type="dxa"/>
            <w:tcBorders/>
          </w:tcPr>
          <w:p>
            <w:pPr>
              <w:pStyle w:val="BodyText"/>
              <w:rPr/>
            </w:pPr>
            <w:r>
              <w:rPr/>
              <w:t>FROM:</w:t>
            </w:r>
          </w:p>
        </w:tc>
        <w:tc>
          <w:tcPr>
            <w:tcW w:w="8565" w:type="dxa"/>
            <w:tcBorders/>
          </w:tcPr>
          <w:p>
            <w:pPr>
              <w:pStyle w:val="BodyText"/>
              <w:ind w:start="357" w:end="0"/>
              <w:rPr/>
            </w:pPr>
            <w:bookmarkStart w:id="12" w:name="MemoFrom"/>
            <w:bookmarkEnd w:id="12"/>
            <w:r>
              <w:rPr/>
              <w:t>Adam Wenner</w:t>
            </w:r>
          </w:p>
        </w:tc>
      </w:tr>
      <w:tr>
        <w:trPr/>
        <w:tc>
          <w:tcPr>
            <w:tcW w:w="1083" w:type="dxa"/>
            <w:tcBorders/>
          </w:tcPr>
          <w:p>
            <w:pPr>
              <w:pStyle w:val="BodyText"/>
              <w:snapToGrid w:val="false"/>
              <w:rPr/>
            </w:pPr>
            <w:r>
              <w:rPr/>
            </w:r>
          </w:p>
        </w:tc>
        <w:tc>
          <w:tcPr>
            <w:tcW w:w="8565" w:type="dxa"/>
            <w:tcBorders/>
          </w:tcPr>
          <w:p>
            <w:pPr>
              <w:pStyle w:val="BodyText"/>
              <w:snapToGrid w:val="false"/>
              <w:ind w:start="357" w:end="0"/>
              <w:rPr/>
            </w:pPr>
            <w:r>
              <w:rPr/>
            </w:r>
          </w:p>
        </w:tc>
      </w:tr>
    </w:tbl>
    <w:p>
      <w:pPr>
        <w:pStyle w:val="BodyText"/>
        <w:ind w:hanging="1440" w:start="1440" w:end="0"/>
        <w:rPr/>
      </w:pPr>
      <w:r>
        <w:rPr/>
        <w:t>RE:</w:t>
        <w:tab/>
      </w:r>
      <w:bookmarkStart w:id="13" w:name="MemoRegarding"/>
      <w:bookmarkEnd w:id="13"/>
      <w:r>
        <w:rPr>
          <w:b/>
          <w:u w:val="single"/>
        </w:rPr>
        <w:t>FERC Order</w:t>
      </w:r>
    </w:p>
    <w:p>
      <w:pPr>
        <w:pStyle w:val="Header"/>
        <w:tabs>
          <w:tab w:val="clear" w:pos="4320"/>
          <w:tab w:val="clear" w:pos="8640"/>
        </w:tabs>
        <w:rPr/>
      </w:pPr>
      <w:r>
        <w:rPr/>
      </w:r>
    </w:p>
    <w:p>
      <w:pPr>
        <w:pStyle w:val="BodyText"/>
        <w:jc w:val="both"/>
        <w:rPr/>
      </w:pPr>
      <w:r>
        <w:rPr/>
        <w:tab/>
      </w:r>
      <w:bookmarkStart w:id="14" w:name="Start"/>
      <w:bookmarkEnd w:id="14"/>
      <w:r>
        <w:rPr/>
        <w:t xml:space="preserve">On Wednesday, July 26, </w:t>
      </w:r>
      <w:r>
        <w:rPr>
          <w:sz w:val="25"/>
        </w:rPr>
        <w:t>the FERC issued an order requiring Sierra Pacific and Portland General (“the Applicants”) to provide additional information, analysis and explanations regarding the competitive effects of the merger.  The FERC’s Order requires Applicants to submit additional information within 30 days from the date of the Order and provides 30 days from the date of filing for intervenors to respond.  The FERC will then determine whether it is necessary to hold a “technical conference” to facilitate the processing of the merger application.</w:t>
      </w:r>
    </w:p>
    <w:p>
      <w:pPr>
        <w:pStyle w:val="Normal"/>
        <w:rPr>
          <w:sz w:val="25"/>
        </w:rPr>
      </w:pPr>
      <w:r>
        <w:rPr>
          <w:sz w:val="25"/>
        </w:rPr>
      </w:r>
    </w:p>
    <w:p>
      <w:pPr>
        <w:pStyle w:val="Normal"/>
        <w:rPr>
          <w:sz w:val="25"/>
        </w:rPr>
      </w:pPr>
      <w:r>
        <w:rPr>
          <w:sz w:val="25"/>
        </w:rPr>
        <w:tab/>
        <w:t>The underlying concern of the FERC appears to be allegations that the merger would increase the opportunity of the merged company to limit access to and raise prices in the volatile California markets.  Note that on the same day the FERC issued this order, it ordered its staff to investigate price volatility in wholesale markets, and Chairman Hoecker stated that  competition can only work “if confidence in FERC is ‘unshaken.’”  The FERC does not want to be subject to criticism that it failed to examine every competitive aspect of a merger which allegedly could exacerbate prices in this highly-visible market.  It appears that the FERC’s approach is intended to (1) avoid that result; (2) avoid setting the merger for an evidentiary hearing; (3) avoid denying the merger, which involves merger of a capacity-deficient utility with a utility that is divesting all of its generation; while (4) complying with the 150-day self-imposed time limit for acting on merger applications.</w:t>
      </w:r>
    </w:p>
    <w:p>
      <w:pPr>
        <w:pStyle w:val="Normal"/>
        <w:rPr>
          <w:sz w:val="25"/>
        </w:rPr>
      </w:pPr>
      <w:r>
        <w:rPr>
          <w:sz w:val="25"/>
        </w:rPr>
      </w:r>
    </w:p>
    <w:p>
      <w:pPr>
        <w:pStyle w:val="Normal"/>
        <w:rPr>
          <w:sz w:val="25"/>
        </w:rPr>
      </w:pPr>
      <w:r>
        <w:rPr>
          <w:sz w:val="25"/>
        </w:rPr>
        <w:tab/>
        <w:t>In other cases where the FERC staff has sought additional information of the type requested here, it has done so by issuing a data request, which may have the effect of re-starting the 150 day clock.  That procedure was not followed here, which may indicate that the staff who processed the application did not have similar concerns, and that these concerns were not raised until the matter was placed on the FERC’s agenda and the case became entangled with the above-mentioned policy and political issues relating to price volatility in the California markets.  Also, the FERC’s analysis  departed, without explanation, from the methodology required in its own guidelines and from its recent precedent, including its decision in the AEP/CSW merger.</w:t>
      </w:r>
    </w:p>
    <w:p>
      <w:pPr>
        <w:pStyle w:val="Normal"/>
        <w:rPr>
          <w:sz w:val="25"/>
        </w:rPr>
      </w:pPr>
      <w:r>
        <w:rPr>
          <w:sz w:val="25"/>
        </w:rPr>
      </w:r>
    </w:p>
    <w:p>
      <w:pPr>
        <w:pStyle w:val="Normal"/>
        <w:rPr>
          <w:sz w:val="25"/>
        </w:rPr>
      </w:pPr>
      <w:r>
        <w:rPr>
          <w:sz w:val="25"/>
        </w:rPr>
        <w:tab/>
        <w:t>While it obviously is extremely disappointing that the FERC did not rule favorably, the FERC easily could have set the matter for an evidentiary hearing; its failure to do so, and instead  merely to seek additional data, is  favorable.</w:t>
      </w:r>
    </w:p>
    <w:p>
      <w:pPr>
        <w:pStyle w:val="Normal"/>
        <w:rPr>
          <w:sz w:val="25"/>
        </w:rPr>
      </w:pPr>
      <w:r>
        <w:rPr>
          <w:sz w:val="25"/>
        </w:rPr>
      </w:r>
    </w:p>
    <w:p>
      <w:pPr>
        <w:pStyle w:val="BodyText3"/>
        <w:rPr/>
      </w:pPr>
      <w:r>
        <w:rPr/>
        <w:tab/>
        <w:t>The FERC’s substantive concerns involve both horizontal and vertical market power issues.  The horizontal market power issues are based on the thesis that the Applicants failed to properly model the post-merger scenario, by failing to show the Alturas line as a firm transmission line, which would be the result of a Sierra Pacific victory in the Alturas case pending before the FERC.  The Applicants took the position that the rating of the Alturas line is not a merger-related event, and proposed mitigation measures that would ensure that the Alturas line is not used (pre-divestiture) to transmit power from PGE to the Sierra Pacific market on a long-term firm basis.  Under the FERC’s Merger Policy guidelines, generating capacity is deemed to be available in a destination market, with no pro rata reduction based on available transmission capacity, and without incremental cost, only if it is connected to that market via a firm transmission path.  The thrust of the Transmission Agency of Northern California’s (TANC) and the Sacramento Municipal Utility District’s (SMUD) (“the Intervenors”) argument on this issue was to assume that the Alturas line constitutes a firm transmission path that extends all the way to the PGE system, thus requiring PGE generation to be modeled as "in" the Sierra destination market.  Applicants repeatedly responded that such a firm path must also rely on facilities owned by BPA and by PacifiCorp, and included an explicit commitment not to obtain long-term firm transmission on these systems until Sierra and Nevada’s divesture is complete or until an RTO is established .  The FERC Order, without explanation, found this commitment to be inadequate.  The FERC, without explanation, found that this response was not adequate.</w:t>
      </w:r>
    </w:p>
    <w:p>
      <w:pPr>
        <w:pStyle w:val="Normal"/>
        <w:ind w:firstLine="720" w:end="0"/>
        <w:rPr>
          <w:sz w:val="25"/>
        </w:rPr>
      </w:pPr>
      <w:r>
        <w:rPr>
          <w:sz w:val="25"/>
        </w:rPr>
      </w:r>
    </w:p>
    <w:p>
      <w:pPr>
        <w:pStyle w:val="BodyText3"/>
        <w:rPr/>
      </w:pPr>
      <w:r>
        <w:rPr/>
        <w:tab/>
        <w:t>The FERC also found that the Applicants had not provided sufficient information regarding the terms and conditions of the buyback arrangements for Sierra’s and Nevada Power’s divested generation.  Sierra and Nevada included terms in the buyback contracts that would appear to moot any such concerns, in that they provide that Sierra and Nevada may only buy back power needed to serve native retail load, and may not resell any power so purchased.  In other cases the FERC has only raised concerns where the divesting utility retained a much greater degree of control over divested assets or power sale commitments, so that their focus on this issue may be part of an effort to avoid any possible second-guessing of a merger approval, rather than a belief that there actually is a substantive problem with the buyback arrangements.  Moreover, in the FERC’s recent AEP/CSW decision, the FERC accepted an analysis that a buyback provision to enable the applicants to serve native load was an appropriate basis not to find HHI violations.  In contrast to the FERC’s approach in our case, the FERC there approved the merger and required the applicants to provide additional details at a later date.</w:t>
      </w:r>
    </w:p>
    <w:p>
      <w:pPr>
        <w:pStyle w:val="Normal"/>
        <w:rPr>
          <w:sz w:val="25"/>
        </w:rPr>
      </w:pPr>
      <w:r>
        <w:rPr>
          <w:sz w:val="25"/>
        </w:rPr>
      </w:r>
    </w:p>
    <w:p>
      <w:pPr>
        <w:pStyle w:val="BodyText3"/>
        <w:rPr/>
      </w:pPr>
      <w:r>
        <w:rPr/>
        <w:tab/>
        <w:t xml:space="preserve">The most serious issue raised by the FERC is the vertical market power issue. The FERC first complains that the Applicants provided no support for their claim that PGE only controls 200 MW of its 850 MW of scheduling rights on the California Oregon Intertie (COI).  Normal FERC procedure is to take statements regarding basic facts at face value unless and until a question is raised regarding their accuracy; here none was raised prior to the order.  Again, it appears that the FERC is expressing very heightened concern about 850 megawatts of import capacity into the volatile California markets.   </w:t>
      </w:r>
    </w:p>
    <w:p>
      <w:pPr>
        <w:pStyle w:val="BodyText3"/>
        <w:rPr/>
      </w:pPr>
      <w:r>
        <w:rPr/>
      </w:r>
    </w:p>
    <w:p>
      <w:pPr>
        <w:pStyle w:val="BodyText3"/>
        <w:ind w:firstLine="720" w:end="0"/>
        <w:rPr/>
      </w:pPr>
      <w:r>
        <w:rPr/>
        <w:t xml:space="preserve">Second, the FERC complains that the Applicants have not shown how the use of the Alturas line by Sierra will not enhance the merged company’s pre-existing ability to reduce transmission capacity into California on the COI and to profit from sales by PGE into that market.  FERC is concerned that the acquisition of PGE, which, as the FERC noted, is a large seller into California, by Sierra, the utility that owns the Alturas line, could increase the capability, and perhaps more importantly from the FERC’s perspective, the </w:t>
      </w:r>
      <w:r>
        <w:rPr>
          <w:i/>
        </w:rPr>
        <w:t>appearance</w:t>
      </w:r>
      <w:r>
        <w:rPr/>
        <w:t xml:space="preserve"> of the capability, of the merged company to coordinate reductions in the capacity of the COI resulting from use of the Alturas line, with sales by PGE into a higher-priced California market.</w:t>
      </w:r>
    </w:p>
    <w:p>
      <w:pPr>
        <w:pStyle w:val="Normal"/>
        <w:rPr>
          <w:sz w:val="25"/>
        </w:rPr>
      </w:pPr>
      <w:r>
        <w:rPr>
          <w:sz w:val="25"/>
        </w:rPr>
      </w:r>
    </w:p>
    <w:p>
      <w:pPr>
        <w:pStyle w:val="BodyText3"/>
        <w:ind w:firstLine="720" w:end="0"/>
        <w:rPr/>
      </w:pPr>
      <w:r>
        <w:rPr/>
        <w:t xml:space="preserve">With regard to the mitigation commitments made by Applicants to address these market power issues, FERC, without explanation, concluded that Applicants’ mitigation measures have not been shown to be sufficient.  FERC did not comment on Applicants’ commitment to not obtain long-term firm transmission on the Alturas line prior to divestiture, nor was FERC satisfied with Applicants’ commitment to join a regional transmission organization (RTO).  Instead, FERC requires Applicants to provide detailed information regarding the status of discussions relating to the formation of an RTO in the west.  Not only is FERC’s directive in contrast to its recent order approving a merger including a similar RTO commitment by Carolina Power &amp; Light and Florida Progress, it is also curious given the fact that the Northwest RTO participants, including Sierra, just recently sent a letter to FERC on July 12 updating FERC on the status of the NW RTO developments.  Nevertheless, Applicants will comply with FERC’s directives regarding their RTO commitments.  </w:t>
      </w:r>
    </w:p>
    <w:p>
      <w:pPr>
        <w:pStyle w:val="Normal"/>
        <w:rPr>
          <w:sz w:val="25"/>
        </w:rPr>
      </w:pPr>
      <w:r>
        <w:rPr>
          <w:sz w:val="25"/>
        </w:rPr>
      </w:r>
    </w:p>
    <w:p>
      <w:pPr>
        <w:pStyle w:val="Normal"/>
        <w:rPr>
          <w:sz w:val="25"/>
        </w:rPr>
      </w:pPr>
      <w:r>
        <w:rPr>
          <w:sz w:val="25"/>
        </w:rPr>
        <w:tab/>
        <w:t>The FERC’s order places the burden on the Applicants to rebut the allegations raised by the Intervenors and by the FERC itself, on a quantitative basis, rather than relying on the mitigation measures proposed by Applicants.  The order requires the Applicants to provide:</w:t>
      </w:r>
    </w:p>
    <w:p>
      <w:pPr>
        <w:pStyle w:val="Normal"/>
        <w:rPr>
          <w:sz w:val="25"/>
        </w:rPr>
      </w:pPr>
      <w:r>
        <w:rPr>
          <w:sz w:val="25"/>
        </w:rPr>
      </w:r>
    </w:p>
    <w:p>
      <w:pPr>
        <w:pStyle w:val="BodyTextIndent2"/>
        <w:numPr>
          <w:ilvl w:val="0"/>
          <w:numId w:val="1"/>
        </w:numPr>
        <w:rPr/>
      </w:pPr>
      <w:r>
        <w:rPr/>
        <w:t xml:space="preserve">a delivered price test analysis that models the firm use of the Alturas line.  Nevertheless, this model will be run. </w:t>
      </w:r>
    </w:p>
    <w:p>
      <w:pPr>
        <w:pStyle w:val="Normal"/>
        <w:tabs>
          <w:tab w:val="left" w:pos="720" w:leader="none"/>
          <w:tab w:val="left" w:pos="1440" w:leader="none"/>
        </w:tabs>
        <w:ind w:hanging="720" w:start="1440" w:end="0"/>
        <w:rPr>
          <w:sz w:val="25"/>
        </w:rPr>
      </w:pPr>
      <w:r>
        <w:rPr>
          <w:sz w:val="25"/>
        </w:rPr>
      </w:r>
    </w:p>
    <w:p>
      <w:pPr>
        <w:pStyle w:val="Normal"/>
        <w:numPr>
          <w:ilvl w:val="0"/>
          <w:numId w:val="1"/>
        </w:numPr>
        <w:tabs>
          <w:tab w:val="left" w:pos="720" w:leader="none"/>
        </w:tabs>
        <w:rPr>
          <w:sz w:val="25"/>
        </w:rPr>
      </w:pPr>
      <w:r>
        <w:rPr>
          <w:sz w:val="25"/>
        </w:rPr>
        <w:t xml:space="preserve">an analysis of how a 300 MW reduction in import capability on the COI would affect prices in California.  Peter Fox-Penner submitted testimony that 300 megawatts in the 80,000 MW California market are unlikely to have the capability to affect prices, except during the extreme peak periods, and  stated that, as buyers tied to the California PX price, Sierra and Nevada had no incentive to cause price increases. </w:t>
      </w:r>
    </w:p>
    <w:p>
      <w:pPr>
        <w:pStyle w:val="Normal"/>
        <w:tabs>
          <w:tab w:val="left" w:pos="720" w:leader="none"/>
        </w:tabs>
        <w:rPr>
          <w:sz w:val="25"/>
        </w:rPr>
      </w:pPr>
      <w:r>
        <w:rPr>
          <w:sz w:val="25"/>
        </w:rPr>
      </w:r>
    </w:p>
    <w:p>
      <w:pPr>
        <w:pStyle w:val="Normal"/>
        <w:tabs>
          <w:tab w:val="left" w:pos="720" w:leader="none"/>
          <w:tab w:val="left" w:pos="1440" w:leader="none"/>
        </w:tabs>
        <w:ind w:hanging="720" w:start="1440" w:end="0"/>
        <w:rPr>
          <w:sz w:val="25"/>
        </w:rPr>
      </w:pPr>
      <w:r>
        <w:rPr>
          <w:sz w:val="25"/>
        </w:rPr>
        <w:t>(3)</w:t>
        <w:tab/>
        <w:t>a list of all transmission contracts held by PE on the COI, including relevant terms and conditions.  This is intended to provide support for the contention that PGE does not control the 650 MW of scheduling rights that it did not retain.</w:t>
      </w:r>
    </w:p>
    <w:p>
      <w:pPr>
        <w:pStyle w:val="Normal"/>
        <w:ind w:start="720" w:end="0"/>
        <w:rPr>
          <w:sz w:val="25"/>
        </w:rPr>
      </w:pPr>
      <w:r>
        <w:rPr>
          <w:sz w:val="25"/>
        </w:rPr>
      </w:r>
    </w:p>
    <w:p>
      <w:pPr>
        <w:pStyle w:val="Normal"/>
        <w:ind w:hanging="720" w:start="1440" w:end="0"/>
        <w:rPr>
          <w:sz w:val="25"/>
        </w:rPr>
      </w:pPr>
      <w:r>
        <w:rPr>
          <w:sz w:val="25"/>
        </w:rPr>
        <w:t>(4)</w:t>
        <w:tab/>
        <w:t>historical data of sales by PGE into California from 1997 to the present.  Except for this year’s data, FERC already possesses this information, in the Form I Annual Reports filed by PGE.  Nevertheless, Applicants will submit this data.</w:t>
      </w:r>
    </w:p>
    <w:p>
      <w:pPr>
        <w:pStyle w:val="Normal"/>
        <w:ind w:start="720" w:end="0"/>
        <w:rPr>
          <w:sz w:val="25"/>
        </w:rPr>
      </w:pPr>
      <w:r>
        <w:rPr>
          <w:sz w:val="25"/>
        </w:rPr>
      </w:r>
    </w:p>
    <w:p>
      <w:pPr>
        <w:pStyle w:val="Normal"/>
        <w:ind w:start="720" w:end="0"/>
        <w:rPr>
          <w:sz w:val="25"/>
        </w:rPr>
      </w:pPr>
      <w:r>
        <w:rPr>
          <w:sz w:val="25"/>
        </w:rPr>
        <w:t>(5)</w:t>
        <w:tab/>
        <w:t>historical data re PGE’s use of the COI.</w:t>
      </w:r>
    </w:p>
    <w:p>
      <w:pPr>
        <w:pStyle w:val="Normal"/>
        <w:ind w:start="720" w:end="0"/>
        <w:rPr>
          <w:sz w:val="25"/>
        </w:rPr>
      </w:pPr>
      <w:r>
        <w:rPr>
          <w:sz w:val="25"/>
        </w:rPr>
      </w:r>
    </w:p>
    <w:p>
      <w:pPr>
        <w:pStyle w:val="Normal"/>
        <w:ind w:hanging="720" w:start="1440" w:end="0"/>
        <w:rPr>
          <w:sz w:val="25"/>
        </w:rPr>
      </w:pPr>
      <w:r>
        <w:rPr>
          <w:sz w:val="25"/>
        </w:rPr>
        <w:t>(6)</w:t>
        <w:tab/>
        <w:t>an explanation as to how the Applicants’ mitigation commitments would reduce horizontal and vertical market power concerns.</w:t>
      </w:r>
    </w:p>
    <w:p>
      <w:pPr>
        <w:pStyle w:val="Normal"/>
        <w:ind w:start="720" w:end="0"/>
        <w:rPr>
          <w:sz w:val="25"/>
        </w:rPr>
      </w:pPr>
      <w:r>
        <w:rPr>
          <w:sz w:val="25"/>
        </w:rPr>
      </w:r>
    </w:p>
    <w:p>
      <w:pPr>
        <w:pStyle w:val="Normal"/>
        <w:ind w:hanging="720" w:start="1440" w:end="0"/>
        <w:rPr>
          <w:sz w:val="25"/>
        </w:rPr>
      </w:pPr>
      <w:r>
        <w:rPr>
          <w:sz w:val="25"/>
        </w:rPr>
        <w:t>(7)</w:t>
        <w:tab/>
        <w:t>a discussion of Applicants’ progress  in forming and participating in an RTO.</w:t>
      </w:r>
    </w:p>
    <w:p>
      <w:pPr>
        <w:pStyle w:val="Normal"/>
        <w:ind w:start="720" w:end="0"/>
        <w:rPr>
          <w:sz w:val="25"/>
        </w:rPr>
      </w:pPr>
      <w:r>
        <w:rPr>
          <w:sz w:val="25"/>
        </w:rPr>
      </w:r>
    </w:p>
    <w:p>
      <w:pPr>
        <w:pStyle w:val="Normal"/>
        <w:ind w:hanging="720" w:start="1440" w:end="0"/>
        <w:rPr>
          <w:sz w:val="25"/>
        </w:rPr>
      </w:pPr>
      <w:r>
        <w:rPr>
          <w:sz w:val="25"/>
        </w:rPr>
        <w:t>(8)</w:t>
        <w:tab/>
        <w:t>An analysis of the effect of the merger on retail competition in Nevada.  The Nevada Public Service Commission complained that it lacked power to approve the merger, and FERC’s Merger Policy provides for FERC to review the impact of a merger on retail sales in this circumstance.</w:t>
      </w:r>
    </w:p>
    <w:p>
      <w:pPr>
        <w:pStyle w:val="Normal"/>
        <w:rPr>
          <w:sz w:val="25"/>
        </w:rPr>
      </w:pPr>
      <w:r>
        <w:rPr>
          <w:sz w:val="25"/>
        </w:rPr>
      </w:r>
    </w:p>
    <w:p>
      <w:pPr>
        <w:pStyle w:val="BodyText3"/>
        <w:rPr/>
      </w:pPr>
      <w:r>
        <w:rPr/>
        <w:tab/>
        <w:t>Based on the timetable established in the FERC’s Order, Applicants’ response is due on August 25, and Intervenors’ response is due September on 25.  If no technical conference is established, a FERC order could be issued within 30 days.</w:t>
      </w:r>
    </w:p>
    <w:p>
      <w:pPr>
        <w:pStyle w:val="Normal"/>
        <w:rPr>
          <w:sz w:val="25"/>
        </w:rPr>
      </w:pPr>
      <w:r>
        <w:rPr>
          <w:sz w:val="25"/>
        </w:rPr>
      </w:r>
    </w:p>
    <w:p>
      <w:pPr>
        <w:pStyle w:val="Normal"/>
        <w:ind w:firstLine="720" w:end="0"/>
        <w:rPr/>
      </w:pPr>
      <w:r>
        <w:rPr>
          <w:sz w:val="25"/>
        </w:rPr>
        <w:t>The main task before us is to provide the response in such a clear and understandable way that the Intervenors will not be able to raise credible challenges to our submittal, and use that as a basis to further delay a decision.   Also, we must insure that Sierra is aggressive with respect to undertaking additional commitments to mitigate market power concerns that are identified in the additional studies.  Peter Fox-Penner has begun to gather the data needed for the additional studies, and we are working closely with Peter and Sierra’s counsel to prepare the response. We will advise you of further developments as they occur</w:t>
      </w:r>
      <w:r>
        <w:rPr>
          <w:sz w:val="25"/>
          <w:u w:val="single"/>
        </w:rPr>
        <w:t>.</w:t>
      </w:r>
    </w:p>
    <w:p>
      <w:pPr>
        <w:pStyle w:val="Normal"/>
        <w:rPr>
          <w:sz w:val="25"/>
          <w:u w:val="single"/>
        </w:rPr>
      </w:pPr>
      <w:r>
        <w:rPr>
          <w:sz w:val="25"/>
          <w:u w:val="single"/>
        </w:rPr>
      </w:r>
    </w:p>
    <w:sectPr>
      <w:headerReference w:type="default" r:id="rId2"/>
      <w:headerReference w:type="first" r:id="rId3"/>
      <w:footerReference w:type="default" r:id="rId4"/>
      <w:footerReference w:type="first" r:id="rId5"/>
      <w:type w:val="nextPage"/>
      <w:pgSz w:w="12240" w:h="15840"/>
      <w:pgMar w:left="1440" w:right="144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VELogo">
    <w:charset w:val="00" w:characterSet="windows-1252"/>
    <w:family w:val="swiss"/>
    <w:pitch w:val="variable"/>
  </w:font>
  <w:font w:name="Humanst521 Lt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6"/>
      </w:rPr>
    </w:pPr>
    <w:r>
      <w:rPr>
        <w:sz w:val="16"/>
      </w:rPr>
      <w:t>DC:96207 v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Humanst521 Lt BT" w:hAnsi="Humanst521 Lt BT" w:cs="Humanst521 Lt BT"/>
        <w:sz w:val="12"/>
      </w:rPr>
    </w:pPr>
    <w:r>
      <w:rPr>
        <w:rFonts w:cs="Humanst521 Lt BT" w:ascii="Humanst521 Lt BT" w:hAnsi="Humanst521 Lt BT"/>
        <w:sz w:val="12"/>
      </w:rPr>
    </w:r>
  </w:p>
  <w:p>
    <w:pPr>
      <w:pStyle w:val="Footer"/>
      <w:jc w:val="center"/>
      <w:rPr>
        <w:rFonts w:ascii="Humanst521 Lt BT" w:hAnsi="Humanst521 Lt BT" w:cs="Humanst521 Lt BT"/>
        <w:sz w:val="12"/>
      </w:rPr>
    </w:pPr>
    <w:r>
      <w:rPr>
        <w:rFonts w:cs="Humanst521 Lt BT" w:ascii="Humanst521 Lt BT" w:hAnsi="Humanst521 Lt BT"/>
        <w:sz w:val="12"/>
      </w:rPr>
    </w:r>
  </w:p>
  <w:p>
    <w:pPr>
      <w:pStyle w:val="Footer"/>
      <w:jc w:val="center"/>
      <w:rPr>
        <w:rFonts w:ascii="Humanst521 Lt BT" w:hAnsi="Humanst521 Lt BT" w:cs="Humanst521 Lt BT"/>
        <w:sz w:val="12"/>
      </w:rPr>
    </w:pPr>
    <w:r>
      <w:rPr>
        <w:rFonts w:cs="Humanst521 Lt BT" w:ascii="Humanst521 Lt BT" w:hAnsi="Humanst521 Lt BT"/>
        <w:sz w:val="12"/>
      </w:rPr>
    </w:r>
  </w:p>
  <w:p>
    <w:pPr>
      <w:pStyle w:val="Footer"/>
      <w:jc w:val="center"/>
      <w:rPr>
        <w:rFonts w:ascii="Humanst521 Lt BT" w:hAnsi="Humanst521 Lt BT" w:cs="Humanst521 Lt BT"/>
        <w:sz w:val="12"/>
      </w:rPr>
    </w:pPr>
    <w:r>
      <w:rPr>
        <w:rFonts w:cs="Humanst521 Lt BT" w:ascii="Humanst521 Lt BT" w:hAnsi="Humanst521 Lt BT"/>
        <w:sz w:val="12"/>
      </w:rPr>
    </w:r>
  </w:p>
  <w:p>
    <w:pPr>
      <w:pStyle w:val="Footer"/>
      <w:tabs>
        <w:tab w:val="left" w:pos="720" w:leader="none"/>
        <w:tab w:val="center" w:pos="4320" w:leader="none"/>
        <w:tab w:val="right" w:pos="8640" w:leader="none"/>
      </w:tabs>
      <w:jc w:val="start"/>
      <w:rPr>
        <w:rFonts w:ascii="Humanst521 Lt BT" w:hAnsi="Humanst521 Lt BT" w:cs="Humanst521 Lt BT"/>
        <w:sz w:val="12"/>
      </w:rPr>
    </w:pPr>
    <w:r>
      <w:rPr>
        <w:rFonts w:cs="Humanst521 Lt BT" w:ascii="Humanst521 Lt BT" w:hAnsi="Humanst521 Lt BT"/>
        <w:sz w:val="12"/>
      </w:rPr>
      <w:tab/>
    </w:r>
    <w:bookmarkStart w:id="17" w:name="CityOrd"/>
    <w:bookmarkEnd w:id="17"/>
    <w:r>
      <w:rPr>
        <w:rFonts w:cs="Humanst521 Lt BT" w:ascii="Humanst521 Lt BT" w:hAnsi="Humanst521 Lt BT"/>
        <w:sz w:val="12"/>
      </w:rPr>
      <w:t>WASHINGTON, D.C.       AUSTIN         BEIJING         DALLAS         HOUSTON          LONDON          MOSCOW         NEW  YORK         SINGAPORE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15" w:name="HeaderAAddressee"/>
    <w:bookmarkEnd w:id="15"/>
    <w:r>
      <w:rPr/>
      <w:t>Enron Granite Team</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pPr>
    <w:bookmarkStart w:id="16" w:name="HeaderADate"/>
    <w:bookmarkEnd w:id="16"/>
    <w:r>
      <w:rPr>
        <w:rStyle w:val="PageNumber"/>
      </w:rPr>
      <w:t>July 27, 2000</w:t>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 w:val="24"/>
    </w:rPr>
  </w:style>
  <w:style w:type="paragraph" w:styleId="Footer">
    <w:name w:val="footer"/>
    <w:basedOn w:val="Normal"/>
    <w:pPr>
      <w:tabs>
        <w:tab w:val="clear" w:pos="720"/>
        <w:tab w:val="center" w:pos="4320" w:leader="none"/>
        <w:tab w:val="right" w:pos="8640" w:leader="none"/>
      </w:tabs>
      <w:jc w:val="both"/>
    </w:pPr>
    <w:rPr>
      <w:sz w:val="24"/>
    </w:rPr>
  </w:style>
  <w:style w:type="paragraph" w:styleId="DocumentLabel">
    <w:name w:val="Document Label"/>
    <w:basedOn w:val="Normal"/>
    <w:next w:val="BodyText"/>
    <w:qFormat/>
    <w:pPr>
      <w:keepNext w:val="true"/>
      <w:keepLines/>
      <w:spacing w:before="120" w:after="240"/>
    </w:pPr>
    <w:rPr>
      <w:b/>
      <w:caps/>
      <w:spacing w:val="180"/>
      <w:kern w:val="2"/>
      <w:sz w:val="32"/>
    </w:rPr>
  </w:style>
  <w:style w:type="paragraph" w:styleId="BodyTextIndent">
    <w:name w:val="Body Text Indent"/>
    <w:basedOn w:val="Normal"/>
    <w:pPr>
      <w:ind w:firstLine="720" w:start="0" w:end="0"/>
      <w:jc w:val="both"/>
    </w:pPr>
    <w:rPr>
      <w:strike/>
      <w:sz w:val="25"/>
    </w:rPr>
  </w:style>
  <w:style w:type="paragraph" w:styleId="BodyText2">
    <w:name w:val="Body Text 2"/>
    <w:basedOn w:val="Normal"/>
    <w:qFormat/>
    <w:pPr>
      <w:jc w:val="both"/>
    </w:pPr>
    <w:rPr>
      <w:strike/>
      <w:sz w:val="25"/>
    </w:rPr>
  </w:style>
  <w:style w:type="paragraph" w:styleId="BodyText3">
    <w:name w:val="Body Text 3"/>
    <w:basedOn w:val="Normal"/>
    <w:qFormat/>
    <w:pPr/>
    <w:rPr>
      <w:sz w:val="25"/>
    </w:rPr>
  </w:style>
  <w:style w:type="paragraph" w:styleId="BodyTextIndent2">
    <w:name w:val="Body Text Indent 2"/>
    <w:basedOn w:val="Normal"/>
    <w:qFormat/>
    <w:pPr>
      <w:tabs>
        <w:tab w:val="left" w:pos="720" w:leader="none"/>
        <w:tab w:val="left" w:pos="1440" w:leader="none"/>
      </w:tabs>
      <w:ind w:hanging="720" w:start="1440" w:end="0"/>
    </w:pPr>
    <w:rPr>
      <w:sz w:val="25"/>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2000-07-28T15:47:00Z</dcterms:created>
  <dc:creator>snovose</dc:creator>
  <dc:description/>
  <dc:language>en-CA</dc:language>
  <cp:lastModifiedBy>Vinson &amp; Elkins L.L.P.</cp:lastModifiedBy>
  <cp:lastPrinted>2000-07-28T13:48:00Z</cp:lastPrinted>
  <dcterms:modified xsi:type="dcterms:W3CDTF">2000-07-28T15:47:00Z</dcterms:modified>
  <cp:revision>2</cp:revision>
  <dc:subject/>
  <dc:title>&amp;</dc:title>
</cp:coreProperties>
</file>