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4"/>
        </w:rPr>
      </w:pPr>
      <w:r>
        <w:rPr>
          <w:b/>
          <w:sz w:val="24"/>
        </w:rPr>
        <w:t>European Economic and Monetary Union</w:t>
      </w:r>
    </w:p>
    <w:p>
      <w:pPr>
        <w:pStyle w:val="Normal"/>
        <w:jc w:val="center"/>
        <w:rPr>
          <w:b/>
          <w:sz w:val="24"/>
        </w:rPr>
      </w:pPr>
      <w:r>
        <w:rPr>
          <w:b/>
          <w:sz w:val="24"/>
        </w:rPr>
      </w:r>
    </w:p>
    <w:p>
      <w:pPr>
        <w:pStyle w:val="Normal"/>
        <w:numPr>
          <w:ilvl w:val="0"/>
          <w:numId w:val="0"/>
        </w:numPr>
        <w:jc w:val="center"/>
        <w:outlineLvl w:val="0"/>
        <w:rPr>
          <w:b/>
          <w:sz w:val="24"/>
        </w:rPr>
      </w:pPr>
      <w:r>
        <w:rPr>
          <w:b/>
          <w:sz w:val="24"/>
        </w:rPr>
        <w:t>Valuation and Settlement of Legacy Transactions</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Market Survey and Conclusions</w:t>
      </w:r>
    </w:p>
    <w:p>
      <w:pPr>
        <w:pStyle w:val="Normal"/>
        <w:numPr>
          <w:ilvl w:val="0"/>
          <w:numId w:val="0"/>
        </w:numPr>
        <w:jc w:val="center"/>
        <w:outlineLvl w:val="0"/>
        <w:rPr>
          <w:b/>
          <w:sz w:val="24"/>
        </w:rPr>
      </w:pPr>
      <w:r>
        <w:rPr>
          <w:b/>
          <w:sz w:val="24"/>
        </w:rPr>
      </w:r>
    </w:p>
    <w:p>
      <w:pPr>
        <w:pStyle w:val="Normal"/>
        <w:numPr>
          <w:ilvl w:val="0"/>
          <w:numId w:val="0"/>
        </w:numPr>
        <w:outlineLvl w:val="0"/>
        <w:rPr>
          <w:b/>
          <w:sz w:val="24"/>
        </w:rPr>
      </w:pPr>
      <w:r>
        <w:rPr>
          <w:b/>
          <w:sz w:val="24"/>
        </w:rPr>
      </w:r>
    </w:p>
    <w:p>
      <w:pPr>
        <w:pStyle w:val="Normal"/>
        <w:jc w:val="both"/>
        <w:rPr>
          <w:b/>
          <w:i/>
          <w:i/>
          <w:sz w:val="24"/>
        </w:rPr>
      </w:pPr>
      <w:r>
        <w:rPr>
          <w:b/>
          <w:i/>
          <w:sz w:val="24"/>
        </w:rPr>
        <w:t>Introduction</w:t>
      </w:r>
    </w:p>
    <w:p>
      <w:pPr>
        <w:pStyle w:val="Normal"/>
        <w:jc w:val="both"/>
        <w:rPr>
          <w:b/>
          <w:i/>
          <w:i/>
          <w:sz w:val="24"/>
        </w:rPr>
      </w:pPr>
      <w:r>
        <w:rPr>
          <w:b/>
          <w:i/>
          <w:sz w:val="24"/>
        </w:rPr>
      </w:r>
    </w:p>
    <w:p>
      <w:pPr>
        <w:pStyle w:val="Normal"/>
        <w:jc w:val="both"/>
        <w:rPr/>
      </w:pPr>
      <w:r>
        <w:rPr>
          <w:sz w:val="24"/>
        </w:rPr>
        <w:t>In preparation for the introduction of the euro on 1st January, 1999, the consensus among financial market participants was that transactions entered into before that date which involved a currency of a state that adopted the euro ("</w:t>
      </w:r>
      <w:r>
        <w:rPr>
          <w:b/>
          <w:sz w:val="24"/>
        </w:rPr>
        <w:t>Legacy Transactions</w:t>
      </w:r>
      <w:r>
        <w:rPr>
          <w:sz w:val="24"/>
        </w:rPr>
        <w:t>") should continue to be subject to those market conventions agreed on at the outset of the trade ("</w:t>
      </w:r>
      <w:r>
        <w:rPr>
          <w:b/>
          <w:sz w:val="24"/>
        </w:rPr>
        <w:t>settle as dealt</w:t>
      </w:r>
      <w:r>
        <w:rPr>
          <w:sz w:val="24"/>
        </w:rPr>
        <w:t>").  This approach was reflected in ISDA's EMU Protocol and EMU Protocol (Greece), each of which had the effect of amending ISDA Master Agreements (and transactions entered into thereunder) to confirm that the settle as dealt philosophy would apply.</w:t>
      </w:r>
    </w:p>
    <w:p>
      <w:pPr>
        <w:pStyle w:val="Normal"/>
        <w:jc w:val="both"/>
        <w:rPr>
          <w:sz w:val="24"/>
        </w:rPr>
      </w:pPr>
      <w:r>
        <w:rPr>
          <w:sz w:val="24"/>
        </w:rPr>
      </w:r>
    </w:p>
    <w:p>
      <w:pPr>
        <w:pStyle w:val="Normal"/>
        <w:jc w:val="both"/>
        <w:rPr>
          <w:b/>
          <w:i/>
          <w:i/>
          <w:sz w:val="24"/>
        </w:rPr>
      </w:pPr>
      <w:r>
        <w:rPr>
          <w:b/>
          <w:i/>
          <w:sz w:val="24"/>
        </w:rPr>
        <w:t>The Issues</w:t>
      </w:r>
    </w:p>
    <w:p>
      <w:pPr>
        <w:pStyle w:val="Normal"/>
        <w:jc w:val="both"/>
        <w:rPr>
          <w:b/>
          <w:i/>
          <w:i/>
          <w:sz w:val="24"/>
        </w:rPr>
      </w:pPr>
      <w:r>
        <w:rPr>
          <w:b/>
          <w:i/>
          <w:sz w:val="24"/>
        </w:rPr>
      </w:r>
    </w:p>
    <w:p>
      <w:pPr>
        <w:pStyle w:val="Normal"/>
        <w:jc w:val="both"/>
        <w:rPr>
          <w:sz w:val="24"/>
        </w:rPr>
      </w:pPr>
      <w:r>
        <w:rPr>
          <w:sz w:val="24"/>
        </w:rPr>
        <w:t xml:space="preserve">Since the introduction of the euro, the European Central Bank has increased the number of weekdays in each year on which the TARGET system will be closed.  In 1999, only 1st January and 25th December were TARGET holidays.  In 2000, TARGET was also closed on Good Friday, Easter Monday, Labour Day (1st May) and 26th December, and the ECB has announced that this will reflect the TARGET calendar for 2002 onwards as well (see attached press release).  In 2001, the ECB will close TARGET additionally on 31st December.  </w:t>
      </w:r>
    </w:p>
    <w:p>
      <w:pPr>
        <w:pStyle w:val="Normal"/>
        <w:jc w:val="both"/>
        <w:rPr>
          <w:sz w:val="24"/>
        </w:rPr>
      </w:pPr>
      <w:r>
        <w:rPr>
          <w:sz w:val="24"/>
        </w:rPr>
      </w:r>
    </w:p>
    <w:p>
      <w:pPr>
        <w:pStyle w:val="Normal"/>
        <w:jc w:val="both"/>
        <w:rPr>
          <w:sz w:val="24"/>
        </w:rPr>
      </w:pPr>
      <w:r>
        <w:rPr>
          <w:sz w:val="24"/>
        </w:rPr>
        <w:t>The effect is that there are now more days (although still only a limited number) that may be good banking or business days in the financial centre for a legacy currency, but that are days on which TARGET is closed.  This creates some difficulty in applying the settle as dealt approach to the valuation and settlement of certain Legacy Transactions.  These difficulties were encountered during the Easter period of 2000.  Examples of how they arose are considered below.</w:t>
      </w:r>
    </w:p>
    <w:p>
      <w:pPr>
        <w:pStyle w:val="Normal"/>
        <w:jc w:val="both"/>
        <w:rPr>
          <w:sz w:val="24"/>
        </w:rPr>
      </w:pPr>
      <w:r>
        <w:rPr>
          <w:sz w:val="24"/>
        </w:rPr>
      </w:r>
    </w:p>
    <w:p>
      <w:pPr>
        <w:pStyle w:val="Normal"/>
        <w:ind w:hanging="720" w:start="720" w:end="0"/>
        <w:jc w:val="both"/>
        <w:rPr/>
      </w:pPr>
      <w:r>
        <w:rPr>
          <w:sz w:val="24"/>
        </w:rPr>
        <w:t>(a)</w:t>
        <w:tab/>
      </w:r>
      <w:r>
        <w:rPr>
          <w:b/>
          <w:i/>
          <w:sz w:val="24"/>
        </w:rPr>
        <w:t>Valuation.</w:t>
      </w:r>
      <w:r>
        <w:rPr>
          <w:i/>
          <w:sz w:val="24"/>
        </w:rPr>
        <w:t xml:space="preserve"> </w:t>
      </w:r>
      <w:r>
        <w:rPr>
          <w:sz w:val="24"/>
        </w:rPr>
        <w:t xml:space="preserve"> In line with the settle as dealt philosophy, the rate for a Legacy Transaction where the original floating rate option was PIBOR and a reset date fell on the Tuesday after Easter should have been determined on Good Friday.  This is because the appropriate Fixing Period was one Paris banking day.  Since Easter Monday was a holiday in France, the day that was one Paris banking day preceding the reset date would have been Good Friday.  Good Friday was a TARGET holiday, but not a French holiday. However, PIBOR has been succeeded by EURIBOR.  EURIBOR is available on days on which TARGET is open.  Applying the settle as dealt approach would have required the Calculation Agent to use Good Friday's EURIBOR rate, but EURIBOR was not available for that day and, in theory at least, the Calculation Agent would have been required to determine the rate by some other means, probably by turning to reference banks.</w:t>
      </w:r>
    </w:p>
    <w:p>
      <w:pPr>
        <w:pStyle w:val="Normal"/>
        <w:ind w:start="720" w:end="0"/>
        <w:jc w:val="both"/>
        <w:rPr>
          <w:sz w:val="24"/>
        </w:rPr>
      </w:pPr>
      <w:r>
        <w:rPr>
          <w:sz w:val="24"/>
        </w:rPr>
      </w:r>
    </w:p>
    <w:p>
      <w:pPr>
        <w:pStyle w:val="Normal"/>
        <w:ind w:hanging="720" w:start="720" w:end="0"/>
        <w:jc w:val="both"/>
        <w:rPr/>
      </w:pPr>
      <w:r>
        <w:rPr>
          <w:sz w:val="24"/>
        </w:rPr>
        <w:t>(b)</w:t>
        <w:tab/>
      </w:r>
      <w:r>
        <w:rPr>
          <w:b/>
          <w:i/>
          <w:sz w:val="24"/>
        </w:rPr>
        <w:t>Settlement.</w:t>
      </w:r>
      <w:r>
        <w:rPr>
          <w:sz w:val="24"/>
        </w:rPr>
        <w:t xml:space="preserve">  Again, using the example of a Legacy Transaction involving French Francs, assume that a French Franc payment fell to be made on Good Friday.  Applying the settle as dealt approach, since Good Friday was a business day in Paris (commercial banks and foreign exchange markets were open to settle payments and for general business) the payment would technically have to have been made on that day.  However, because French Franc payments are now effected by way of the euro payment system and because TARGET was closed, cross border payments could not be made on Good Friday.  This meant that unless the relevant payment was being made between accounts held in France through the French payment system (which was open), that payment could not be made.</w:t>
      </w:r>
    </w:p>
    <w:p>
      <w:pPr>
        <w:pStyle w:val="Normal"/>
        <w:jc w:val="both"/>
        <w:rPr>
          <w:sz w:val="24"/>
        </w:rPr>
      </w:pPr>
      <w:r>
        <w:rPr>
          <w:sz w:val="24"/>
        </w:rPr>
      </w:r>
    </w:p>
    <w:p>
      <w:pPr>
        <w:pStyle w:val="Normal"/>
        <w:jc w:val="both"/>
        <w:rPr>
          <w:b/>
          <w:i/>
          <w:i/>
          <w:sz w:val="24"/>
        </w:rPr>
      </w:pPr>
      <w:r>
        <w:rPr>
          <w:b/>
          <w:i/>
          <w:sz w:val="24"/>
        </w:rPr>
        <w:t>ISDA’s Survey and Conclusions</w:t>
      </w:r>
    </w:p>
    <w:p>
      <w:pPr>
        <w:pStyle w:val="Normal"/>
        <w:jc w:val="both"/>
        <w:rPr>
          <w:b/>
          <w:i/>
          <w:i/>
          <w:sz w:val="24"/>
        </w:rPr>
      </w:pPr>
      <w:r>
        <w:rPr>
          <w:b/>
          <w:i/>
          <w:sz w:val="24"/>
        </w:rPr>
      </w:r>
    </w:p>
    <w:p>
      <w:pPr>
        <w:pStyle w:val="Normal"/>
        <w:jc w:val="both"/>
        <w:rPr>
          <w:sz w:val="24"/>
        </w:rPr>
      </w:pPr>
      <w:r>
        <w:rPr>
          <w:sz w:val="24"/>
        </w:rPr>
        <w:t>In light of these difficulties, in July 2000 ISDA conducted a survey among its members that was intended to ascertain how market participants prefer to address the issues.  Although the results of the survey were not unanimous, a clear majority of respondents to the survey expressed the preferences set out below.</w:t>
      </w:r>
    </w:p>
    <w:p>
      <w:pPr>
        <w:pStyle w:val="Normal"/>
        <w:jc w:val="both"/>
        <w:rPr>
          <w:sz w:val="24"/>
        </w:rPr>
      </w:pPr>
      <w:r>
        <w:rPr>
          <w:sz w:val="24"/>
        </w:rPr>
      </w:r>
    </w:p>
    <w:p>
      <w:pPr>
        <w:pStyle w:val="Normal"/>
        <w:ind w:hanging="720" w:start="720" w:end="0"/>
        <w:jc w:val="both"/>
        <w:rPr/>
      </w:pPr>
      <w:r>
        <w:rPr>
          <w:sz w:val="24"/>
        </w:rPr>
        <w:t>(a)</w:t>
        <w:tab/>
      </w:r>
      <w:r>
        <w:rPr>
          <w:b/>
          <w:i/>
          <w:sz w:val="24"/>
        </w:rPr>
        <w:t>Valuation.</w:t>
      </w:r>
      <w:r>
        <w:rPr>
          <w:i/>
          <w:sz w:val="24"/>
        </w:rPr>
        <w:t xml:space="preserve">  </w:t>
      </w:r>
      <w:r>
        <w:rPr>
          <w:sz w:val="24"/>
        </w:rPr>
        <w:t xml:space="preserve">To remedy the difficulty where </w:t>
      </w:r>
      <w:r>
        <w:rPr>
          <w:i/>
          <w:sz w:val="24"/>
        </w:rPr>
        <w:t>valuation</w:t>
      </w:r>
      <w:r>
        <w:rPr>
          <w:sz w:val="24"/>
        </w:rPr>
        <w:t xml:space="preserve"> falls to be carried out on days that may be good business days in the legacy currency center, but are days on which TARGET is closed, the preference expressed was to use the EURIBOR rate for the immediately preceding day that is a good TARGET settlement day (in the case described above, the Thursday before Good Friday).</w:t>
      </w:r>
    </w:p>
    <w:p>
      <w:pPr>
        <w:pStyle w:val="Normal"/>
        <w:ind w:start="720" w:end="0"/>
        <w:jc w:val="both"/>
        <w:rPr>
          <w:sz w:val="24"/>
        </w:rPr>
      </w:pPr>
      <w:r>
        <w:rPr>
          <w:sz w:val="24"/>
        </w:rPr>
      </w:r>
    </w:p>
    <w:p>
      <w:pPr>
        <w:pStyle w:val="Normal"/>
        <w:ind w:hanging="720" w:start="720" w:end="0"/>
        <w:jc w:val="both"/>
        <w:rPr/>
      </w:pPr>
      <w:r>
        <w:rPr>
          <w:sz w:val="24"/>
        </w:rPr>
        <w:t>(b)</w:t>
        <w:tab/>
      </w:r>
      <w:r>
        <w:rPr>
          <w:b/>
          <w:i/>
          <w:sz w:val="24"/>
        </w:rPr>
        <w:t xml:space="preserve">Settlement.  </w:t>
      </w:r>
      <w:r>
        <w:rPr>
          <w:sz w:val="24"/>
        </w:rPr>
        <w:t xml:space="preserve">To remedy the difficulty where </w:t>
      </w:r>
      <w:r>
        <w:rPr>
          <w:i/>
          <w:sz w:val="24"/>
        </w:rPr>
        <w:t xml:space="preserve">settlement </w:t>
      </w:r>
      <w:r>
        <w:rPr>
          <w:sz w:val="24"/>
        </w:rPr>
        <w:t xml:space="preserve">falls to be carried out on days that may be good business days in the legacy currency center, but are days on which TARGET is closed, the preference expressed was to postpone payment until the next day that is both a national business day in the relevant place (in the example described above, a Paris business day) and a TARGET settlement day, and, for those transactions (the majority) where calculation periods or interest accrual periods run from payment date to payment date, to extend the relevant calculation period to the extent of that postponement.  </w:t>
      </w:r>
    </w:p>
    <w:p>
      <w:pPr>
        <w:pStyle w:val="Normal"/>
        <w:jc w:val="both"/>
        <w:rPr>
          <w:sz w:val="24"/>
        </w:rPr>
      </w:pPr>
      <w:r>
        <w:rPr>
          <w:sz w:val="24"/>
        </w:rPr>
      </w:r>
    </w:p>
    <w:p>
      <w:pPr>
        <w:pStyle w:val="Normal"/>
        <w:jc w:val="both"/>
        <w:rPr/>
      </w:pPr>
      <w:r>
        <w:rPr>
          <w:sz w:val="24"/>
        </w:rPr>
        <w:t>These preferences are consistent with the principles outlined by the Conseil des Marchés Financiers for the French financial markets in a communiqué dated 7</w:t>
      </w:r>
      <w:r>
        <w:rPr>
          <w:sz w:val="24"/>
          <w:vertAlign w:val="superscript"/>
        </w:rPr>
        <w:t>th</w:t>
      </w:r>
      <w:r>
        <w:rPr>
          <w:sz w:val="24"/>
        </w:rPr>
        <w:t xml:space="preserve"> February, 2001.  </w:t>
      </w:r>
    </w:p>
    <w:p>
      <w:pPr>
        <w:pStyle w:val="Normal"/>
        <w:jc w:val="both"/>
        <w:rPr>
          <w:sz w:val="24"/>
        </w:rPr>
      </w:pPr>
      <w:r>
        <w:rPr>
          <w:sz w:val="24"/>
        </w:rPr>
      </w:r>
    </w:p>
    <w:p>
      <w:pPr>
        <w:pStyle w:val="Normal"/>
        <w:jc w:val="both"/>
        <w:rPr>
          <w:sz w:val="24"/>
        </w:rPr>
      </w:pPr>
      <w:r>
        <w:rPr>
          <w:sz w:val="24"/>
        </w:rPr>
        <w:t xml:space="preserve">Whatever approach they ultimately choose to adopt, parties are encouraged to agree a solution bilaterally with their counterparties in advance.  To assist those market participants who might wish to document their agreement to adopt the approach described above for Legacy Transactions, ISDA has prepared a sample clause which is attached as Annex 1.  </w:t>
      </w:r>
    </w:p>
    <w:p>
      <w:pPr>
        <w:pStyle w:val="Normal"/>
        <w:jc w:val="both"/>
        <w:rPr>
          <w:sz w:val="24"/>
        </w:rPr>
      </w:pPr>
      <w:r>
        <w:rPr>
          <w:sz w:val="24"/>
        </w:rPr>
      </w:r>
    </w:p>
    <w:p>
      <w:pPr>
        <w:pStyle w:val="Normal"/>
        <w:jc w:val="both"/>
        <w:rPr/>
      </w:pPr>
      <w:r>
        <w:rPr>
          <w:sz w:val="24"/>
        </w:rPr>
        <w:t xml:space="preserve">ISDA has provided the results of this survey and the sample clause contained in Annex 1 to assist the smooth and efficient functioning of privately negotiated derivatives activity.  </w:t>
      </w:r>
      <w:r>
        <w:rPr>
          <w:i/>
          <w:sz w:val="24"/>
        </w:rPr>
        <w:t>Please bear in mind, however, that the precise documentation of each individual transaction remains the responsibility of the parties concerned.  ISDA does not assume any responsibility for any use to which the results of this survey or the sample clause may be put, including, without limitation, any use in connection with any privately negotiated derivative transaction.</w:t>
      </w:r>
    </w:p>
    <w:p>
      <w:pPr>
        <w:pStyle w:val="Normal"/>
        <w:jc w:val="both"/>
        <w:rPr>
          <w:i/>
          <w:i/>
          <w:sz w:val="24"/>
        </w:rPr>
      </w:pPr>
      <w:r>
        <w:rPr>
          <w:i/>
          <w:sz w:val="24"/>
        </w:rPr>
      </w:r>
    </w:p>
    <w:p>
      <w:pPr>
        <w:pStyle w:val="Normal"/>
        <w:jc w:val="both"/>
        <w:rPr>
          <w:sz w:val="24"/>
        </w:rPr>
      </w:pPr>
      <w:r>
        <w:rPr>
          <w:sz w:val="24"/>
        </w:rPr>
      </w:r>
    </w:p>
    <w:sectPr>
      <w:headerReference w:type="default" r:id="rId2"/>
      <w:headerReference w:type="first" r:id="rId3"/>
      <w:footerReference w:type="default" r:id="rId4"/>
      <w:footerReference w:type="first" r:id="rId5"/>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23.03.01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caps/>
        <w:sz w:val="22"/>
        <w:i w:val="false"/>
        <w:b/>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rFonts w:ascii="Times New Roman" w:hAnsi="Times New Roman" w:cs="Times New Roman"/>
      </w:rPr>
    </w:lvl>
    <w:lvl w:ilvl="2">
      <w:start w:val="1"/>
      <w:pStyle w:val="Heading3"/>
      <w:numFmt w:val="upperLetter"/>
      <w:lvlText w:val="%3."/>
      <w:lvlJc w:val="start"/>
      <w:pPr>
        <w:tabs>
          <w:tab w:val="num" w:pos="720"/>
        </w:tabs>
        <w:ind w:start="720" w:hanging="720"/>
      </w:pPr>
      <w:rPr>
        <w:sz w:val="22"/>
        <w:i w:val="false"/>
        <w:b/>
        <w:rFonts w:ascii="Times New Roman" w:hAnsi="Times New Roman" w:cs="Times New Roman"/>
      </w:rPr>
    </w:lvl>
    <w:lvl w:ilvl="3">
      <w:start w:val="1"/>
      <w:pStyle w:val="Heading4"/>
      <w:numFmt w:val="lowerLetter"/>
      <w:lvlText w:val="(%4)"/>
      <w:lvlJc w:val="start"/>
      <w:pPr>
        <w:tabs>
          <w:tab w:val="num" w:pos="720"/>
        </w:tabs>
        <w:ind w:start="72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Ref" w:val="ICM:47646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jc w:val="both"/>
      <w:outlineLvl w:val="0"/>
    </w:pPr>
    <w:rPr>
      <w:b/>
      <w:caps/>
      <w:kern w:val="2"/>
      <w:sz w:val="22"/>
      <w:lang w:val="en-GB"/>
    </w:rPr>
  </w:style>
  <w:style w:type="paragraph" w:styleId="Heading2">
    <w:name w:val="heading 2"/>
    <w:basedOn w:val="Normal"/>
    <w:next w:val="Normal"/>
    <w:qFormat/>
    <w:pPr>
      <w:keepNext w:val="true"/>
      <w:numPr>
        <w:ilvl w:val="1"/>
        <w:numId w:val="1"/>
      </w:numPr>
      <w:spacing w:before="0" w:after="240"/>
      <w:jc w:val="both"/>
      <w:outlineLvl w:val="1"/>
    </w:pPr>
    <w:rPr>
      <w:b/>
      <w:sz w:val="22"/>
      <w:lang w:val="en-GB"/>
    </w:rPr>
  </w:style>
  <w:style w:type="paragraph" w:styleId="Heading3">
    <w:name w:val="heading 3"/>
    <w:basedOn w:val="Normal"/>
    <w:next w:val="Normal"/>
    <w:qFormat/>
    <w:pPr>
      <w:numPr>
        <w:ilvl w:val="2"/>
        <w:numId w:val="1"/>
      </w:numPr>
      <w:spacing w:before="0" w:after="240"/>
      <w:jc w:val="both"/>
      <w:outlineLvl w:val="2"/>
    </w:pPr>
    <w:rPr>
      <w:sz w:val="22"/>
      <w:lang w:val="en-GB"/>
    </w:rPr>
  </w:style>
  <w:style w:type="paragraph" w:styleId="Heading4">
    <w:name w:val="heading 4"/>
    <w:basedOn w:val="Normal"/>
    <w:next w:val="Normal"/>
    <w:qFormat/>
    <w:pPr>
      <w:numPr>
        <w:ilvl w:val="3"/>
        <w:numId w:val="1"/>
      </w:numPr>
      <w:spacing w:before="0" w:after="240"/>
      <w:jc w:val="both"/>
      <w:outlineLvl w:val="3"/>
    </w:pPr>
    <w:rPr>
      <w:sz w:val="22"/>
      <w:lang w:val="en-GB"/>
    </w:rPr>
  </w:style>
  <w:style w:type="paragraph" w:styleId="Heading5">
    <w:name w:val="heading 5"/>
    <w:basedOn w:val="Normal"/>
    <w:next w:val="Normal"/>
    <w:qFormat/>
    <w:pPr>
      <w:numPr>
        <w:ilvl w:val="4"/>
        <w:numId w:val="1"/>
      </w:numPr>
      <w:spacing w:before="0" w:after="240"/>
      <w:jc w:val="both"/>
      <w:outlineLvl w:val="4"/>
    </w:pPr>
    <w:rPr>
      <w:sz w:val="22"/>
      <w:lang w:val="en-GB"/>
    </w:rPr>
  </w:style>
  <w:style w:type="paragraph" w:styleId="Heading6">
    <w:name w:val="heading 6"/>
    <w:basedOn w:val="Normal"/>
    <w:next w:val="Normal"/>
    <w:qFormat/>
    <w:pPr>
      <w:numPr>
        <w:ilvl w:val="5"/>
        <w:numId w:val="1"/>
      </w:numPr>
      <w:spacing w:before="0" w:after="240"/>
      <w:jc w:val="both"/>
      <w:outlineLvl w:val="5"/>
    </w:pPr>
    <w:rPr>
      <w:sz w:val="22"/>
      <w:lang w:val="en-GB"/>
    </w:rPr>
  </w:style>
  <w:style w:type="paragraph" w:styleId="Heading7">
    <w:name w:val="heading 7"/>
    <w:basedOn w:val="Normal"/>
    <w:next w:val="Normal"/>
    <w:qFormat/>
    <w:pPr>
      <w:numPr>
        <w:ilvl w:val="6"/>
        <w:numId w:val="1"/>
      </w:numPr>
      <w:spacing w:before="0" w:after="240"/>
      <w:jc w:val="both"/>
      <w:outlineLvl w:val="6"/>
    </w:pPr>
    <w:rPr>
      <w:sz w:val="22"/>
      <w:lang w:val="en-GB"/>
    </w:rPr>
  </w:style>
  <w:style w:type="paragraph" w:styleId="Heading8">
    <w:name w:val="heading 8"/>
    <w:basedOn w:val="Normal"/>
    <w:next w:val="Normal"/>
    <w:qFormat/>
    <w:pPr>
      <w:numPr>
        <w:ilvl w:val="7"/>
        <w:numId w:val="1"/>
      </w:numPr>
      <w:spacing w:before="0" w:after="240"/>
      <w:jc w:val="both"/>
      <w:outlineLvl w:val="7"/>
    </w:pPr>
    <w:rPr>
      <w:sz w:val="22"/>
      <w:lang w:val="en-GB"/>
    </w:rPr>
  </w:style>
  <w:style w:type="paragraph" w:styleId="Heading9">
    <w:name w:val="heading 9"/>
    <w:basedOn w:val="Normal"/>
    <w:next w:val="Normal"/>
    <w:qFormat/>
    <w:pPr>
      <w:numPr>
        <w:ilvl w:val="8"/>
        <w:numId w:val="1"/>
      </w:numPr>
      <w:spacing w:before="0" w:after="240"/>
      <w:jc w:val="both"/>
      <w:outlineLvl w:val="8"/>
    </w:pPr>
    <w:rPr>
      <w:sz w:val="22"/>
      <w:lang w:val="en-GB"/>
    </w:rPr>
  </w:style>
  <w:style w:type="character" w:styleId="WW8Num1z0">
    <w:name w:val="WW8Num1z0"/>
    <w:qFormat/>
    <w:rPr>
      <w:rFonts w:ascii="Times New Roman" w:hAnsi="Times New Roman" w:cs="Times New Roman"/>
      <w:b/>
      <w:i w:val="false"/>
      <w:caps/>
      <w:sz w:val="22"/>
    </w:rPr>
  </w:style>
  <w:style w:type="character" w:styleId="WW8Num1z1">
    <w:name w:val="WW8Num1z1"/>
    <w:qFormat/>
    <w:rPr>
      <w:rFonts w:ascii="Times New Roman" w:hAnsi="Times New Roman" w:cs="Times New Roman"/>
      <w:b/>
      <w:i w:val="false"/>
      <w:caps w:val="false"/>
      <w:smallCaps w:val="false"/>
      <w:sz w:val="22"/>
    </w:rPr>
  </w:style>
  <w:style w:type="character" w:styleId="WW8Num1z2">
    <w:name w:val="WW8Num1z2"/>
    <w:qFormat/>
    <w:rPr>
      <w:rFonts w:ascii="Times New Roman" w:hAnsi="Times New Roman" w:cs="Times New Roman"/>
      <w:b/>
      <w:i w:val="false"/>
      <w:sz w:val="22"/>
    </w:rPr>
  </w:style>
  <w:style w:type="character" w:styleId="WW8Num1z3">
    <w:name w:val="WW8Num1z3"/>
    <w:qFormat/>
    <w:rPr>
      <w:rFonts w:ascii="Times New Roman" w:hAnsi="Times New Roman" w:cs="Times New Roman"/>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jc w:val="both"/>
    </w:pPr>
    <w:rPr>
      <w:sz w:val="22"/>
      <w:lang w:val="en-GB"/>
    </w:rPr>
  </w:style>
  <w:style w:type="paragraph" w:styleId="Footer">
    <w:name w:val="footer"/>
    <w:basedOn w:val="Normal"/>
    <w:pPr>
      <w:tabs>
        <w:tab w:val="clear" w:pos="720"/>
        <w:tab w:val="center" w:pos="4153" w:leader="none"/>
        <w:tab w:val="right" w:pos="8306" w:leader="none"/>
      </w:tabs>
      <w:jc w:val="both"/>
    </w:pPr>
    <w:rPr>
      <w:sz w:val="22"/>
      <w:lang w:val="en-GB"/>
    </w:rPr>
  </w:style>
  <w:style w:type="paragraph" w:styleId="AOPlainFooter">
    <w:name w:val="AOPlainFooter"/>
    <w:basedOn w:val="Normal"/>
    <w:next w:val="Normal"/>
    <w:qFormat/>
    <w:pPr>
      <w:jc w:val="end"/>
    </w:pPr>
    <w:rPr>
      <w:sz w:val="16"/>
      <w:lang w:val="en-GB"/>
    </w:rPr>
  </w:style>
  <w:style w:type="paragraph" w:styleId="footer1">
    <w:name w:val="footer 1"/>
    <w:basedOn w:val="Normal"/>
    <w:qFormat/>
    <w:pPr>
      <w:tabs>
        <w:tab w:val="clear" w:pos="720"/>
        <w:tab w:val="center" w:pos="4507" w:leader="none"/>
        <w:tab w:val="center" w:pos="6653" w:leader="none"/>
        <w:tab w:val="right" w:pos="13594" w:leader="none"/>
      </w:tabs>
      <w:jc w:val="both"/>
    </w:pPr>
    <w:rPr>
      <w:color w:val="000000"/>
      <w:sz w:val="22"/>
      <w:lang w:val="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2001-03-26T12:41:00Z</dcterms:created>
  <dc:creator>Dixon-Smith</dc:creator>
  <dc:description/>
  <dc:language>en-CA</dc:language>
  <cp:lastModifiedBy>apapesch</cp:lastModifiedBy>
  <cp:lastPrinted>2001-03-26T16:11:00Z</cp:lastPrinted>
  <dcterms:modified xsi:type="dcterms:W3CDTF">2001-03-26T12:47:00Z</dcterms:modified>
  <cp:revision>3</cp:revision>
  <dc:subject/>
  <dc:title>QUESTIONNAIRE FOR ISDA MEMBERS</dc:title>
</cp:coreProperties>
</file>