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bookmarkStart w:id="0" w:name="currPos"/>
      <w:bookmarkEnd w:id="0"/>
      <w:r>
        <w:rPr>
          <w:sz w:val="24"/>
        </w:rPr>
        <w:t>ANNEX 1</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EMU - Interest Rate and Currency Swaps</w:t>
      </w:r>
      <w:r>
        <w:rPr>
          <w:rStyle w:val="FootnoteCharacters"/>
          <w:rStyle w:val="FootnoteReference"/>
          <w:b/>
          <w:sz w:val="24"/>
        </w:rPr>
        <w:footnoteReference w:id="2"/>
      </w:r>
    </w:p>
    <w:p>
      <w:pPr>
        <w:pStyle w:val="Normal"/>
        <w:jc w:val="center"/>
        <w:rPr>
          <w:b/>
          <w:sz w:val="24"/>
        </w:rPr>
      </w:pPr>
      <w:r>
        <w:rPr>
          <w:b/>
          <w:sz w:val="24"/>
        </w:rPr>
      </w:r>
    </w:p>
    <w:p>
      <w:pPr>
        <w:pStyle w:val="Normal"/>
        <w:jc w:val="center"/>
        <w:rPr>
          <w:b/>
          <w:sz w:val="24"/>
        </w:rPr>
      </w:pPr>
      <w:r>
        <w:rPr>
          <w:b/>
          <w:sz w:val="24"/>
        </w:rPr>
        <w:t>Amendment to Valuation and Settlement Provisions</w:t>
      </w:r>
    </w:p>
    <w:p>
      <w:pPr>
        <w:pStyle w:val="Normal"/>
        <w:jc w:val="center"/>
        <w:rPr>
          <w:b/>
          <w:sz w:val="24"/>
        </w:rPr>
      </w:pPr>
      <w:r>
        <w:rPr>
          <w:b/>
          <w:sz w:val="24"/>
        </w:rPr>
      </w:r>
    </w:p>
    <w:p>
      <w:pPr>
        <w:pStyle w:val="Normal"/>
        <w:rPr>
          <w:b/>
          <w:i/>
          <w:i/>
          <w:sz w:val="24"/>
        </w:rPr>
      </w:pPr>
      <w:r>
        <w:rPr>
          <w:b/>
          <w:i/>
          <w:sz w:val="24"/>
        </w:rPr>
        <w:t>Fixing Date</w:t>
      </w:r>
    </w:p>
    <w:p>
      <w:pPr>
        <w:pStyle w:val="Normal"/>
        <w:rPr>
          <w:b/>
          <w:i/>
          <w:i/>
          <w:sz w:val="24"/>
        </w:rPr>
      </w:pPr>
      <w:r>
        <w:rPr>
          <w:b/>
          <w:i/>
          <w:sz w:val="24"/>
        </w:rPr>
      </w:r>
    </w:p>
    <w:p>
      <w:pPr>
        <w:pStyle w:val="Normal"/>
        <w:rPr/>
      </w:pPr>
      <w:r>
        <w:rPr>
          <w:sz w:val="24"/>
        </w:rPr>
        <w:t>For purposes of determining the Relevant Rate for a Reset Date, if the specified Floating Rate Option requires a rate to be taken on a day (the "</w:t>
      </w:r>
      <w:r>
        <w:rPr>
          <w:b/>
          <w:sz w:val="24"/>
        </w:rPr>
        <w:t>Fixing Date</w:t>
      </w:r>
      <w:r>
        <w:rPr>
          <w:sz w:val="24"/>
        </w:rPr>
        <w:t>") that is a number of Banking Days or Business Days preceding</w:t>
      </w:r>
      <w:r>
        <w:rPr>
          <w:rStyle w:val="FootnoteCharacters"/>
          <w:rStyle w:val="FootnoteReference"/>
          <w:sz w:val="24"/>
        </w:rPr>
        <w:footnoteReference w:id="3"/>
      </w:r>
      <w:r>
        <w:rPr>
          <w:sz w:val="24"/>
        </w:rPr>
        <w:t xml:space="preserve"> that Reset Date and if the Fixing Date for a Reset Date is not a TARGET Settlement Day, the Fixing Date for that Reset Date will be adjusted so that it is the first preceding day that is a Banking Day or Business Day in the place referred to for that purpose in the Floating Rate Option and a TARGET Settlement Day.</w:t>
      </w:r>
    </w:p>
    <w:p>
      <w:pPr>
        <w:pStyle w:val="Normal"/>
        <w:rPr>
          <w:sz w:val="24"/>
        </w:rPr>
      </w:pPr>
      <w:r>
        <w:rPr>
          <w:sz w:val="24"/>
        </w:rPr>
      </w:r>
    </w:p>
    <w:p>
      <w:pPr>
        <w:pStyle w:val="Normal"/>
        <w:rPr>
          <w:b/>
          <w:i/>
          <w:i/>
          <w:sz w:val="24"/>
        </w:rPr>
      </w:pPr>
      <w:r>
        <w:rPr>
          <w:b/>
          <w:i/>
          <w:sz w:val="24"/>
        </w:rPr>
        <w:t>Amendment to Business Day Definition</w:t>
      </w:r>
    </w:p>
    <w:p>
      <w:pPr>
        <w:pStyle w:val="Normal"/>
        <w:rPr>
          <w:b/>
          <w:i/>
          <w:i/>
          <w:sz w:val="24"/>
        </w:rPr>
      </w:pPr>
      <w:r>
        <w:rPr>
          <w:b/>
          <w:i/>
          <w:sz w:val="24"/>
        </w:rPr>
      </w:r>
    </w:p>
    <w:p>
      <w:pPr>
        <w:pStyle w:val="Normal"/>
        <w:rPr/>
      </w:pPr>
      <w:r>
        <w:rPr>
          <w:sz w:val="24"/>
        </w:rPr>
        <w:t>For purposes of determining adjustments to be made in accordance with the applicable Business Day Convention, "Business Day" means [for [</w:t>
      </w:r>
      <w:r>
        <w:rPr>
          <w:i/>
          <w:sz w:val="24"/>
        </w:rPr>
        <w:t>specify currency or currencies</w:t>
      </w:r>
      <w:r>
        <w:rPr>
          <w:sz w:val="24"/>
        </w:rPr>
        <w:t>]]</w:t>
      </w:r>
      <w:r>
        <w:rPr>
          <w:rStyle w:val="FootnoteCharacters"/>
          <w:rStyle w:val="FootnoteReference"/>
          <w:sz w:val="24"/>
        </w:rPr>
        <w:footnoteReference w:id="4"/>
      </w:r>
      <w:r>
        <w:rPr>
          <w:sz w:val="24"/>
        </w:rPr>
        <w:t>, in addition to a day specified or otherwise determined pursuant to Section 1.4 of the [Definitions]</w:t>
      </w:r>
      <w:r>
        <w:rPr>
          <w:rStyle w:val="FootnoteCharacters"/>
          <w:rStyle w:val="FootnoteReference"/>
          <w:sz w:val="24"/>
        </w:rPr>
        <w:footnoteReference w:id="5"/>
      </w:r>
      <w:r>
        <w:rPr>
          <w:sz w:val="24"/>
        </w:rPr>
        <w:t>, a day that is also a TARGET Settlement Day.</w:t>
      </w:r>
    </w:p>
    <w:p>
      <w:pPr>
        <w:pStyle w:val="Normal"/>
        <w:rPr>
          <w:sz w:val="24"/>
        </w:rPr>
      </w:pPr>
      <w:r>
        <w:rPr>
          <w:sz w:val="24"/>
        </w:rPr>
      </w:r>
    </w:p>
    <w:p>
      <w:pPr>
        <w:pStyle w:val="Normal"/>
        <w:rPr>
          <w:b/>
          <w:i/>
          <w:i/>
          <w:sz w:val="24"/>
        </w:rPr>
      </w:pPr>
      <w:r>
        <w:rPr>
          <w:b/>
          <w:i/>
          <w:sz w:val="24"/>
        </w:rPr>
        <w:t>TARGET Settlement Day</w:t>
      </w:r>
    </w:p>
    <w:p>
      <w:pPr>
        <w:pStyle w:val="Normal"/>
        <w:rPr>
          <w:b/>
          <w:i/>
          <w:i/>
          <w:sz w:val="24"/>
        </w:rPr>
      </w:pPr>
      <w:r>
        <w:rPr>
          <w:b/>
          <w:i/>
          <w:sz w:val="24"/>
        </w:rPr>
      </w:r>
    </w:p>
    <w:p>
      <w:pPr>
        <w:pStyle w:val="Normal"/>
        <w:rPr>
          <w:sz w:val="24"/>
        </w:rPr>
      </w:pPr>
      <w:r>
        <w:rPr>
          <w:sz w:val="24"/>
        </w:rPr>
        <w:t>"TARGET Settlement Day" means any day on which TARGET (the Trans-European Automated Real-time Gross settlement Express Transfer system) is open.</w:t>
      </w:r>
    </w:p>
    <w:sectPr>
      <w:headerReference w:type="default" r:id="rId2"/>
      <w:headerReference w:type="first" r:id="rId3"/>
      <w:footerReference w:type="default" r:id="rId4"/>
      <w:footerReference w:type="first" r:id="rId5"/>
      <w:footnotePr>
        <w:numFmt w:val="decimal"/>
      </w:footnotePr>
      <w:type w:val="nextPage"/>
      <w:pgSz w:w="11906" w:h="16838"/>
      <w:pgMar w:left="1440" w:right="1440" w:gutter="0" w:header="72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rPr/>
    </w:pPr>
    <w:bookmarkStart w:id="1" w:name="DocRef"/>
    <w:r>
      <w:rPr/>
      <w:t>ICM:489311.1</w:t>
    </w:r>
    <w:bookmarkEnd w:id="1"/>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This amendment has been prepared for use in connection with transactions documented using the 1991 ISDA Definitions (whether or not supplemented by the 1998 Supplement or the 1998 ISDA Euro Definitions) or the 2000 ISDA Definitions and whether or not subject to the amendments contained in Annexes 2 or 3 of either the ISDA EMU Protocol or the ISDA EMU Protocol (Greece)).</w:t>
      </w:r>
    </w:p>
    <w:p>
      <w:pPr>
        <w:pStyle w:val="FootnoteText"/>
        <w:rPr/>
      </w:pPr>
      <w:r>
        <w:rPr/>
      </w:r>
    </w:p>
  </w:footnote>
  <w:footnote w:id="3">
    <w:p>
      <w:pPr>
        <w:pStyle w:val="FootnoteText"/>
        <w:rPr/>
      </w:pPr>
      <w:r>
        <w:rPr>
          <w:rStyle w:val="FootnoteCharacters"/>
        </w:rPr>
        <w:footnoteRef/>
      </w:r>
      <w:r>
        <w:rPr/>
        <w:t xml:space="preserve"> </w:t>
      </w:r>
      <w:r>
        <w:rPr/>
        <w:tab/>
        <w:t>If the Floating Rate Option calls for same day determinations, this provision will not assist.  Instead, parties should consider including a provision that is tailored to the particular Floating Rate Option.  For example, if the Floating Rate Option is IEP-DIBOR-DIBO (as defined in the 1998 Supplement to the 1991 ISDA Definitions), parties should consider whether the following provision is appropriate: "For purposes of determining the Relevant Rate for a Reset Date, if the specified Floating Rate Option is IEP-DIBOR-DIBO and the Reset Date is not a TARGET Settlement Day, then the reference in that Floating Rate Option to rates appearing on the Reuters Screen DIBO Page on that Reset Date will be replaced by a reference to rates appearing on the Reuters Screen DIBO Page on the day first preceding the Reset Date that is a [Dublin Banking Day and a] TARGET Settlement Day".</w:t>
      </w:r>
    </w:p>
  </w:footnote>
  <w:footnote w:id="4">
    <w:p>
      <w:pPr>
        <w:pStyle w:val="FootnoteText"/>
        <w:rPr/>
      </w:pPr>
      <w:r>
        <w:rPr>
          <w:rStyle w:val="FootnoteCharacters"/>
        </w:rPr>
        <w:footnoteRef/>
      </w:r>
      <w:r>
        <w:rPr/>
      </w:r>
    </w:p>
    <w:p>
      <w:pPr>
        <w:pStyle w:val="FootnoteText"/>
        <w:rPr/>
      </w:pPr>
      <w:r>
        <w:rPr>
          <w:rStyle w:val="FootnoteCharacters"/>
        </w:rPr>
        <w:t>?</w:t>
      </w:r>
      <w:r>
        <w:rPr/>
        <w:t xml:space="preserve"> </w:t>
        <w:tab/>
        <w:t xml:space="preserve">Include relevant currency if the transaction is a currency swap and the addition of TARGET holidays is intended only to apply to one currency.  Parties may wish to provide that this approach should apply to all national currency units, for example by listing all such national currency units.  As of </w:t>
      </w:r>
      <w:r>
        <w:rPr>
          <w:rFonts w:eastAsia="Wingdings" w:cs="Wingdings" w:ascii="Wingdings" w:hAnsi="Wingdings"/>
        </w:rPr>
        <w:sym w:font="Wingdings" w:char="f06c"/>
      </w:r>
      <w:r>
        <w:rPr/>
        <w:t>, 2001, the following former currencies of European member states are "national currency units": Austrian Schilling, Belgian Franc, Deutsche Mark, Dutch Guilder, Finnish Markka, French Franc, Greek Drachma, Irish Pound, Italian Lira, Luxembourg Franc, Portuguese Escudo, Spanish Peseta.</w:t>
      </w:r>
    </w:p>
    <w:p>
      <w:pPr>
        <w:pStyle w:val="FootnoteText"/>
        <w:rPr/>
      </w:pPr>
      <w:r>
        <w:rPr/>
      </w:r>
    </w:p>
  </w:footnote>
  <w:footnote w:id="5">
    <w:p>
      <w:pPr>
        <w:pStyle w:val="FootnoteText"/>
        <w:rPr/>
      </w:pPr>
      <w:r>
        <w:rPr>
          <w:rStyle w:val="FootnoteCharacters"/>
        </w:rPr>
        <w:footnoteRef/>
      </w:r>
      <w:r>
        <w:rPr/>
        <w:t xml:space="preserve"> </w:t>
      </w:r>
      <w:r>
        <w:rPr/>
        <w:tab/>
        <w:t>The provision is the same in both the 1991 ISDA Definitions and the 2000 ISDA Definitions, but the term used to describe the relevant set of ISDA Definitions should match that used in the Confirmation.</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23.03.01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DocRef" w:val="ICM:48931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OPlainFooter">
    <w:name w:val="AOPlainFooter"/>
    <w:basedOn w:val="Normal"/>
    <w:next w:val="Normal"/>
    <w:qFormat/>
    <w:pPr>
      <w:jc w:val="end"/>
    </w:pPr>
    <w:rPr>
      <w:sz w:val="16"/>
    </w:rPr>
  </w:style>
  <w:style w:type="paragraph" w:styleId="FootnoteText">
    <w:name w:val="footnote text"/>
    <w:basedOn w:val="Normal"/>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2001-03-26T12:40:00Z</dcterms:created>
  <dc:creator>Allen &amp; Overy</dc:creator>
  <dc:description/>
  <dc:language>en-CA</dc:language>
  <cp:lastModifiedBy>apapesch</cp:lastModifiedBy>
  <cp:lastPrinted>2001-03-26T16:16:00Z</cp:lastPrinted>
  <dcterms:modified xsi:type="dcterms:W3CDTF">2001-03-26T12:49:00Z</dcterms:modified>
  <cp:revision>3</cp:revision>
  <dc:subject/>
  <dc:title>EMU - Interest Rate and Currency Swaps </dc:title>
</cp:coreProperties>
</file>