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In the Matter of the Application of Southern California Edison Company for Authority to Increase its Authorized Level of Base Rate Revenue Under the Electric Revenue Adjustment mechanism for Service Rendered Beginning January 1, 1995 and to Reflect this Increase in Rates.</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A.93-12-025</w:t>
            </w:r>
          </w:p>
        </w:tc>
      </w:tr>
      <w:tr>
        <w:trPr/>
        <w:tc>
          <w:tcPr>
            <w:tcW w:w="5040" w:type="dxa"/>
            <w:tcBorders>
              <w:bottom w:val="single" w:sz="6" w:space="0" w:color="000000"/>
            </w:tcBorders>
          </w:tcPr>
          <w:p>
            <w:pPr>
              <w:pStyle w:val="zCaption"/>
              <w:rPr/>
            </w:pPr>
            <w:r>
              <w:rPr/>
              <w:t>Commission Order Instituting Investigation into the Rates, Charges, and Practices of Southern California Edison Company, Establishment of the Utility’s Revenue Requirement, and Attrition Request.</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I.94-02-002</w:t>
            </w:r>
          </w:p>
        </w:tc>
      </w:tr>
    </w:tbl>
    <w:p>
      <w:pPr>
        <w:pStyle w:val="Normal"/>
        <w:jc w:val="center"/>
        <w:rPr>
          <w:sz w:val="24"/>
        </w:rPr>
      </w:pPr>
      <w:r>
        <w:rPr>
          <w:sz w:val="24"/>
        </w:rPr>
      </w:r>
    </w:p>
    <w:p>
      <w:pPr>
        <w:pStyle w:val="BodyText"/>
        <w:rPr/>
      </w:pPr>
      <w:r>
        <w:rPr/>
        <w:t>SAN DIEGO GAS &amp; ELECTRIC COMPANY’S (U 902-E) PETITION FOR MODIFICATION OF D.96-04-059 AND REQUEST FOR ORDER SHORTENING TIME FOR RESPONSES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ind w:firstLine="720" w:start="3600" w:end="0"/>
        <w:rPr>
          <w:sz w:val="24"/>
        </w:rPr>
      </w:pPr>
      <w:r>
        <w:rPr>
          <w:sz w:val="24"/>
        </w:rPr>
        <w:t>Steven C. Nelson</w:t>
      </w:r>
    </w:p>
    <w:p>
      <w:pPr>
        <w:pStyle w:val="zCaption"/>
        <w:ind w:end="-630"/>
        <w:rPr>
          <w:rFonts w:ascii="Times New Roman" w:hAnsi="Times New Roman" w:cs="Times New Roman"/>
        </w:rPr>
      </w:pPr>
      <w:r>
        <w:rPr>
          <w:rFonts w:cs="Times New Roman" w:ascii="Times New Roman" w:hAnsi="Times New Roman"/>
        </w:rPr>
        <w:tab/>
        <w:tab/>
        <w:tab/>
        <w:tab/>
        <w:tab/>
        <w:tab/>
        <w:t>Attorney for San Diego Gas &amp; Electric Company</w:t>
      </w:r>
    </w:p>
    <w:p>
      <w:pPr>
        <w:pStyle w:val="Normal"/>
        <w:rPr>
          <w:sz w:val="24"/>
        </w:rPr>
      </w:pPr>
      <w:r>
        <w:rPr>
          <w:sz w:val="24"/>
        </w:rPr>
        <w:tab/>
        <w:tab/>
        <w:tab/>
        <w:tab/>
        <w:tab/>
        <w:tab/>
        <w:t>101 Ash Street</w:t>
      </w:r>
    </w:p>
    <w:p>
      <w:pPr>
        <w:pStyle w:val="Normal"/>
        <w:rPr>
          <w:sz w:val="24"/>
        </w:rPr>
      </w:pPr>
      <w:r>
        <w:rPr>
          <w:sz w:val="24"/>
        </w:rPr>
        <w:tab/>
        <w:tab/>
        <w:tab/>
        <w:tab/>
        <w:tab/>
        <w:tab/>
        <w:t>San Diego, CA  92101</w:t>
      </w:r>
    </w:p>
    <w:p>
      <w:pPr>
        <w:pStyle w:val="Normal"/>
        <w:rPr>
          <w:sz w:val="24"/>
        </w:rPr>
      </w:pPr>
      <w:r>
        <w:rPr>
          <w:sz w:val="24"/>
        </w:rPr>
        <w:tab/>
        <w:tab/>
        <w:tab/>
        <w:tab/>
        <w:tab/>
        <w:tab/>
        <w:t>Telephone:  619/699-5136</w:t>
      </w:r>
    </w:p>
    <w:p>
      <w:pPr>
        <w:pStyle w:val="Normal"/>
        <w:rPr>
          <w:sz w:val="24"/>
        </w:rPr>
      </w:pPr>
      <w:r>
        <w:rPr>
          <w:sz w:val="24"/>
        </w:rPr>
        <w:tab/>
        <w:tab/>
        <w:tab/>
        <w:tab/>
        <w:tab/>
        <w:tab/>
        <w:t>Facsimile:  619/699-5027</w:t>
      </w:r>
    </w:p>
    <w:p>
      <w:pPr>
        <w:pStyle w:val="Normal"/>
        <w:rPr>
          <w:sz w:val="24"/>
        </w:rPr>
      </w:pPr>
      <w:r>
        <w:rPr>
          <w:sz w:val="24"/>
        </w:rPr>
        <w:tab/>
        <w:tab/>
        <w:tab/>
        <w:tab/>
        <w:tab/>
        <w:tab/>
        <w:t xml:space="preserve">E-mail:  </w:t>
      </w:r>
      <w:hyperlink r:id="rId2">
        <w:r>
          <w:rPr>
            <w:rStyle w:val="Hyperlink"/>
            <w:sz w:val="24"/>
          </w:rPr>
          <w:t>snelson@sempra.com</w:t>
        </w:r>
      </w:hyperlink>
    </w:p>
    <w:p>
      <w:pPr>
        <w:pStyle w:val="Normal"/>
        <w:rPr>
          <w:sz w:val="24"/>
        </w:rPr>
      </w:pPr>
      <w:r>
        <w:rPr>
          <w:sz w:val="24"/>
        </w:rPr>
      </w:r>
    </w:p>
    <w:p>
      <w:pPr>
        <w:sectPr>
          <w:footerReference w:type="default" r:id="rId3"/>
          <w:footerReference w:type="first" r:id="rId4"/>
          <w:type w:val="nextPage"/>
          <w:pgSz w:w="12240" w:h="15840"/>
          <w:pgMar w:left="1800" w:right="1800" w:gutter="0" w:header="0" w:top="1440" w:footer="720" w:bottom="1440"/>
          <w:pgNumType w:start="0" w:fmt="decimal"/>
          <w:formProt w:val="false"/>
          <w:titlePg/>
          <w:textDirection w:val="lrTb"/>
          <w:docGrid w:type="default" w:linePitch="360" w:charSpace="0"/>
        </w:sectPr>
        <w:pStyle w:val="TOC1"/>
        <w:spacing w:lineRule="auto" w:line="240"/>
        <w:rPr/>
      </w:pPr>
      <w:r>
        <w:rPr/>
        <w:t>July 16, 2001</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In the Matter of the Application of Southern California Edison Company for Authority to Increase its Authorized Level of Base Rate Revenue Under the Electric Revenue Adjustment mechanism for Service Rendered Beginning January 1, 1995 and to Reflect this Increase in Rates.</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A.93-12-025</w:t>
            </w:r>
          </w:p>
        </w:tc>
      </w:tr>
      <w:tr>
        <w:trPr/>
        <w:tc>
          <w:tcPr>
            <w:tcW w:w="5040" w:type="dxa"/>
            <w:tcBorders>
              <w:bottom w:val="single" w:sz="6" w:space="0" w:color="000000"/>
            </w:tcBorders>
          </w:tcPr>
          <w:p>
            <w:pPr>
              <w:pStyle w:val="zCaption"/>
              <w:rPr/>
            </w:pPr>
            <w:r>
              <w:rPr/>
              <w:t>Commission Order Instituting Investigation into the Rates, Charges, and Practices of Southern California Edison Company, Establishment of the Utility’s Revenue Requirement, and Attrition Request.</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I.94-02-002</w:t>
            </w:r>
          </w:p>
        </w:tc>
      </w:tr>
    </w:tbl>
    <w:p>
      <w:pPr>
        <w:pStyle w:val="Normal"/>
        <w:jc w:val="center"/>
        <w:rPr>
          <w:sz w:val="24"/>
        </w:rPr>
      </w:pPr>
      <w:r>
        <w:rPr>
          <w:sz w:val="24"/>
        </w:rPr>
      </w:r>
    </w:p>
    <w:p>
      <w:pPr>
        <w:pStyle w:val="BodyText"/>
        <w:rPr/>
      </w:pPr>
      <w:r>
        <w:rPr/>
        <w:t>SAN DIEGO GAS &amp; ELECTRIC COMPANY’S (U 902-E) PETITION FOR MODIFICATION OF D.96-04-059 AND REQUEST FOR ORDER SHORTENING TIME FOR RESPONSES</w:t>
      </w:r>
    </w:p>
    <w:p>
      <w:pPr>
        <w:pStyle w:val="BodyText"/>
        <w:rPr/>
      </w:pPr>
      <w:r>
        <w:rPr/>
      </w:r>
    </w:p>
    <w:p>
      <w:pPr>
        <w:pStyle w:val="BodyText"/>
        <w:rPr/>
      </w:pPr>
      <w:r>
        <w:rPr/>
      </w:r>
    </w:p>
    <w:p>
      <w:pPr>
        <w:pStyle w:val="BodyText2"/>
        <w:rPr/>
      </w:pPr>
      <w:r>
        <w:rPr/>
        <w:tab/>
        <w:t xml:space="preserve">Pursuant to Rule 47 of the California Public Utilities Commission’s (“Commission”) Rules of Practice and Procedure, San Diego Gas &amp; Electric Company (“SDG&amp;E”) respectfully submits this petition for modification of Decision (“D.”) 96-04-059 to implement the San Onofre Nuclear Generating Station (“SONGS”)-related terms of the June 18, 2001 Memorandum of Understanding between and among the State of California, through the California Department of Water Resources (“DWR”), SDG&amp;E and, as to certain provisions, Sempra Energy (the “DWR/SDG&amp;E MOU”).  SDG&amp;E is a 20% owner of SONGS and a co-signatory with Southern California Edison (“SCE”) to the February 5, 1996 Joint Response that the Commission adopted, with certain modifications, in D.96-04-059.  SDG&amp;E also requests, pursuant to Commission Rule 47(f), that the date by which responses to this petition must be served be accelerated to 15 days of the date the petition is served instead of the normal 30 days.    </w:t>
      </w:r>
    </w:p>
    <w:p>
      <w:pPr>
        <w:pStyle w:val="BodyText2"/>
        <w:rPr/>
      </w:pPr>
      <w:r>
        <w:rPr/>
        <w:tab/>
        <w:t>In this petition, SDG&amp;E first explains (in Section I) how this petition for modification of D.96-04-059 is consistent with and part of a broader plan articulated in the DWR/SDG&amp;E MOU, which has as its objective the elimination of SDG&amp;E’s Assembly Bill (“A.B.”) 265 undercollection balancing account (estimated at $750 million) without increasing base electric rates.</w:t>
      </w:r>
      <w:r>
        <w:rPr>
          <w:rStyle w:val="FootnoteCharacters"/>
          <w:rStyle w:val="FootnoteReference"/>
        </w:rPr>
        <w:footnoteReference w:id="2"/>
      </w:r>
      <w:r>
        <w:rPr/>
        <w:t xml:space="preserve">  In Section II, SDG&amp;E briefly summarizes the SONGS terms contained in the DWR/SDG&amp;E MOU.  In Section III, SDG&amp;E demonstrates that the SONGS terms in the DWR/SDG&amp;E MOU are both reasonable in and of themselves and as part of the plan described in the DWR/SDG&amp;E MOU for eliminating the A.B. 265 undercollection balancing account.  Finally, in Section IV, SDG&amp;E requests that the Commission expeditiously process SDG&amp;E’s petition for modification of D.96-04-059 and issue an order shortening the time for responses.  Per Commission Rule 47(b), SDG&amp;E proposes “specific wording to carry out all requested modifications to the decision” in Appendix A.</w:t>
      </w:r>
      <w:r>
        <w:rPr>
          <w:rStyle w:val="FootnoteCharacters"/>
          <w:rStyle w:val="FootnoteReference"/>
        </w:rPr>
        <w:footnoteReference w:id="3"/>
      </w:r>
    </w:p>
    <w:p>
      <w:pPr>
        <w:pStyle w:val="BodyText2"/>
        <w:rPr/>
      </w:pPr>
      <w:r>
        <w:rPr/>
        <w:t>//</w:t>
      </w:r>
    </w:p>
    <w:p>
      <w:pPr>
        <w:pStyle w:val="BodyText2"/>
        <w:jc w:val="center"/>
        <w:rPr>
          <w:b/>
        </w:rPr>
      </w:pPr>
      <w:r>
        <w:rPr>
          <w:b/>
        </w:rPr>
        <w:t>I.</w:t>
      </w:r>
    </w:p>
    <w:p>
      <w:pPr>
        <w:pStyle w:val="BodyText2"/>
        <w:spacing w:lineRule="auto" w:line="240"/>
        <w:jc w:val="center"/>
        <w:rPr>
          <w:b/>
        </w:rPr>
      </w:pPr>
      <w:r>
        <w:rPr>
          <w:b/>
        </w:rPr>
        <w:t>SDG&amp;E’S PETITION FOR MODIFICATION OF D.96-04-059 IS PART OF A BROADER STATE PLAN TO PROVIDE SDG&amp;E’S CUSTOMERS WITH AFFORDABLE AND RELIABLE ELECTRICITY AND TO ELIMINATE SDG&amp;E’S A.B. 265 BALANCING ACCOUNT</w:t>
      </w:r>
    </w:p>
    <w:p>
      <w:pPr>
        <w:pStyle w:val="BodyText2"/>
        <w:spacing w:lineRule="auto" w:line="240"/>
        <w:jc w:val="center"/>
        <w:rPr>
          <w:b/>
        </w:rPr>
      </w:pPr>
      <w:r>
        <w:rPr>
          <w:b/>
        </w:rPr>
      </w:r>
    </w:p>
    <w:p>
      <w:pPr>
        <w:pStyle w:val="BodyText2"/>
        <w:rPr/>
      </w:pPr>
      <w:r>
        <w:rPr/>
        <w:tab/>
        <w:t>The general purposes of the DWR/SDG&amp;E MOU</w:t>
      </w:r>
      <w:r>
        <w:rPr>
          <w:rStyle w:val="FootnoteCharacters"/>
          <w:rStyle w:val="FootnoteReference"/>
        </w:rPr>
        <w:footnoteReference w:id="4"/>
      </w:r>
      <w:r>
        <w:rPr/>
        <w:t xml:space="preserve"> (as set forth at p. 1) are as follows:</w:t>
      </w:r>
      <w:r>
        <w:rPr>
          <w:b/>
        </w:rPr>
        <w:t xml:space="preserve"> </w:t>
      </w:r>
    </w:p>
    <w:p>
      <w:pPr>
        <w:pStyle w:val="BodyText2"/>
        <w:numPr>
          <w:ilvl w:val="0"/>
          <w:numId w:val="3"/>
        </w:numPr>
        <w:tabs>
          <w:tab w:val="clear" w:pos="720"/>
          <w:tab w:val="left" w:pos="1080" w:leader="none"/>
        </w:tabs>
        <w:spacing w:lineRule="auto" w:line="240"/>
        <w:ind w:hanging="360" w:start="1080" w:end="1080"/>
        <w:rPr>
          <w:b/>
        </w:rPr>
      </w:pPr>
      <w:r>
        <w:rPr/>
        <w:t>Set forth the understandings reached by the parties above (the “</w:t>
      </w:r>
      <w:r>
        <w:rPr>
          <w:i/>
        </w:rPr>
        <w:t>Parties</w:t>
      </w:r>
      <w:r>
        <w:rPr/>
        <w:t>”) about a plan (the “</w:t>
      </w:r>
      <w:r>
        <w:rPr>
          <w:i/>
        </w:rPr>
        <w:t>Plan</w:t>
      </w:r>
      <w:r>
        <w:rPr/>
        <w:t>”) to provide affordable and reliable electricity to customers of Utility by, among other things, maintaining the output of certain of Utility’s retained generation on a cost-of-service basis, providing for the disposition of certain rights to power under certain power contracts owned by Utility, providing for certain arrangements to be entered into between CDWR and Utility regarding procurement of Utility’s “net short” electric requirements for retail customers within Utility’s service area for certain periods as more fully described in Section 9 below, providing for CDWR or another authorized agency of the State of California (the “</w:t>
      </w:r>
      <w:r>
        <w:rPr>
          <w:i/>
        </w:rPr>
        <w:t>State</w:t>
      </w:r>
      <w:r>
        <w:rPr/>
        <w:t>”) to acquire Utility’s transmission system (the “</w:t>
      </w:r>
      <w:r>
        <w:rPr>
          <w:i/>
        </w:rPr>
        <w:t>Transmission Sale</w:t>
      </w:r>
      <w:r>
        <w:rPr/>
        <w:t>”), providing for the settlement, disposition and elimination of the balance in Utility’s A.B. 265 undercollection balancing account (the present balance of which is approximately $750 million) without increasing base electric rates, and providing for certain rights to be granted by Utility with respect to certain lands described herein (certain parcels of which may have environmental mitigation, wildlife habitat conservation or other public interest value);</w:t>
      </w:r>
    </w:p>
    <w:p>
      <w:pPr>
        <w:pStyle w:val="BodyText2"/>
        <w:spacing w:lineRule="auto" w:line="240"/>
        <w:ind w:end="1080"/>
        <w:rPr>
          <w:b/>
        </w:rPr>
      </w:pPr>
      <w:r>
        <w:rPr>
          <w:b/>
        </w:rPr>
      </w:r>
    </w:p>
    <w:p>
      <w:pPr>
        <w:pStyle w:val="BodyText2"/>
        <w:numPr>
          <w:ilvl w:val="0"/>
          <w:numId w:val="3"/>
        </w:numPr>
        <w:tabs>
          <w:tab w:val="clear" w:pos="720"/>
          <w:tab w:val="left" w:pos="1080" w:leader="none"/>
        </w:tabs>
        <w:spacing w:lineRule="auto" w:line="240"/>
        <w:ind w:hanging="360" w:start="1080" w:end="1080"/>
        <w:rPr>
          <w:b/>
        </w:rPr>
      </w:pPr>
      <w:r>
        <w:rPr/>
        <w:t>Provide a framework for the timely implementation of those understandings; and</w:t>
      </w:r>
    </w:p>
    <w:p>
      <w:pPr>
        <w:pStyle w:val="BodyText2"/>
        <w:spacing w:lineRule="auto" w:line="240"/>
        <w:ind w:end="1080"/>
        <w:rPr>
          <w:b/>
        </w:rPr>
      </w:pPr>
      <w:r>
        <w:rPr>
          <w:b/>
        </w:rPr>
      </w:r>
    </w:p>
    <w:p>
      <w:pPr>
        <w:pStyle w:val="BodyText2"/>
        <w:numPr>
          <w:ilvl w:val="0"/>
          <w:numId w:val="3"/>
        </w:numPr>
        <w:tabs>
          <w:tab w:val="clear" w:pos="720"/>
          <w:tab w:val="left" w:pos="1080" w:leader="none"/>
        </w:tabs>
        <w:spacing w:lineRule="auto" w:line="240"/>
        <w:ind w:hanging="360" w:start="1080" w:end="1080"/>
        <w:rPr>
          <w:b/>
        </w:rPr>
      </w:pPr>
      <w:r>
        <w:rPr/>
        <w:t>As part of that implementation, provide for the resolution of certain claims which Utility may have against the State of California and certain agencies and subdivisions thereof and for the resolution of certain other disputes.</w:t>
      </w:r>
    </w:p>
    <w:p>
      <w:pPr>
        <w:pStyle w:val="BodyText2"/>
        <w:spacing w:lineRule="auto" w:line="240"/>
        <w:ind w:end="1080"/>
        <w:rPr>
          <w:b/>
        </w:rPr>
      </w:pPr>
      <w:r>
        <w:rPr>
          <w:b/>
        </w:rPr>
      </w:r>
    </w:p>
    <w:p>
      <w:pPr>
        <w:pStyle w:val="BodyText2"/>
        <w:ind w:firstLine="720" w:end="360"/>
        <w:rPr/>
      </w:pPr>
      <w:r>
        <w:rPr/>
        <w:t xml:space="preserve">The portion of the Plan identified in the first bullet pertaining to the elimination of the balance in SDG&amp;E’s A.B. 265 undercollection balancing account is to be effectuated through the adoption by the Commission of various “CPUC Implementing Decisions” detailed on pages 18 and 19 of the DWR/SDG&amp;E MOU.  Under the Plan, all the CPUC Implementing Decisions must be approved by the Commission in order for the undercollection to be eliminated without an increase in SDG&amp;E’s base electric rates.  It is in SDG&amp;E’s customers’ significant interest to eliminate the undercollection because the undercollection represents deferred electric commodity charges for which SDG&amp;E’s customers subject to A.B. 265 are otherwise obligated to repay to SDG&amp;E. </w:t>
      </w:r>
    </w:p>
    <w:p>
      <w:pPr>
        <w:pStyle w:val="BodyText2"/>
        <w:ind w:firstLine="720" w:end="360"/>
        <w:rPr/>
      </w:pPr>
      <w:r>
        <w:rPr/>
        <w:t>In summary, SDG&amp;E’s petition for modification of D.96-04-059 is a very important part of a broader state plan to provide SDG&amp;E’s customers with affordable and reliable electricity and to eliminate SDG&amp;E’s A.B. 265 undercollection balancing account (approximately $750 million) without increasing base electric rates.  The Commission’s approval of this petition will satisfy one of the CPUC Implementing Decisions required to eliminate the A.B. 265 undercollection.</w:t>
      </w:r>
    </w:p>
    <w:p>
      <w:pPr>
        <w:pStyle w:val="BodyText2"/>
        <w:ind w:end="360"/>
        <w:jc w:val="center"/>
        <w:rPr>
          <w:b/>
        </w:rPr>
      </w:pPr>
      <w:r>
        <w:rPr>
          <w:b/>
        </w:rPr>
        <w:t>II.</w:t>
      </w:r>
    </w:p>
    <w:p>
      <w:pPr>
        <w:pStyle w:val="BodyText2"/>
        <w:ind w:end="360"/>
        <w:jc w:val="center"/>
        <w:rPr>
          <w:b/>
        </w:rPr>
      </w:pPr>
      <w:r>
        <w:rPr>
          <w:b/>
        </w:rPr>
        <w:t>DESCRIPTION OF SONGS TERMS IN THE DWR/SDG&amp;E MOU</w:t>
      </w:r>
    </w:p>
    <w:p>
      <w:pPr>
        <w:pStyle w:val="BodyText2"/>
        <w:ind w:end="360"/>
        <w:rPr/>
      </w:pPr>
      <w:r>
        <w:rPr/>
        <w:tab/>
        <w:t>The DWR/SDG&amp;E MOU (at pp. 18-19) provides, under Item d., for Commission adoption of  “The arrangements provided for in Section 3 with respect to Utility’s interests in SONGS 2 and 3.”  The “arrangements provided for in Section 3 with respect to [SDG&amp;E’s] interests in SONGS 2 and 3” are set forth at pp. 5 and 6 of the DWR/SDG&amp;E MOU and are as follows:</w:t>
      </w:r>
    </w:p>
    <w:p>
      <w:pPr>
        <w:pStyle w:val="BodyText2"/>
        <w:numPr>
          <w:ilvl w:val="0"/>
          <w:numId w:val="2"/>
        </w:numPr>
        <w:tabs>
          <w:tab w:val="clear" w:pos="720"/>
          <w:tab w:val="left" w:pos="1080" w:leader="none"/>
          <w:tab w:val="left" w:pos="1140" w:leader="none"/>
        </w:tabs>
        <w:spacing w:lineRule="auto" w:line="240"/>
        <w:ind w:hanging="360" w:start="1080" w:end="1080"/>
        <w:rPr>
          <w:b/>
        </w:rPr>
      </w:pPr>
      <w:r>
        <w:rPr/>
        <w:t>For SONGS 2 and 3, other than transmission-related costs, operating costs will be recovered through December 31, 2003 through the existing Incremental Cost Incentive Procedure (“</w:t>
      </w:r>
      <w:r>
        <w:rPr>
          <w:i/>
        </w:rPr>
        <w:t>ICIP</w:t>
      </w:r>
      <w:r>
        <w:rPr/>
        <w:t>”).</w:t>
      </w:r>
      <w:r>
        <w:rPr>
          <w:rStyle w:val="FootnoteCharacters"/>
          <w:rStyle w:val="FootnoteReference"/>
        </w:rPr>
        <w:footnoteReference w:id="5"/>
      </w:r>
    </w:p>
    <w:p>
      <w:pPr>
        <w:pStyle w:val="BodyText2"/>
        <w:tabs>
          <w:tab w:val="clear" w:pos="720"/>
          <w:tab w:val="left" w:pos="1140" w:leader="none"/>
        </w:tabs>
        <w:spacing w:lineRule="auto" w:line="240"/>
        <w:ind w:end="1080"/>
        <w:rPr>
          <w:b/>
        </w:rPr>
      </w:pPr>
      <w:r>
        <w:rPr>
          <w:b/>
        </w:rPr>
      </w:r>
    </w:p>
    <w:p>
      <w:pPr>
        <w:pStyle w:val="BodyText2"/>
        <w:numPr>
          <w:ilvl w:val="0"/>
          <w:numId w:val="2"/>
        </w:numPr>
        <w:tabs>
          <w:tab w:val="clear" w:pos="720"/>
          <w:tab w:val="left" w:pos="1080" w:leader="none"/>
          <w:tab w:val="left" w:pos="1140" w:leader="none"/>
        </w:tabs>
        <w:spacing w:lineRule="auto" w:line="240"/>
        <w:ind w:hanging="360" w:start="1080" w:end="1080"/>
        <w:rPr>
          <w:b/>
        </w:rPr>
      </w:pPr>
      <w:r>
        <w:rPr/>
        <w:t>From January 1, 2004 through December 31, 2010</w:t>
      </w:r>
      <w:r>
        <w:rPr>
          <w:rStyle w:val="FootnoteCharacters"/>
          <w:rStyle w:val="FootnoteReference"/>
        </w:rPr>
        <w:footnoteReference w:id="6"/>
      </w:r>
      <w:r>
        <w:rPr/>
        <w:t>, Utility’s costs associated with its interest in SONGS 2 and 3 shall include all customary categories of operating costs (including, but not limited to, fuel costs (fixed and variable), operations and maintenance expenses (including shutdown O&amp;M), costs of emissions credits, direct, joint and common administrative and general (A&amp;G) costs (excluding non-site specific general plant, which shall be treated as a capital cost, but including operating and maintenance costs and A&amp;G costs charged to Utility by the operator of the plant), taxes, scheduling and dispatch costs, congestion costs, ancillary service costs, and other transmission-related costs charged to generators) and decommissioning costs.</w:t>
      </w:r>
    </w:p>
    <w:p>
      <w:pPr>
        <w:pStyle w:val="BodyText2"/>
        <w:tabs>
          <w:tab w:val="clear" w:pos="720"/>
          <w:tab w:val="left" w:pos="1140" w:leader="none"/>
        </w:tabs>
        <w:spacing w:lineRule="auto" w:line="240"/>
        <w:ind w:end="1080"/>
        <w:rPr>
          <w:b/>
        </w:rPr>
      </w:pPr>
      <w:r>
        <w:rPr>
          <w:b/>
        </w:rPr>
      </w:r>
    </w:p>
    <w:p>
      <w:pPr>
        <w:pStyle w:val="BodyText2"/>
        <w:numPr>
          <w:ilvl w:val="0"/>
          <w:numId w:val="2"/>
        </w:numPr>
        <w:tabs>
          <w:tab w:val="clear" w:pos="720"/>
          <w:tab w:val="left" w:pos="1080" w:leader="none"/>
          <w:tab w:val="left" w:pos="1140" w:leader="none"/>
        </w:tabs>
        <w:spacing w:lineRule="auto" w:line="240"/>
        <w:ind w:hanging="360" w:start="1080" w:end="1080"/>
        <w:rPr>
          <w:b/>
        </w:rPr>
      </w:pPr>
      <w:r>
        <w:rPr/>
        <w:t>Effective as of January 1, 2002, an amount equal to $133,000,000 (such amount is referred to in this MOU as the “</w:t>
      </w:r>
      <w:r>
        <w:rPr>
          <w:i/>
        </w:rPr>
        <w:t>SONGS equalization adjustment</w:t>
      </w:r>
      <w:r>
        <w:rPr/>
        <w:t>”) shall be credited as a regulatory asset in respect of Utility’s interest in SONGS 2 and 3, and depreciated over the period beginning on January 1, 2002 and ending December 31, 2010, and effective on January 1, 2002, the balance in ERCRSA [Energy Rate Ceiling Revenue Shortfall Account] shall be reduced by the sum of $146,000,000 on account thereof.  The return which Utility is entitled to recover in rates on that portion of its rate base which is attributable to such regulatory asset shall equal Utility’s authorized weighted average cost of capital.  In the CPUC Implementing Decision approving the SONGS 2 and 3 equalization adjustment and the recovery thereof, the CPUC shall provide, in the event of a permanent shutdown of SONGS 2 and 3 prior to the end of the applicable depreciation period, for the treatment of Utility’s unamortized regulatory asset in respect of SONGS 2 and 3, Utility’s unamortized incremental capital expenditures for SONGS 2 and 3 incurred after December 31, 2003, and any other reasonable and prudent costs incurred by Utility in connection with the shutdown and decommissioning of the units, in a manner consistent with the CPUC’s previously authorized treatment of unamortized nuclear power plant costs in connection with the shutdown of the San Onofre Nuclear Generating Station 1 nuclear power plant prior to the expiration of its useful life.</w:t>
      </w:r>
    </w:p>
    <w:p>
      <w:pPr>
        <w:pStyle w:val="BodyText2"/>
        <w:tabs>
          <w:tab w:val="clear" w:pos="720"/>
          <w:tab w:val="left" w:pos="1140" w:leader="none"/>
        </w:tabs>
        <w:spacing w:lineRule="auto" w:line="240"/>
        <w:ind w:end="1080"/>
        <w:rPr>
          <w:b/>
        </w:rPr>
      </w:pPr>
      <w:r>
        <w:rPr>
          <w:b/>
        </w:rPr>
      </w:r>
    </w:p>
    <w:p>
      <w:pPr>
        <w:pStyle w:val="BodyText2"/>
        <w:numPr>
          <w:ilvl w:val="0"/>
          <w:numId w:val="2"/>
        </w:numPr>
        <w:tabs>
          <w:tab w:val="clear" w:pos="720"/>
          <w:tab w:val="left" w:pos="1080" w:leader="none"/>
          <w:tab w:val="left" w:pos="1140" w:leader="none"/>
        </w:tabs>
        <w:spacing w:lineRule="auto" w:line="240"/>
        <w:ind w:hanging="360" w:start="1080" w:end="1080"/>
        <w:rPr>
          <w:b/>
        </w:rPr>
      </w:pPr>
      <w:r>
        <w:rPr/>
        <w:t>Through December 31, 2003 incremental capital expenditures for SONGS 2 and 3 will be recovered through the ICIP mechanism.  All reasonable and prudent incremental capital investments for SONGS 2 and 3 put into service after December 31, 2003, including income taxes and a full return on investment, will be recovered in rates from the time they are placed in service, and such incremental investment will be depreciated over the expected remaining useful life of the plant in question, which will be determined by the remaining term of the applicable license for each plant, granted to Utility by the Nuclear Regulatory Commission (“</w:t>
      </w:r>
      <w:r>
        <w:rPr>
          <w:i/>
        </w:rPr>
        <w:t>NRC</w:t>
      </w:r>
      <w:r>
        <w:rPr/>
        <w:t>”), as such licenses may be extended by the NRC.</w:t>
      </w:r>
    </w:p>
    <w:p>
      <w:pPr>
        <w:pStyle w:val="BodyText2"/>
        <w:tabs>
          <w:tab w:val="clear" w:pos="720"/>
          <w:tab w:val="left" w:pos="1140" w:leader="none"/>
        </w:tabs>
        <w:spacing w:lineRule="auto" w:line="240"/>
        <w:ind w:end="1080"/>
        <w:rPr>
          <w:b/>
        </w:rPr>
      </w:pPr>
      <w:r>
        <w:rPr>
          <w:b/>
        </w:rPr>
      </w:r>
    </w:p>
    <w:p>
      <w:pPr>
        <w:pStyle w:val="BodyText2"/>
        <w:numPr>
          <w:ilvl w:val="0"/>
          <w:numId w:val="2"/>
        </w:numPr>
        <w:tabs>
          <w:tab w:val="clear" w:pos="720"/>
          <w:tab w:val="left" w:pos="1080" w:leader="none"/>
          <w:tab w:val="left" w:pos="1140" w:leader="none"/>
        </w:tabs>
        <w:spacing w:lineRule="auto" w:line="240"/>
        <w:ind w:hanging="360" w:start="1080" w:end="1080"/>
        <w:rPr>
          <w:b/>
        </w:rPr>
      </w:pPr>
      <w:r>
        <w:rPr/>
        <w:t>Prior to January 1, 2002, Utility shall not recover or seek to recover any portion of ERCRSA to be credited as the SONGS equalization amount, unless the CPUC shall disapprove the proposed CPUC Implementing Decision for SONGS 2 and 3 described in this Section 3.</w:t>
      </w:r>
    </w:p>
    <w:p>
      <w:pPr>
        <w:pStyle w:val="BodyText2"/>
        <w:tabs>
          <w:tab w:val="clear" w:pos="720"/>
          <w:tab w:val="left" w:pos="1140" w:leader="none"/>
        </w:tabs>
        <w:spacing w:lineRule="auto" w:line="240"/>
        <w:ind w:end="1080"/>
        <w:rPr>
          <w:b/>
        </w:rPr>
      </w:pPr>
      <w:r>
        <w:rPr>
          <w:b/>
        </w:rPr>
      </w:r>
    </w:p>
    <w:p>
      <w:pPr>
        <w:pStyle w:val="BodyText2"/>
        <w:tabs>
          <w:tab w:val="left" w:pos="720" w:leader="none"/>
        </w:tabs>
        <w:spacing w:lineRule="auto" w:line="240"/>
        <w:ind w:start="720" w:end="1080"/>
        <w:rPr/>
      </w:pPr>
      <w:r>
        <w:rPr/>
        <w:t>The DWR/SDG&amp;E MOU (at p. 6) further provides that:</w:t>
      </w:r>
    </w:p>
    <w:p>
      <w:pPr>
        <w:pStyle w:val="BodyText2"/>
        <w:tabs>
          <w:tab w:val="clear" w:pos="720"/>
          <w:tab w:val="left" w:pos="1140" w:leader="none"/>
        </w:tabs>
        <w:spacing w:lineRule="auto" w:line="240"/>
        <w:ind w:start="1080" w:end="1080"/>
        <w:rPr/>
      </w:pPr>
      <w:r>
        <w:rPr/>
      </w:r>
    </w:p>
    <w:p>
      <w:pPr>
        <w:pStyle w:val="BodyText2"/>
        <w:tabs>
          <w:tab w:val="left" w:pos="720" w:leader="none"/>
        </w:tabs>
        <w:spacing w:lineRule="auto" w:line="240"/>
        <w:ind w:start="720" w:end="1080"/>
        <w:rPr/>
      </w:pPr>
      <w:r>
        <w:rPr>
          <w:b/>
        </w:rPr>
        <w:tab/>
      </w:r>
      <w:r>
        <w:rPr/>
        <w:t>Under current CPUC decisions, net revenues from SONGS 2 and 3 after 2003 are subject to a sharing mechanism whereby profits (as defined) are shared equally between shareholders and customers.  The foregoing CPUC Implementing Decision shall provide that such sharing mechanism, and all associated provisions for transfer of post-ICIP cost responsibility to Utility, will be eliminated after December 31, 2003 and through December 31, 2010.</w:t>
      </w:r>
      <w:r>
        <w:rPr>
          <w:rStyle w:val="FootnoteCharacters"/>
          <w:rStyle w:val="FootnoteReference"/>
        </w:rPr>
        <w:footnoteReference w:id="7"/>
      </w:r>
    </w:p>
    <w:p>
      <w:pPr>
        <w:pStyle w:val="BodyText2"/>
        <w:tabs>
          <w:tab w:val="left" w:pos="720" w:leader="none"/>
        </w:tabs>
        <w:spacing w:lineRule="auto" w:line="240"/>
        <w:ind w:start="720" w:end="1080"/>
        <w:rPr/>
      </w:pPr>
      <w:r>
        <w:rPr/>
      </w:r>
    </w:p>
    <w:p>
      <w:pPr>
        <w:pStyle w:val="BodyText2"/>
        <w:tabs>
          <w:tab w:val="clear" w:pos="720"/>
          <w:tab w:val="left" w:pos="0" w:leader="none"/>
        </w:tabs>
        <w:spacing w:lineRule="auto" w:line="240"/>
        <w:ind w:end="360"/>
        <w:jc w:val="center"/>
        <w:rPr>
          <w:b/>
        </w:rPr>
      </w:pPr>
      <w:r>
        <w:rPr>
          <w:b/>
        </w:rPr>
        <w:t>III.</w:t>
      </w:r>
    </w:p>
    <w:p>
      <w:pPr>
        <w:pStyle w:val="BodyText2"/>
        <w:tabs>
          <w:tab w:val="clear" w:pos="720"/>
          <w:tab w:val="left" w:pos="0" w:leader="none"/>
        </w:tabs>
        <w:spacing w:lineRule="auto" w:line="240"/>
        <w:ind w:end="360"/>
        <w:jc w:val="center"/>
        <w:rPr>
          <w:b/>
        </w:rPr>
      </w:pPr>
      <w:r>
        <w:rPr>
          <w:b/>
        </w:rPr>
      </w:r>
    </w:p>
    <w:p>
      <w:pPr>
        <w:pStyle w:val="BodyText2"/>
        <w:tabs>
          <w:tab w:val="clear" w:pos="720"/>
          <w:tab w:val="left" w:pos="0" w:leader="none"/>
        </w:tabs>
        <w:spacing w:lineRule="auto" w:line="240"/>
        <w:ind w:end="360"/>
        <w:jc w:val="center"/>
        <w:rPr>
          <w:b/>
        </w:rPr>
      </w:pPr>
      <w:r>
        <w:rPr>
          <w:b/>
        </w:rPr>
        <w:t>THE SONGS TERMS IN THE DWR/SDG&amp;E MOU ARE REASONABLE IN AND OF THEMSELVES AND AS PART OF THE BROADER STATE PLAN TO PROVIDE SDG&amp;E’S CUSTOMERS WITH AFFORDABLE AND RELIABLE ELECTRICITY AND TO ELIMINATE SDG&amp;E’S A.B. 265 UNDERCOLLECTION BALANCING ACCOUNT</w:t>
      </w:r>
    </w:p>
    <w:p>
      <w:pPr>
        <w:pStyle w:val="BodyText2"/>
        <w:tabs>
          <w:tab w:val="clear" w:pos="720"/>
          <w:tab w:val="left" w:pos="0" w:leader="none"/>
        </w:tabs>
        <w:spacing w:lineRule="auto" w:line="240"/>
        <w:ind w:end="360"/>
        <w:jc w:val="center"/>
        <w:rPr>
          <w:b/>
        </w:rPr>
      </w:pPr>
      <w:r>
        <w:rPr>
          <w:b/>
        </w:rPr>
      </w:r>
    </w:p>
    <w:p>
      <w:pPr>
        <w:pStyle w:val="BodyText2"/>
        <w:tabs>
          <w:tab w:val="clear" w:pos="720"/>
          <w:tab w:val="left" w:pos="0" w:leader="none"/>
        </w:tabs>
        <w:ind w:end="360"/>
        <w:rPr/>
      </w:pPr>
      <w:r>
        <w:rPr/>
        <w:tab/>
        <w:t xml:space="preserve">The SONGS terms in the DWR/SDG&amp;E MOU described above are reasonable in and of themselves and as part of the broader state plan to provide SDG&amp;E’s customers with affordable and reliable electricity and to eliminate the estimated $750 million A.B. 265 undercollection balancing account without increasing base electric rates.  In this section, SDG&amp;E first summarizes the significant benefits the SONGS terms in the DWR/SDG&amp;E MOU provide SDG&amp;E’s customers (Subsection “A”).  SDG&amp;E then identifies the modifications to D.96-04-059 necessary to implement the SONGS terms in the DWR/SDG&amp;E MOU (Subsection “B”). </w:t>
      </w:r>
    </w:p>
    <w:p>
      <w:pPr>
        <w:pStyle w:val="BodyText2"/>
        <w:tabs>
          <w:tab w:val="left" w:pos="720" w:leader="none"/>
        </w:tabs>
        <w:spacing w:lineRule="auto" w:line="240"/>
        <w:ind w:hanging="720" w:start="720" w:end="360"/>
        <w:rPr>
          <w:b/>
        </w:rPr>
      </w:pPr>
      <w:r>
        <w:rPr>
          <w:b/>
        </w:rPr>
        <w:t>A.</w:t>
        <w:tab/>
        <w:t>THE DWR/SDG&amp;E MOU WILL PROVIDE SUBSTANTIAL BENEFITS TO SDG&amp;E’S CUSTOMERS.</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Commission adoption of the CPUC Implementing Decisions identified in the DWR/SDG&amp;E MOU, and in particular a decision approving this petition for modification, will provide substantial benefits to SDG&amp;E’s customers.  First, SDG&amp;E’s customers gain a significant and long-term commitment from SDG&amp;E to devote SONGS 2 and 3 and its other utility-retained generation (“URG”) to the benefit of SDG&amp;E’s bundled service customers.</w:t>
      </w:r>
      <w:r>
        <w:rPr>
          <w:rStyle w:val="FootnoteCharacters"/>
          <w:rStyle w:val="FootnoteReference"/>
        </w:rPr>
        <w:footnoteReference w:id="8"/>
      </w:r>
      <w:r>
        <w:rPr/>
        <w:t xml:space="preserve">  This provides a significant benefit for SDG&amp;E’s customers because D.96-04-059 currently authorizes SDG&amp;E, after December 31, 2003, to sell power from SONGS 2 and 3 to non-CPUC jurisdictional customers.</w:t>
      </w:r>
      <w:r>
        <w:rPr>
          <w:rStyle w:val="FootnoteCharacters"/>
          <w:rStyle w:val="FootnoteReference"/>
        </w:rPr>
        <w:footnoteReference w:id="9"/>
      </w:r>
      <w:r>
        <w:rPr/>
        <w:t xml:space="preserve">  SDG&amp;E’s commitment in the DWR/SDG&amp;E MOU to devote SONGS 2 and 3 and its other URG to SDG&amp;E’s bundled service customers also benefits customers by not forcing them to rely on third-party generators over whom the Commission exercises no oversight, control or jurisdiction.  Moreover, SDG&amp;E commits in the DWR/SDG&amp;E MOU (at p. 4) to retain its ownership of SONGS through 2010.   </w:t>
      </w:r>
    </w:p>
    <w:p>
      <w:pPr>
        <w:pStyle w:val="BodyText2"/>
        <w:tabs>
          <w:tab w:val="clear" w:pos="720"/>
          <w:tab w:val="left" w:pos="0" w:leader="none"/>
        </w:tabs>
        <w:ind w:end="360"/>
        <w:rPr/>
      </w:pPr>
      <w:r>
        <w:rPr/>
        <w:tab/>
        <w:t>Second, SDG&amp;E’s customers benefit from Commission adoption of the DWR/SDG&amp;E MOU because they will have access to SONGS 2 and 3 generation and SDG&amp;E’s other URG through cost-based rates, not through market-based rates.</w:t>
      </w:r>
      <w:r>
        <w:rPr>
          <w:rStyle w:val="FootnoteCharacters"/>
          <w:rStyle w:val="FootnoteReference"/>
        </w:rPr>
        <w:footnoteReference w:id="10"/>
      </w:r>
      <w:r>
        <w:rPr/>
        <w:t xml:space="preserve">  In this respect, SDG&amp;E will be waiving its rights to the post-2003 profits of SONGS 2 and 3 operations it would have been entitled to under D.96-04-059, assuming the DWR/SDG&amp;E MOU is adopted.</w:t>
      </w:r>
      <w:r>
        <w:rPr>
          <w:rStyle w:val="FootnoteCharacters"/>
          <w:rStyle w:val="FootnoteReference"/>
        </w:rPr>
        <w:footnoteReference w:id="11"/>
      </w:r>
      <w:r>
        <w:rPr/>
        <w:t xml:space="preserve">  This waiver represents a significant benefit to SDG&amp;E’s customers and a significant concession by SDG&amp;E’s shareholders because the output from SONGS 2 and 3 will be committed to SDG&amp;E’s bundled service customers under costs that are controlled by the Commission via cost-of-service ratemaking provisions and it is highly likely that cost-based rates will be significantly less than the market-based rates SDG&amp;E would otherwise have had the right to charge customers.</w:t>
      </w:r>
      <w:r>
        <w:rPr>
          <w:rStyle w:val="FootnoteCharacters"/>
          <w:rStyle w:val="FootnoteReference"/>
        </w:rPr>
        <w:footnoteReference w:id="12"/>
      </w:r>
      <w:r>
        <w:rPr/>
        <w:t xml:space="preserve">        </w:t>
      </w:r>
    </w:p>
    <w:p>
      <w:pPr>
        <w:pStyle w:val="BodyText2"/>
        <w:tabs>
          <w:tab w:val="clear" w:pos="720"/>
          <w:tab w:val="left" w:pos="0" w:leader="none"/>
        </w:tabs>
        <w:ind w:end="360"/>
        <w:rPr/>
      </w:pPr>
      <w:r>
        <w:rPr/>
        <w:tab/>
        <w:t xml:space="preserve">Third, SDG&amp;E’s customers will benefit generally from Commission adoption of the various SONGS terms proposed in the DWR/SDG&amp;E MOU because that adoption will satisfy one of the CPUC Implementing Decisions to eliminate SDG&amp;E’s estimated $750 million A.B. 265 undercollection balancing account (also referred to as the ERCRSA) – which SDG&amp;E would otherwise have a legal right to recover, subject to a Commission reasonableness review -- </w:t>
      </w:r>
      <w:r>
        <w:rPr>
          <w:u w:val="single"/>
        </w:rPr>
        <w:t>without</w:t>
      </w:r>
      <w:r>
        <w:rPr/>
        <w:t xml:space="preserve"> increasing base electric rates.</w:t>
      </w:r>
      <w:r>
        <w:rPr>
          <w:rStyle w:val="FootnoteCharacters"/>
          <w:rStyle w:val="FootnoteReference"/>
        </w:rPr>
        <w:footnoteReference w:id="13"/>
      </w:r>
      <w:r>
        <w:rPr/>
        <w:t xml:space="preserve">  In particular, adoption of SDG&amp;E’s petition for modification of D.96-04-059 will result in a reduction of $146 million of the $750 million account.</w:t>
      </w:r>
      <w:r>
        <w:rPr>
          <w:rStyle w:val="FootnoteCharacters"/>
          <w:rStyle w:val="FootnoteReference"/>
        </w:rPr>
        <w:footnoteReference w:id="14"/>
      </w:r>
      <w:r>
        <w:rPr/>
        <w:t xml:space="preserve">  Adoption of other CPUC Implementing Decisions in the DWR/SDG&amp;E MOU will result in other reductions and write-offs that contribute to the overall elimination of the A.B. 265 undercollection balancing account.</w:t>
      </w:r>
      <w:r>
        <w:rPr>
          <w:rStyle w:val="FootnoteCharacters"/>
          <w:rStyle w:val="FootnoteReference"/>
        </w:rPr>
        <w:footnoteReference w:id="15"/>
      </w:r>
      <w:r>
        <w:rPr/>
        <w:t xml:space="preserve">  </w:t>
      </w:r>
    </w:p>
    <w:p>
      <w:pPr>
        <w:pStyle w:val="BodyText2"/>
        <w:tabs>
          <w:tab w:val="clear" w:pos="720"/>
          <w:tab w:val="left" w:pos="0" w:leader="none"/>
        </w:tabs>
        <w:ind w:end="360"/>
        <w:rPr/>
      </w:pPr>
      <w:r>
        <w:rPr/>
        <w:tab/>
        <w:t>In summary, adoption of SDG&amp;E’s petition for modification of D.96-04-059 will provide significant benefits to SDG&amp;E’s customers.  SDG&amp;E’s petition for modification of D.96-04-059 is reasonable, in the public interest and should be adopted.</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left" w:pos="720" w:leader="none"/>
        </w:tabs>
        <w:spacing w:lineRule="auto" w:line="240"/>
        <w:ind w:hanging="720" w:start="720" w:end="360"/>
        <w:rPr>
          <w:b/>
        </w:rPr>
      </w:pPr>
      <w:r>
        <w:rPr>
          <w:b/>
        </w:rPr>
        <w:t>B.</w:t>
        <w:tab/>
        <w:t>THE COMMISSION SHOULD ADOPT SDG&amp;E’S PROPOSED MODIFICATIONS TO D.96-04-059 TO IMPLEMENT THE SONGS TERMS OF THE DWR/SDG&amp;E MOU.</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In order to implement the SONGS terms of the DWR/SDG&amp;E MOU, SDG&amp;E respectfully requests that the Commission modify D.96-04-059 as set forth below.</w:t>
      </w:r>
    </w:p>
    <w:p>
      <w:pPr>
        <w:pStyle w:val="BodyText2"/>
        <w:tabs>
          <w:tab w:val="left" w:pos="720" w:leader="none"/>
        </w:tabs>
        <w:spacing w:lineRule="auto" w:line="240"/>
        <w:ind w:hanging="1440" w:start="1440" w:end="360"/>
        <w:rPr>
          <w:b/>
        </w:rPr>
      </w:pPr>
      <w:r>
        <w:rPr>
          <w:b/>
        </w:rPr>
        <w:tab/>
        <w:t>1.</w:t>
        <w:tab/>
        <w:t>No Modifications Are Required to Continue ICIP Through the End of the Statutory Period (December 31, 2003).</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 xml:space="preserve">The DWR/SDG&amp;E MOU (at pp. 5-6) provides for the continuation of the Incremental Cost Incentive Pricing (“ICIP”) mechanism that the Commission adopted in D.96-04-059 and the Legislature approved in P.U.Code Section 367(a)(4) through the end of the statutory period, December 31, 2003.  The continuation of ICIP through December 31, 2003 requires no modifications to D.96-04-059.  This is consistent with the approach the Commission took in D.01-06-041 (at p. 6). </w:t>
      </w:r>
    </w:p>
    <w:p>
      <w:pPr>
        <w:pStyle w:val="BodyText2"/>
        <w:tabs>
          <w:tab w:val="left" w:pos="720" w:leader="none"/>
        </w:tabs>
        <w:spacing w:lineRule="auto" w:line="240"/>
        <w:ind w:hanging="1440" w:start="1440" w:end="360"/>
        <w:rPr/>
      </w:pPr>
      <w:r>
        <w:rPr/>
        <w:tab/>
      </w:r>
      <w:r>
        <w:rPr>
          <w:b/>
        </w:rPr>
        <w:t>2.</w:t>
        <w:tab/>
        <w:t xml:space="preserve">The Commission Should Modify D.96-04-059 to Reflect SDG&amp;E’s Commitment in the DWR/SDG&amp;E MOU to Devote SONGS 2 and 3 to the Benefit of SDG&amp;E’s Bundled Service Customers. </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In order to reflect SDG&amp;E’s commitment in the DWR/SDG&amp;E MOU to devote SONGS 2 and 3 to the benefit of SDG&amp;E’s bundled service customers for the period January 1, 2004 through December 31, 2010 (as described above), SDG&amp;E proposes the addition of new Conclusion of Law 20, as set forth in Appendix A.</w:t>
      </w:r>
    </w:p>
    <w:p>
      <w:pPr>
        <w:pStyle w:val="BodyText2"/>
        <w:tabs>
          <w:tab w:val="clear" w:pos="720"/>
          <w:tab w:val="left" w:pos="0" w:leader="none"/>
        </w:tabs>
        <w:spacing w:lineRule="auto" w:line="240"/>
        <w:ind w:hanging="720" w:start="1440" w:end="360"/>
        <w:rPr>
          <w:b/>
        </w:rPr>
      </w:pPr>
      <w:r>
        <w:rPr>
          <w:b/>
        </w:rPr>
        <w:t>3.</w:t>
        <w:tab/>
        <w:t xml:space="preserve">The Commission Should Modify D.96-04-059 to Reflect SDG&amp;E’s Agreement in the DWR/SDG&amp;E MOU to Return SONGS 2 and 3 to Cost-Based Ratemaking from January 1, 2004 Through December 31, 2010. </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 xml:space="preserve">In order to reflect SDG&amp;E’s agreement in the DWR/SDG&amp;E MOU to return SONGS 2 and 3 to cost-based ratemaking from January 1, 2004 (after the expiration of the ICIP period) through December 31, 2010, SDG&amp;E proposes the addition of new Conclusions of Law 21, 22, 23, and 24, as set forth in Appendix A. </w:t>
      </w:r>
    </w:p>
    <w:p>
      <w:pPr>
        <w:pStyle w:val="BodyText2"/>
        <w:tabs>
          <w:tab w:val="clear" w:pos="720"/>
          <w:tab w:val="left" w:pos="0" w:leader="none"/>
        </w:tabs>
        <w:spacing w:lineRule="auto" w:line="240"/>
        <w:ind w:hanging="720" w:start="1440" w:end="360"/>
        <w:rPr>
          <w:b/>
        </w:rPr>
      </w:pPr>
      <w:r>
        <w:rPr>
          <w:b/>
        </w:rPr>
        <w:t>4.</w:t>
        <w:tab/>
        <w:t>The Commission Should Modify D.96-04-059 to Reduce the A.B.</w:t>
      </w:r>
    </w:p>
    <w:p>
      <w:pPr>
        <w:pStyle w:val="BodyText2"/>
        <w:tabs>
          <w:tab w:val="clear" w:pos="720"/>
          <w:tab w:val="left" w:pos="0" w:leader="none"/>
        </w:tabs>
        <w:spacing w:lineRule="auto" w:line="240"/>
        <w:ind w:hanging="720" w:start="1440" w:end="360"/>
        <w:rPr>
          <w:b/>
        </w:rPr>
      </w:pPr>
      <w:r>
        <w:rPr>
          <w:b/>
        </w:rPr>
        <w:tab/>
        <w:t>265 Undercollection Balancing Account and to Establish the SONGS Equalization Adjustment.</w:t>
      </w:r>
    </w:p>
    <w:p>
      <w:pPr>
        <w:pStyle w:val="BodyText2"/>
        <w:tabs>
          <w:tab w:val="clear" w:pos="720"/>
          <w:tab w:val="left" w:pos="0" w:leader="none"/>
        </w:tabs>
        <w:spacing w:lineRule="auto" w:line="240"/>
        <w:ind w:end="360"/>
        <w:rPr>
          <w:b/>
        </w:rPr>
      </w:pPr>
      <w:r>
        <w:rPr>
          <w:b/>
        </w:rPr>
      </w:r>
    </w:p>
    <w:p>
      <w:pPr>
        <w:pStyle w:val="BodyText2"/>
        <w:tabs>
          <w:tab w:val="clear" w:pos="720"/>
          <w:tab w:val="left" w:pos="0" w:leader="none"/>
        </w:tabs>
        <w:ind w:end="360"/>
        <w:rPr/>
      </w:pPr>
      <w:r>
        <w:rPr>
          <w:b/>
        </w:rPr>
        <w:tab/>
      </w:r>
      <w:r>
        <w:rPr/>
        <w:t xml:space="preserve">In order to reflect the $146 million reduction in the A.B. 265 undercollection balancing account and the establishment of the $133 million SONGS equalization adjustment discussed above and agreed to in the DWR/SDG&amp;E MOU, SDG&amp;E proposes the addition of new Conclusion of Law 26, as set forth in Appendix A.  </w:t>
      </w:r>
      <w:r>
        <w:rPr>
          <w:b/>
        </w:rPr>
        <w:t xml:space="preserve">  </w:t>
      </w:r>
      <w:r>
        <w:rPr/>
        <w:t xml:space="preserve">  </w:t>
      </w:r>
    </w:p>
    <w:p>
      <w:pPr>
        <w:pStyle w:val="BodyText2"/>
        <w:tabs>
          <w:tab w:val="clear" w:pos="720"/>
          <w:tab w:val="left" w:pos="0" w:leader="none"/>
        </w:tabs>
        <w:ind w:end="360"/>
        <w:jc w:val="center"/>
        <w:rPr>
          <w:b/>
        </w:rPr>
      </w:pPr>
      <w:r>
        <w:rPr>
          <w:b/>
        </w:rPr>
        <w:t>IV.</w:t>
      </w:r>
    </w:p>
    <w:p>
      <w:pPr>
        <w:pStyle w:val="BodyText2"/>
        <w:tabs>
          <w:tab w:val="clear" w:pos="720"/>
          <w:tab w:val="left" w:pos="0" w:leader="none"/>
        </w:tabs>
        <w:spacing w:lineRule="auto" w:line="240"/>
        <w:ind w:end="360"/>
        <w:jc w:val="center"/>
        <w:rPr>
          <w:b/>
        </w:rPr>
      </w:pPr>
      <w:r>
        <w:rPr>
          <w:b/>
        </w:rPr>
        <w:t>SDG&amp;E RESPECTFULLY REQUESTS THAT THE COMMISSION EXPEDITIOUSLY PROCESS ITS PETITION FOR MODIFICATION AND ISSUE AN ORDER SHORTENING THE TIME FOR RESPONSES</w:t>
      </w:r>
    </w:p>
    <w:p>
      <w:pPr>
        <w:pStyle w:val="BodyText2"/>
        <w:tabs>
          <w:tab w:val="clear" w:pos="720"/>
          <w:tab w:val="left" w:pos="0" w:leader="none"/>
        </w:tabs>
        <w:spacing w:lineRule="auto" w:line="240"/>
        <w:ind w:end="360"/>
        <w:jc w:val="center"/>
        <w:rPr>
          <w:b/>
        </w:rPr>
      </w:pPr>
      <w:r>
        <w:rPr>
          <w:b/>
        </w:rPr>
      </w:r>
    </w:p>
    <w:p>
      <w:pPr>
        <w:pStyle w:val="BodyText2"/>
        <w:tabs>
          <w:tab w:val="clear" w:pos="720"/>
          <w:tab w:val="left" w:pos="0" w:leader="none"/>
        </w:tabs>
        <w:ind w:end="360"/>
        <w:rPr/>
      </w:pPr>
      <w:r>
        <w:rPr/>
        <w:tab/>
        <w:t>Because one of the purposes of the DWR/SDG&amp;E MOU (at p. 1) is to “timely” implement its provisions, SDG&amp;E respectfully requests that the Commission expeditiously process this petition.  SDG&amp;E also requests that the Assigned Administrative Law Judge (“ALJ”) or the Assigned Commissioner issue a ruling pursuant to Commission Rule 47(f) shortening time for filing and serving responses to this petition to 15 days after the date the petition is served instead of the normal 30 days.  This petition is one of several pleadings filed concurrently with the Commission in order to allow the Commission to consider adopting the CPUC Implementing Decisions as proposed in the DWR/SDG&amp;E MOU.  Most of the other pleadings are motions, which under Rule 45(f) require responses within 15 days after service.</w:t>
      </w:r>
    </w:p>
    <w:p>
      <w:pPr>
        <w:pStyle w:val="BodyText2"/>
        <w:tabs>
          <w:tab w:val="clear" w:pos="720"/>
          <w:tab w:val="left" w:pos="0" w:leader="none"/>
        </w:tabs>
        <w:ind w:end="360"/>
        <w:rPr/>
      </w:pPr>
      <w:r>
        <w:rPr/>
        <w:tab/>
        <w:t xml:space="preserve">There is a narrow window of time set forth in the DWR/SDG&amp;E MOU for the Commission to act to consider adopting all the CPUC Implementing Decisions.  The Commission, if it desires to act to approve the requests in this petition, will need time to prepare and issue a proposed decision, and will need to allow adequate time for parties to comment on the proposed decision.  In order that the Commission may begin consideration of the issues raised in this petition expeditiously, it is reasonable to shorten from 30 to 15 days the response time to this petition.  This time period still allows over two weeks for interested parties to prepare and file their comments and is consistent with the period of time allowed for comments on other pleadings SDG&amp;E is filing today related to the CPUC Implementing Decisions.  Therefore, no parties will be prejudiced by this request.  Pursuant to Commission Rule 47(g), SDG&amp;E also requests an opportunity to submit a reply to parties’ responses seven (7) days after they are filed (reduced from 10 days). </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rPr/>
      </w:pPr>
      <w:r>
        <w:rPr/>
        <w:t>//</w:t>
      </w:r>
    </w:p>
    <w:p>
      <w:pPr>
        <w:pStyle w:val="BodyText2"/>
        <w:tabs>
          <w:tab w:val="clear" w:pos="720"/>
          <w:tab w:val="left" w:pos="0" w:leader="none"/>
        </w:tabs>
        <w:ind w:end="360"/>
        <w:jc w:val="center"/>
        <w:rPr>
          <w:b/>
        </w:rPr>
      </w:pPr>
      <w:r>
        <w:rPr>
          <w:b/>
        </w:rPr>
        <w:t>V.</w:t>
      </w:r>
    </w:p>
    <w:p>
      <w:pPr>
        <w:pStyle w:val="BodyText2"/>
        <w:tabs>
          <w:tab w:val="clear" w:pos="720"/>
          <w:tab w:val="left" w:pos="0" w:leader="none"/>
        </w:tabs>
        <w:ind w:end="360"/>
        <w:jc w:val="center"/>
        <w:rPr>
          <w:b/>
        </w:rPr>
      </w:pPr>
      <w:r>
        <w:rPr>
          <w:b/>
        </w:rPr>
        <w:t>CONCLUSION</w:t>
      </w:r>
    </w:p>
    <w:p>
      <w:pPr>
        <w:pStyle w:val="BodyText2"/>
        <w:tabs>
          <w:tab w:val="clear" w:pos="720"/>
          <w:tab w:val="left" w:pos="0" w:leader="none"/>
        </w:tabs>
        <w:ind w:end="360"/>
        <w:rPr/>
      </w:pPr>
      <w:r>
        <w:rPr/>
        <w:tab/>
        <w:t xml:space="preserve">In conclusion, SDG&amp;E respectfully requests that the Commission approve SDG&amp;E’s proposed modifications to D.96-04-059, as set forth specifically in Appendix A.  SDG&amp;E also requests that the Commission rule on this petition in an expeditious fashion, with 15 days allowed for responses to this petition.  </w:t>
      </w:r>
    </w:p>
    <w:p>
      <w:pPr>
        <w:pStyle w:val="BodyText2"/>
        <w:tabs>
          <w:tab w:val="clear" w:pos="720"/>
          <w:tab w:val="left" w:pos="0" w:leader="none"/>
        </w:tabs>
        <w:ind w:end="360"/>
        <w:rPr/>
      </w:pPr>
      <w:r>
        <w:rPr/>
        <w:tab/>
        <w:tab/>
        <w:tab/>
        <w:tab/>
        <w:tab/>
        <w:t>Respectfully submitted,</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________________________________________</w:t>
      </w:r>
    </w:p>
    <w:p>
      <w:pPr>
        <w:pStyle w:val="Normal"/>
        <w:ind w:start="3600" w:end="0"/>
        <w:rPr>
          <w:sz w:val="24"/>
        </w:rPr>
      </w:pPr>
      <w:r>
        <w:rPr>
          <w:sz w:val="24"/>
        </w:rPr>
        <w:t>Steven C. Nelson</w:t>
      </w:r>
    </w:p>
    <w:p>
      <w:pPr>
        <w:pStyle w:val="Normal"/>
        <w:ind w:start="3600" w:end="0"/>
        <w:rPr>
          <w:sz w:val="24"/>
        </w:rPr>
      </w:pPr>
      <w:r>
        <w:rPr>
          <w:sz w:val="24"/>
        </w:rPr>
        <w:t>Attorney for San Diego Gas &amp; Electric Company</w:t>
      </w:r>
    </w:p>
    <w:p>
      <w:pPr>
        <w:pStyle w:val="Heading1"/>
        <w:ind w:firstLine="720" w:start="2880" w:end="0"/>
        <w:rPr/>
      </w:pPr>
      <w:r>
        <w:rPr/>
        <w:t>101 Ash Street</w:t>
      </w:r>
    </w:p>
    <w:p>
      <w:pPr>
        <w:pStyle w:val="Heading1"/>
        <w:ind w:firstLine="720" w:start="2880" w:end="0"/>
        <w:rPr/>
      </w:pPr>
      <w:r>
        <w:rPr/>
        <w:t xml:space="preserve">San Diego, California 92101-3017 </w:t>
      </w:r>
    </w:p>
    <w:p>
      <w:pPr>
        <w:pStyle w:val="Heading1"/>
        <w:ind w:firstLine="720" w:start="2880" w:end="0"/>
        <w:rPr/>
      </w:pPr>
      <w:r>
        <w:rPr/>
        <w:t>Telephone:  619/699-5136</w:t>
      </w:r>
    </w:p>
    <w:p>
      <w:pPr>
        <w:pStyle w:val="Heading1"/>
        <w:ind w:firstLine="720" w:start="2880" w:end="0"/>
        <w:rPr/>
      </w:pPr>
      <w:r>
        <w:rPr/>
        <w:t>Facsimile:   619/699-5027</w:t>
      </w:r>
    </w:p>
    <w:p>
      <w:pPr>
        <w:pStyle w:val="Normal"/>
        <w:rPr>
          <w:sz w:val="24"/>
        </w:rPr>
      </w:pPr>
      <w:r>
        <w:rPr/>
        <w:tab/>
        <w:tab/>
        <w:tab/>
        <w:tab/>
        <w:tab/>
      </w:r>
      <w:r>
        <w:rPr>
          <w:sz w:val="24"/>
        </w:rPr>
        <w:t xml:space="preserve">E-mail:  </w:t>
      </w:r>
      <w:hyperlink r:id="rId5">
        <w:r>
          <w:rPr>
            <w:rStyle w:val="Hyperlink"/>
            <w:sz w:val="24"/>
          </w:rPr>
          <w:t>snelson@sempra.com</w:t>
        </w:r>
      </w:hyperlink>
    </w:p>
    <w:p>
      <w:pPr>
        <w:pStyle w:val="Normal"/>
        <w:rPr>
          <w:sz w:val="24"/>
        </w:rPr>
      </w:pPr>
      <w:r>
        <w:rPr>
          <w:sz w:val="24"/>
        </w:rPr>
      </w:r>
    </w:p>
    <w:p>
      <w:pPr>
        <w:pStyle w:val="zCaption"/>
        <w:rPr>
          <w:rFonts w:ascii="Times New Roman" w:hAnsi="Times New Roman" w:cs="Times New Roman"/>
        </w:rPr>
      </w:pPr>
      <w:r>
        <w:rPr>
          <w:rFonts w:cs="Times New Roman" w:ascii="Times New Roman" w:hAnsi="Times New Roman"/>
        </w:rPr>
        <w:t>July 16, 2001</w:t>
      </w:r>
    </w:p>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ewCenturySchlbk">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SDG&amp;E’s A.B. 265 undercollection balancing account (estimated at $750 million) also is referred to in this petition and in the DWR/SDG&amp;E MOU as the Energy Rate Ceiling Revenue Shortfall Account (“ERCRSA”).  The ERCRSA is a subaccount of SDG&amp;E’s Transition Cost Balancing Account (“TCBA”).  The A.B. 265 undercollection balancing account (or ERCRSA) represents the difference between the actual wholesale price of electricity that SDG&amp;E has been entitled to collect from customers since June 30, 1999 (when SDG&amp;E’s rate freeze ended per D.99-05-051) and the cap imposed by A.B. 265 of 6.5 cents/kWh for residential and small commercial customers.  SDG&amp;E has a legal right to collect the amount recorded in the A.B. 265 undercollection balancing account (ERCRSA) subject to a Commission reasonableness review (P.U.Code Section 332.1).  However, adoption of the CPUC Implementing Decisions identified in the DWR/SDG&amp;E MOU would eliminate the undercollection.  </w:t>
      </w:r>
    </w:p>
  </w:footnote>
  <w:footnote w:id="3">
    <w:p>
      <w:pPr>
        <w:pStyle w:val="FootnoteText"/>
        <w:rPr/>
      </w:pPr>
      <w:r>
        <w:rPr>
          <w:rStyle w:val="FootnoteCharacters"/>
        </w:rPr>
        <w:footnoteRef/>
      </w:r>
      <w:r>
        <w:rPr/>
        <w:t xml:space="preserve"> </w:t>
      </w:r>
      <w:r>
        <w:rPr/>
        <w:t xml:space="preserve">Commission Rule 47(d) states that “If more than one year has elapsed [from the effective date of the decision proposed to be modified], the petition must also explain why the petition could not have been presented within one year of the effective date of the decision.”  In this instance, SDG&amp;E could not have presented this petition for modification of D.96-04-059 within one year of the effective date of D.96-04-059 because the purpose of this petition for modification is to implement the SONGS-related terms of the DWR/SDG&amp;E MOU, which was not executed until June 18, 2001.     </w:t>
      </w:r>
    </w:p>
  </w:footnote>
  <w:footnote w:id="4">
    <w:p>
      <w:pPr>
        <w:pStyle w:val="FootnoteText"/>
        <w:rPr/>
      </w:pPr>
      <w:r>
        <w:rPr>
          <w:rStyle w:val="FootnoteCharacters"/>
        </w:rPr>
        <w:footnoteRef/>
      </w:r>
      <w:r>
        <w:rPr/>
        <w:t xml:space="preserve"> </w:t>
      </w:r>
      <w:r>
        <w:rPr/>
        <w:t>A copy of the DWR/SDG&amp;E MOU is attached to this petition as Appendix B.</w:t>
      </w:r>
    </w:p>
  </w:footnote>
  <w:footnote w:id="5">
    <w:p>
      <w:pPr>
        <w:pStyle w:val="FootnoteText"/>
        <w:rPr/>
      </w:pPr>
      <w:r>
        <w:rPr>
          <w:rStyle w:val="FootnoteCharacters"/>
        </w:rPr>
        <w:footnoteRef/>
      </w:r>
      <w:r>
        <w:rPr/>
        <w:t xml:space="preserve"> </w:t>
      </w:r>
      <w:r>
        <w:rPr/>
        <w:t xml:space="preserve">The term “ICIP” is an acronym standing for “Incremental Cost Incentive Pricing.”  </w:t>
      </w:r>
    </w:p>
  </w:footnote>
  <w:footnote w:id="6">
    <w:p>
      <w:pPr>
        <w:pStyle w:val="FootnoteText"/>
        <w:rPr/>
      </w:pPr>
      <w:r>
        <w:rPr>
          <w:rStyle w:val="FootnoteCharacters"/>
        </w:rPr>
        <w:footnoteRef/>
      </w:r>
      <w:r>
        <w:rPr/>
        <w:t xml:space="preserve"> </w:t>
      </w:r>
      <w:r>
        <w:rPr/>
        <w:t xml:space="preserve">The DWR/SDG&amp;E MOU (at p. 4) also specifically states that it “does not address any aspects of the status and ratemaking treatment of the URG [utility-retained generation] or the ratemaking treatment therefor </w:t>
      </w:r>
      <w:r>
        <w:rPr>
          <w:u w:val="single"/>
        </w:rPr>
        <w:t>after</w:t>
      </w:r>
      <w:r>
        <w:rPr/>
        <w:t xml:space="preserve"> December 31, 2010, and does not bind any party to any obligation or exempt any party from any requirement in respect thereof.” (emphasis added) </w:t>
      </w:r>
    </w:p>
  </w:footnote>
  <w:footnote w:id="7">
    <w:p>
      <w:pPr>
        <w:pStyle w:val="FootnoteText"/>
        <w:rPr/>
      </w:pPr>
      <w:r>
        <w:rPr>
          <w:rStyle w:val="FootnoteCharacters"/>
        </w:rPr>
        <w:footnoteRef/>
      </w:r>
      <w:r>
        <w:rPr/>
        <w:t xml:space="preserve"> </w:t>
      </w:r>
      <w:r>
        <w:rPr/>
        <w:t>SDG&amp;E is proposing that the Commission address the DWR/SDG&amp;E MOU’s other terms related to SDG&amp;E’s utility-retained generation (“URG”) in Application (“A.”) 00-10-045/A.01-04-044.  (</w:t>
      </w:r>
      <w:r>
        <w:rPr>
          <w:u w:val="single"/>
        </w:rPr>
        <w:t>See</w:t>
      </w:r>
      <w:r>
        <w:rPr/>
        <w:t xml:space="preserve"> DWR/SDG&amp;E MOU at pp. 4-5).  In addition, SDG&amp;E is proposing that the SONGS equalization adjustment be recovered as a component of the URG cost recovery mechanism proposed for adoption in A.00-10-045/A.01-04-044.   </w:t>
      </w:r>
    </w:p>
  </w:footnote>
  <w:footnote w:id="8">
    <w:p>
      <w:pPr>
        <w:pStyle w:val="FootnoteText"/>
        <w:rPr/>
      </w:pPr>
      <w:r>
        <w:rPr>
          <w:rStyle w:val="FootnoteCharacters"/>
        </w:rPr>
        <w:footnoteRef/>
      </w:r>
      <w:r>
        <w:rPr/>
        <w:t xml:space="preserve"> </w:t>
      </w:r>
      <w:r>
        <w:rPr/>
        <w:t>The DWR/SDG&amp;E MOU (at p. 4) states that “Subject to adoption of the CPUC Implementing Decisions that are described in clauses (a), (b), (c) and (d) of Section 11 of this MOU, Utility’s generation assets, including all energy, capacity, ancillary services, and any combination thereof, to which Utility has a contractual right (collectively “</w:t>
      </w:r>
      <w:r>
        <w:rPr>
          <w:i/>
        </w:rPr>
        <w:t>URG</w:t>
      </w:r>
      <w:r>
        <w:rPr/>
        <w:t xml:space="preserve">”), will be committed, to cost-based ratemaking for Utility’s bundled service customers and Utility will not seek authority to sell such assets, through December 31, 2010.  In addition, Utility will operate all URG that is subject to its control in accordance with good utility practices, subject to the further terms hereof.  Utility’s URG includes its interests in Units 2 and 3 of the San Onofre Nuclear Generating Station (“SONGS”).  URG also includes, for their respective terms, power purchase contracts that Utility current has, and other contractual rights that Utility currently has, to purchase energy, capacity, ancillary services and any combination thereof, from other utilities, power suppliers or qualifying facilities.”  For purposes of the DWR/SDG&amp;E MOU, SDG&amp;E’s URG does not include the Intermediate Term Contracts referenced in the DWR/SDG&amp;E MOU, which expire at the end of 2001.   </w:t>
      </w:r>
    </w:p>
  </w:footnote>
  <w:footnote w:id="9">
    <w:p>
      <w:pPr>
        <w:pStyle w:val="FootnoteText"/>
        <w:rPr/>
      </w:pPr>
      <w:r>
        <w:rPr>
          <w:rStyle w:val="FootnoteCharacters"/>
        </w:rPr>
        <w:footnoteRef/>
      </w:r>
      <w:r>
        <w:rPr/>
        <w:t xml:space="preserve"> </w:t>
      </w:r>
      <w:r>
        <w:rPr>
          <w:u w:val="single"/>
        </w:rPr>
        <w:t>See</w:t>
      </w:r>
      <w:r>
        <w:rPr/>
        <w:t xml:space="preserve"> Section 4.5.3 of the February 5, 1996 Joint Response that the Commission adopted in D.96-04-059:  “At the end of the 8-Year Period, there will be no further rights or obligation by SDG&amp;E’s CPUC jurisdictional customers regarding SONGS 2 &amp; 3, except as provided in Sections 4.5.6 and in this section.  SDG&amp;E may sell power generated by SONGS 2 &amp; 3 to any customer or groups of customers, including CPUC jurisdictional customers, under prices, terms and conditions which conform to any then-existing state and/or federal laws or regulatory procedures.”  </w:t>
      </w:r>
    </w:p>
  </w:footnote>
  <w:footnote w:id="10">
    <w:p>
      <w:pPr>
        <w:pStyle w:val="FootnoteText"/>
        <w:rPr/>
      </w:pPr>
      <w:r>
        <w:rPr>
          <w:rStyle w:val="FootnoteCharacters"/>
        </w:rPr>
        <w:footnoteRef/>
      </w:r>
      <w:r>
        <w:rPr/>
        <w:t xml:space="preserve"> </w:t>
      </w:r>
      <w:r>
        <w:rPr>
          <w:u w:val="single"/>
        </w:rPr>
        <w:t>See</w:t>
      </w:r>
      <w:r>
        <w:rPr/>
        <w:t xml:space="preserve"> DWR/SDG&amp;E MOU (at pp. 4-6). </w:t>
      </w:r>
    </w:p>
  </w:footnote>
  <w:footnote w:id="11">
    <w:p>
      <w:pPr>
        <w:pStyle w:val="FootnoteText"/>
        <w:rPr/>
      </w:pPr>
      <w:r>
        <w:rPr>
          <w:rStyle w:val="FootnoteCharacters"/>
        </w:rPr>
        <w:footnoteRef/>
      </w:r>
      <w:r>
        <w:rPr/>
        <w:t xml:space="preserve"> </w:t>
      </w:r>
      <w:r>
        <w:rPr>
          <w:u w:val="single"/>
        </w:rPr>
        <w:t>See</w:t>
      </w:r>
      <w:r>
        <w:rPr/>
        <w:t xml:space="preserve"> Section 4.5.3 of the February 5, 1996 Joint Response that the Commission adopted in D.96-04-059.  As SDG&amp;E stated in its May 18, 2001 response to SCE’s petition for modification of D.96-04-059 (at pp. 3-4), taking away SDG&amp;E’s entitlement to half of the potential future SONGS’ profits without just compensation would violate the Fifth and Fourteenth Amendments to the United States Constitution. </w:t>
      </w:r>
    </w:p>
  </w:footnote>
  <w:footnote w:id="12">
    <w:p>
      <w:pPr>
        <w:pStyle w:val="FootnoteText"/>
        <w:rPr/>
      </w:pPr>
      <w:r>
        <w:rPr>
          <w:rStyle w:val="FootnoteCharacters"/>
        </w:rPr>
        <w:footnoteRef/>
      </w:r>
      <w:r>
        <w:rPr/>
        <w:t xml:space="preserve"> </w:t>
      </w:r>
      <w:r>
        <w:rPr/>
        <w:t xml:space="preserve">It is of course difficult to predict market prices, but in order to understand the magnitude of this concession, based upon the price expectations that were available at the time SDG&amp;E entered into the DWR/SDG&amp;E MOU, SDG&amp;E believes that under this provision of the DWR/SDG&amp;E MOU, SDG&amp;E’s shareholders will be foregoing approximately $100 million in lost profits from January 1, 2004 through December 31, 2010 that SDG&amp;E would have otherwise been entitled to under D.96-04-059.  </w:t>
      </w:r>
    </w:p>
  </w:footnote>
  <w:footnote w:id="13">
    <w:p>
      <w:pPr>
        <w:pStyle w:val="FootnoteText"/>
        <w:rPr/>
      </w:pPr>
      <w:r>
        <w:rPr>
          <w:rStyle w:val="FootnoteCharacters"/>
        </w:rPr>
        <w:footnoteRef/>
      </w:r>
      <w:r>
        <w:rPr/>
        <w:t xml:space="preserve"> </w:t>
      </w:r>
      <w:r>
        <w:rPr/>
        <w:t>The DWR/SDG&amp;E MOU (at p. 3) states that “The Plan is intended to benefit ratepayers by providing for the settlement, disposition and elimination of the balance in Utility’s A.B. 265 undercollection balancing account without increasing base electric rates.”</w:t>
      </w:r>
    </w:p>
  </w:footnote>
  <w:footnote w:id="14">
    <w:p>
      <w:pPr>
        <w:pStyle w:val="FootnoteText"/>
        <w:rPr/>
      </w:pPr>
      <w:r>
        <w:rPr>
          <w:rStyle w:val="FootnoteCharacters"/>
        </w:rPr>
        <w:footnoteRef/>
      </w:r>
      <w:r>
        <w:rPr/>
        <w:t xml:space="preserve"> </w:t>
      </w:r>
      <w:r>
        <w:rPr/>
        <w:t>The DWR/SDG&amp;E MOU (at p. 5) states that “Effective as of January 1, 2002, an amount equal to $133,000,000 (such amount is referred to in this MOU as the “</w:t>
      </w:r>
      <w:r>
        <w:rPr>
          <w:i/>
        </w:rPr>
        <w:t>SONGS equalization adjustment</w:t>
      </w:r>
      <w:r>
        <w:rPr/>
        <w:t xml:space="preserve">”) shall be credited as a regulatory asset in respect of Utility’s interest in SONGS 2 and 3, and depreciated over the period beginning on January 1, 2002 and ending December 31, 2010, and effective on January 1, 2002, the balance in ERCRSA shall be reduced by the sum of $146,000,000 on account thereof.”  SDG&amp;E proposes to include the SONGS equalization adjustment as a component of the URG cost recovery mechanism to be adopted in A.00-10-045/A.01-04-044.     </w:t>
      </w:r>
    </w:p>
  </w:footnote>
  <w:footnote w:id="15">
    <w:p>
      <w:pPr>
        <w:pStyle w:val="FootnoteText"/>
        <w:rPr/>
      </w:pPr>
      <w:r>
        <w:rPr>
          <w:rStyle w:val="FootnoteCharacters"/>
        </w:rPr>
        <w:footnoteRef/>
      </w:r>
      <w:r>
        <w:rPr/>
        <w:t xml:space="preserve"> </w:t>
      </w:r>
      <w:r>
        <w:rPr/>
        <w:t xml:space="preserve">For example, as stated in the DWR/SDG&amp;E MOU (at p. 3), SDG&amp;E has agreed to write-off $100 million as part of the Commission’s reasonableness review conducted pursuant to A.B. 265 and furthermore agreed to write-off $219 million related to SDG&amp;E’s Intermediate Term Contracts, which are the subject of pending litigation against the Commission.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4752" w:end="0"/>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spacing w:lineRule="auto" w:line="480"/>
    </w:pPr>
    <w:rPr>
      <w:sz w:val="24"/>
    </w:rPr>
  </w:style>
  <w:style w:type="paragraph" w:styleId="zCaption">
    <w:name w:val="zCaption"/>
    <w:basedOn w:val="Normal"/>
    <w:qFormat/>
    <w:pPr/>
    <w:rPr>
      <w:rFonts w:ascii="NewCenturySchlbk;Century Schoolbook" w:hAnsi="NewCenturySchlbk;Century Schoolbook" w:cs="NewCenturySchlbk;Century Schoolbook"/>
      <w:sz w:val="24"/>
    </w:rPr>
  </w:style>
  <w:style w:type="paragraph" w:styleId="zAppNo">
    <w:name w:val="zAppNo"/>
    <w:basedOn w:val="Normal"/>
    <w:qFormat/>
    <w:pPr>
      <w:spacing w:lineRule="atLeast" w:line="240" w:before="240" w:after="0"/>
      <w:jc w:val="center"/>
    </w:pPr>
    <w:rPr>
      <w:rFonts w:ascii="NewCenturySchlbk;Century Schoolbook" w:hAnsi="NewCenturySchlbk;Century Schoolbook" w:cs="NewCenturySchlbk;Century Schoolbook"/>
      <w:sz w:val="24"/>
    </w:rPr>
  </w:style>
  <w:style w:type="paragraph" w:styleId="zHeader">
    <w:name w:val="zHeader"/>
    <w:basedOn w:val="Normal"/>
    <w:qFormat/>
    <w:pPr>
      <w:spacing w:lineRule="exact" w:line="480" w:before="0" w:after="480"/>
      <w:jc w:val="center"/>
    </w:pPr>
    <w:rPr>
      <w:rFonts w:ascii="NewCenturySchlbk;Century Schoolbook" w:hAnsi="NewCenturySchlbk;Century Schoolbook" w:cs="NewCenturySchlbk;Century Schoolbook"/>
      <w:b/>
      <w:sz w:val="24"/>
    </w:rPr>
  </w:style>
  <w:style w:type="paragraph" w:styleId="TOC1">
    <w:name w:val="toc 1"/>
    <w:basedOn w:val="Normal"/>
    <w:next w:val="Normal"/>
    <w:pPr>
      <w:spacing w:lineRule="auto" w:line="48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szymanski@sempra.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snelson@sempra.co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2001-07-05T18:59:00Z</dcterms:created>
  <dc:creator>SDGE</dc:creator>
  <dc:description/>
  <dc:language>en-CA</dc:language>
  <cp:lastModifiedBy>SEMPRA ENERGY</cp:lastModifiedBy>
  <cp:lastPrinted>2001-07-16T14:18:00Z</cp:lastPrinted>
  <dcterms:modified xsi:type="dcterms:W3CDTF">2001-07-16T18:49:00Z</dcterms:modified>
  <cp:revision>143</cp:revision>
  <dc:subject/>
  <dc:title>BEFORE THE PUBLIC UTILITIES COMMISSION OF THE</dc:title>
</cp:coreProperties>
</file>