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rPr>
      </w:pPr>
      <w:r>
        <w:rPr>
          <w:b/>
          <w:bCs/>
        </w:rPr>
        <w:t>ENA AND EES REQUEST DOMINION TRANSMISSION, INC. (DTI)</w:t>
      </w:r>
    </w:p>
    <w:p>
      <w:pPr>
        <w:pStyle w:val="BodyText"/>
        <w:rPr/>
      </w:pPr>
      <w:r>
        <w:rPr/>
        <w:t>ENA and EES request Dominion Transmission, Inc. (DTI) provide the following:</w:t>
      </w:r>
    </w:p>
    <w:p>
      <w:pPr>
        <w:pStyle w:val="BodyText"/>
        <w:rPr/>
      </w:pPr>
      <w:r>
        <w:rPr/>
        <w:t>1.</w:t>
        <w:tab/>
        <w:t>Copies of all contracts between DTI and ENA and between DTI and EES.</w:t>
      </w:r>
    </w:p>
    <w:p>
      <w:pPr>
        <w:pStyle w:val="BodyText"/>
        <w:rPr/>
      </w:pPr>
      <w:r>
        <w:rPr/>
        <w:t>2.</w:t>
        <w:tab/>
        <w:t xml:space="preserve">Indicate which contacts between DTI and ENA and between DTI and EES have been terminated and provide supporting documentation.  </w:t>
      </w:r>
    </w:p>
    <w:p>
      <w:pPr>
        <w:pStyle w:val="BodyText"/>
        <w:rPr/>
      </w:pPr>
      <w:r>
        <w:rPr/>
        <w:t>3.</w:t>
        <w:tab/>
        <w:t>Copies of all correspondence regarding contracts between DTI and ENA and DTI and EES for the period beginning September 1, 2001 to present.  In addition, please provide copies of all correspondence from gas producers to DTI regarding ENA and EES contracts for the period 11/1/01 to present.</w:t>
      </w:r>
    </w:p>
    <w:p>
      <w:pPr>
        <w:pStyle w:val="BodyText"/>
        <w:rPr/>
      </w:pPr>
      <w:r>
        <w:rPr/>
        <w:t>5.</w:t>
        <w:tab/>
        <w:t>Copies of all rate schedules related to pooling.</w:t>
      </w:r>
    </w:p>
    <w:p>
      <w:pPr>
        <w:pStyle w:val="BodyText"/>
        <w:rPr/>
      </w:pPr>
      <w:r>
        <w:rPr/>
        <w:t>6.</w:t>
        <w:tab/>
        <w:t>Copies of all allocation statements for ENA pools and EES pools for the period 9/1/01 to present.</w:t>
      </w:r>
    </w:p>
    <w:p>
      <w:pPr>
        <w:pStyle w:val="BodyText"/>
        <w:rPr/>
      </w:pPr>
      <w:r>
        <w:rPr/>
        <w:t>7.</w:t>
        <w:tab/>
        <w:t>Copies of all indemnification letters received from producers.</w:t>
      </w:r>
    </w:p>
    <w:p>
      <w:pPr>
        <w:pStyle w:val="BodyText"/>
        <w:rPr/>
      </w:pPr>
      <w:r>
        <w:rPr/>
        <w:t>8.</w:t>
        <w:tab/>
        <w:t>Using specific contract numbers, describe the process by which direct meter Appalachian Producer gas flows onto DTI’s system, is allocated to an ENA or EES pool, and is transferred either to another pool operator or otherwise moved from a pool on DTI.</w:t>
      </w:r>
    </w:p>
    <w:p>
      <w:pPr>
        <w:pStyle w:val="BodyText"/>
        <w:rPr/>
      </w:pPr>
      <w:r>
        <w:rPr/>
        <w:t>9.</w:t>
        <w:tab/>
        <w:t>State the basis for DTI’s “information and belief” and assertions in Paragraph 2 of DTI’s “Notice of Motion of Dominion Transmission, Inc. for Entry of An Order” filed with the United States Bankruptcy Court, Southern District of New York filed March 12, 2002 (“Motion”).  Provide all supporting documentation.</w:t>
      </w:r>
    </w:p>
    <w:p>
      <w:pPr>
        <w:pStyle w:val="BodyText"/>
        <w:rPr/>
      </w:pPr>
      <w:r>
        <w:rPr/>
        <w:t>10.</w:t>
        <w:tab/>
        <w:t>List by contract number, the “certain transportation and pooling agreements with DTI” described in Paragraph 3 of the Motion.</w:t>
      </w:r>
    </w:p>
    <w:p>
      <w:pPr>
        <w:pStyle w:val="BodyText"/>
        <w:rPr/>
      </w:pPr>
      <w:r>
        <w:rPr/>
        <w:t>11.</w:t>
        <w:tab/>
        <w:t>Identify the specific provisions upon which DTI relies for its assertion in Paragraph 3, “…which expressly provided for the use by EES and ENA or DTI’s pipeline for gas purchased by the Debtors pursuant to the Gas Purchase Agreements.</w:t>
      </w:r>
    </w:p>
    <w:p>
      <w:pPr>
        <w:pStyle w:val="BodyText"/>
        <w:rPr/>
      </w:pPr>
      <w:r>
        <w:rPr/>
        <w:t>12.</w:t>
        <w:tab/>
        <w:t>Identify by contract number the Transportation Agreements which DTI asserts were terminated pre-petition, as asserted in Paragraph 4 of the Motion.</w:t>
      </w:r>
    </w:p>
    <w:p>
      <w:pPr>
        <w:pStyle w:val="BodyText"/>
        <w:rPr/>
      </w:pPr>
      <w:r>
        <w:rPr/>
        <w:t>13.</w:t>
        <w:tab/>
        <w:t>Identify the provisions in the Transportation Agreements which support DTI’s assertion in the second sentence of Paragraph 4.</w:t>
      </w:r>
    </w:p>
    <w:p>
      <w:pPr>
        <w:pStyle w:val="BodyText"/>
        <w:rPr/>
      </w:pPr>
      <w:r>
        <w:rPr/>
        <w:t>14.</w:t>
        <w:tab/>
        <w:t>State the earliest date upon which DTI precluded ENA and ENA from nominating gas on DTI’s pipeline system and whether DTI has permitted ENA and EES to nominate gas since that time.  Please identify the Transportation Agreements under which ENA and EES nominated any gas during the period 11/1/01 to present.</w:t>
      </w:r>
    </w:p>
    <w:p>
      <w:pPr>
        <w:pStyle w:val="BodyText"/>
        <w:rPr/>
      </w:pPr>
      <w:r>
        <w:rPr/>
        <w:t>15.</w:t>
        <w:tab/>
        <w:t>State the basis for DTI’s assertion in the fourth sentence of Paragraph 4.</w:t>
      </w:r>
    </w:p>
    <w:p>
      <w:pPr>
        <w:pStyle w:val="BodyText"/>
        <w:rPr/>
      </w:pPr>
      <w:r>
        <w:rPr/>
        <w:t>16.</w:t>
        <w:tab/>
        <w:t xml:space="preserve">Identify which “gas producers” have continued after the Petition Date to place the natural gas into DTI’s pipeline earmarked for the Debtor’s pools.”  </w:t>
      </w:r>
    </w:p>
    <w:p>
      <w:pPr>
        <w:pStyle w:val="BodyText"/>
        <w:rPr/>
      </w:pPr>
      <w:r>
        <w:rPr/>
        <w:t>17.</w:t>
        <w:tab/>
        <w:t>Identify all pools referred to in the Motion.</w:t>
      </w:r>
    </w:p>
    <w:p>
      <w:pPr>
        <w:pStyle w:val="BodyText"/>
        <w:rPr/>
      </w:pPr>
      <w:r>
        <w:rPr/>
        <w:t>18.</w:t>
        <w:tab/>
        <w:t>Identify the “pool operators who might require the pipeline capacity” as stated in Paragraph 5 and the basis for DTI’s statement in the first sentence of Paragraph 5.</w:t>
      </w:r>
    </w:p>
    <w:p>
      <w:pPr>
        <w:pStyle w:val="BodyText"/>
        <w:rPr/>
      </w:pPr>
      <w:r>
        <w:rPr/>
        <w:t>19.</w:t>
        <w:tab/>
        <w:t>Identify the contract and/or tariff provisions which DTI authorize DTI to charge ENA and EES for “parking charges.”</w:t>
      </w:r>
    </w:p>
    <w:p>
      <w:pPr>
        <w:pStyle w:val="BodyText"/>
        <w:rPr/>
      </w:pPr>
      <w:r>
        <w:rPr/>
        <w:t>20.</w:t>
        <w:tab/>
        <w:t>Provide copies of all Rate Schedule MCS service agreements in effect during the period 9/1/01 to present.</w:t>
      </w:r>
    </w:p>
    <w:p>
      <w:pPr>
        <w:pStyle w:val="BodyText"/>
        <w:rPr/>
      </w:pPr>
      <w:r>
        <w:rPr/>
        <w:t>21.</w:t>
        <w:tab/>
        <w:t>Identify by contract number, the three storage contracts between DTI and EES; provide copies of these contracts.</w:t>
      </w:r>
    </w:p>
    <w:p>
      <w:pPr>
        <w:pStyle w:val="BodyText"/>
        <w:rPr/>
      </w:pPr>
      <w:r>
        <w:rPr/>
        <w:t>22.</w:t>
        <w:tab/>
        <w:t xml:space="preserve">Identify the releasing customer for the two EES storage agreements. </w:t>
      </w:r>
    </w:p>
    <w:p>
      <w:pPr>
        <w:pStyle w:val="BodyText"/>
        <w:rPr/>
      </w:pPr>
      <w:r>
        <w:rPr/>
        <w:t>23.</w:t>
        <w:tab/>
        <w:t>For each day during the period 11/30/01 to present, state whether DTI has been operating its pipeline at full capacity and state the IT volumes flowed.</w:t>
      </w:r>
    </w:p>
    <w:p>
      <w:pPr>
        <w:pStyle w:val="BodyText"/>
        <w:rPr/>
      </w:pPr>
      <w:r>
        <w:rPr/>
        <w:t>24.</w:t>
        <w:tab/>
        <w:t>State the specific dollar amount to which “some of the parking costs” refers in Paragraph 7.</w:t>
      </w:r>
    </w:p>
    <w:p>
      <w:pPr>
        <w:pStyle w:val="BodyText"/>
        <w:rPr/>
      </w:pPr>
      <w:r>
        <w:rPr/>
        <w:t>25.</w:t>
        <w:tab/>
        <w:t>If the gas currently allocated to ENA and EES pools is transferred to alternate pool operators, upon what date would such a transfer become effective?</w:t>
      </w:r>
    </w:p>
    <w:p>
      <w:pPr>
        <w:pStyle w:val="BodyText"/>
        <w:rPr/>
      </w:pPr>
      <w:r>
        <w:rPr/>
        <w:t>26.</w:t>
        <w:tab/>
        <w:t>Does DTI intend to charge ENA and EES or the transferee pool operator for charges  associated with moving the gas from the ENA and EES pools?</w:t>
      </w:r>
    </w:p>
    <w:p>
      <w:pPr>
        <w:pStyle w:val="BodyText"/>
        <w:rPr/>
      </w:pPr>
      <w:r>
        <w:rPr/>
        <w:t>27.</w:t>
        <w:tab/>
        <w:t>State the specific provisions upon which DTI relies for its assertion in the third sentence of Paragraph 10 that “the gas producers are compelled to continue placing gas into the pipeline…”</w:t>
      </w:r>
    </w:p>
    <w:p>
      <w:pPr>
        <w:pStyle w:val="BodyText"/>
        <w:rPr/>
      </w:pPr>
      <w:r>
        <w:rPr/>
        <w:t>28.</w:t>
        <w:tab/>
        <w:t>Explain the basis for DTI’s implication that the ENA and EES gas on DTI’s system facilitates ENA’s and EES’ efforts to rehabilitate its business for the benefit of the estate’s creditors as set forth in Paragraph 15.</w:t>
      </w:r>
    </w:p>
    <w:p>
      <w:pPr>
        <w:pStyle w:val="BodyText"/>
        <w:rPr/>
      </w:pPr>
      <w:r>
        <w:rPr/>
        <w:t>29.</w:t>
        <w:tab/>
        <w:t>Identify the tariff and/or contract provision which prohibits a gas producer from informing DTI of its transfer to a pool operator other than ENA or EES, without the written consent of ENA and EES.</w:t>
      </w:r>
    </w:p>
    <w:p>
      <w:pPr>
        <w:pStyle w:val="BodyText"/>
        <w:rPr/>
      </w:pPr>
      <w:r>
        <w:rPr/>
        <w:t>30.</w:t>
        <w:tab/>
        <w:t>Identify all producers which have transferred their gas from an ENA or EES pool to another pool and the date of transfer, during the period 11/101-present.</w:t>
      </w:r>
    </w:p>
    <w:p>
      <w:pPr>
        <w:pStyle w:val="BodyText"/>
        <w:spacing w:before="0" w:after="240"/>
        <w:jc w:val="both"/>
        <w:rPr/>
      </w:pPr>
      <w:r>
        <w:rPr/>
        <w:t>32.</w:t>
        <w:tab/>
        <w:t>For the period 11/1/01 to present provide all allocation statements, including any re-allocation statements for prior periods for ENA and EES pools.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22935"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bookmarkStart w:id="0" w:name="bkFooterDocID"/>
                          <w:bookmarkEnd w:id="0"/>
                          <w:r>
                            <w:rPr>
                              <w:rStyle w:val="DocID"/>
                            </w:rPr>
                            <w:fldChar w:fldCharType="begin"/>
                          </w:r>
                          <w:r>
                            <w:rPr>
                              <w:rStyle w:val="DocID"/>
                            </w:rPr>
                            <w:instrText xml:space="preserve"> DOCPROPERTY "Cus_DocIDValue"</w:instrText>
                          </w:r>
                          <w:r>
                            <w:rPr>
                              <w:rStyle w:val="DocID"/>
                            </w:rPr>
                            <w:fldChar w:fldCharType="separate"/>
                          </w:r>
                          <w:r>
                            <w:rPr>
                              <w:rStyle w:val="DocID"/>
                            </w:rPr>
                            <w:t>WAS:92860.1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bookmarkStart w:id="1" w:name="bkFooterDocID"/>
                    <w:bookmarkEnd w:id="1"/>
                    <w:r>
                      <w:rPr>
                        <w:rStyle w:val="DocID"/>
                      </w:rPr>
                      <w:fldChar w:fldCharType="begin"/>
                    </w:r>
                    <w:r>
                      <w:rPr>
                        <w:rStyle w:val="DocID"/>
                      </w:rPr>
                      <w:instrText xml:space="preserve"> DOCPROPERTY "Cus_DocIDValue"</w:instrText>
                    </w:r>
                    <w:r>
                      <w:rPr>
                        <w:rStyle w:val="DocID"/>
                      </w:rPr>
                      <w:fldChar w:fldCharType="separate"/>
                    </w:r>
                    <w:r>
                      <w:rPr>
                        <w:rStyle w:val="DocID"/>
                      </w:rPr>
                      <w:t>WAS:92860.1 </w:t>
                    </w:r>
                    <w:r>
                      <w:rPr>
                        <w:rStyle w:val="DocID"/>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DocID">
    <w:name w:val="DocID"/>
    <w:basedOn w:val="DefaultParagraphFont"/>
    <w:qFormat/>
    <w:rPr>
      <w:sz w:val="16"/>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EnvelopeAddress">
    <w:name w:val="envelope address"/>
    <w:basedOn w:val="Normal"/>
    <w:pPr>
      <w:ind w:hanging="0" w:start="2880" w:end="0"/>
    </w:pPr>
    <w:rPr>
      <w:rFonts w:ascii="Arial" w:hAnsi="Arial" w:cs="Arial"/>
      <w:b/>
      <w:sz w:val="20"/>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2002-03-22T13:05:00Z</dcterms:created>
  <dc:creator>A&amp;K</dc:creator>
  <dc:description/>
  <dc:language>en-CA</dc:language>
  <cp:lastModifiedBy>A&amp;K</cp:lastModifiedBy>
  <cp:lastPrinted>2002-03-22T09:34:00Z</cp:lastPrinted>
  <dcterms:modified xsi:type="dcterms:W3CDTF">2002-03-22T13:05:00Z</dcterms:modified>
  <cp:revision>2</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WAS:92860.1 </vt:lpwstr>
  </property>
</Properties>
</file>