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rFonts w:ascii="Arial" w:hAnsi="Arial" w:cs="Arial"/>
          <w:sz w:val="18"/>
        </w:rPr>
      </w:pPr>
      <w:r>
        <w:rPr>
          <w:rFonts w:cs="Arial" w:ascii="Arial" w:hAnsi="Arial"/>
          <w:sz w:val="18"/>
        </w:rPr>
      </w:r>
    </w:p>
    <w:p>
      <w:pPr>
        <w:pStyle w:val="Normal"/>
        <w:widowControl/>
        <w:tabs>
          <w:tab w:val="clear" w:pos="720"/>
          <w:tab w:val="center" w:pos="4320" w:leader="none"/>
        </w:tabs>
        <w:jc w:val="both"/>
        <w:rPr>
          <w:rFonts w:ascii="Arial" w:hAnsi="Arial" w:cs="Arial"/>
          <w:sz w:val="18"/>
        </w:rPr>
      </w:pPr>
      <w:r>
        <w:rPr>
          <w:rFonts w:eastAsia="Arial" w:cs="Arial" w:ascii="Arial" w:hAnsi="Arial"/>
          <w:sz w:val="18"/>
        </w:rPr>
        <w:t xml:space="preserve"> </w:t>
      </w:r>
      <w:r>
        <w:rPr>
          <w:rFonts w:cs="Arial" w:ascii="Arial" w:hAnsi="Arial"/>
          <w:sz w:val="18"/>
        </w:rPr>
        <w:tab/>
        <w:t>READ ONLY ELECTRONIC TRADING AGREEMENT</w:t>
      </w:r>
    </w:p>
    <w:p>
      <w:pPr>
        <w:pStyle w:val="Normal"/>
        <w:widowControl/>
        <w:tabs>
          <w:tab w:val="clear" w:pos="720"/>
          <w:tab w:val="center" w:pos="4320" w:leader="none"/>
        </w:tabs>
        <w:jc w:val="both"/>
        <w:rPr>
          <w:rFonts w:ascii="Arial" w:hAnsi="Arial" w:cs="Arial"/>
          <w:sz w:val="18"/>
        </w:rPr>
      </w:pPr>
      <w:r>
        <w:rPr>
          <w:rFonts w:cs="Arial" w:ascii="Arial" w:hAnsi="Arial"/>
          <w:sz w:val="18"/>
        </w:rPr>
      </w:r>
    </w:p>
    <w:p>
      <w:pPr>
        <w:pStyle w:val="Normal"/>
        <w:widowControl/>
        <w:ind w:firstLine="1440" w:end="0"/>
        <w:jc w:val="both"/>
        <w:rPr>
          <w:rFonts w:ascii="Arial" w:hAnsi="Arial" w:cs="Arial"/>
          <w:sz w:val="18"/>
        </w:rPr>
      </w:pPr>
      <w:r>
        <w:rPr>
          <w:rFonts w:cs="Arial" w:ascii="Arial" w:hAnsi="Arial"/>
          <w:sz w:val="18"/>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limitations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All disputes arising in connection with this Agreement shall be finally settled under the Rules of Conciliation and Arbitration of the International Chamber of Commerce by three arbitrators, each party having the right to nominate one arbitrator, appointed in accordance with the said Rules.  The place of arbitration shall be in London.  The language to be used in the arbitration proceedings shall be English.  The parties agree that the arbitrators shall have no authority to award exemplary or punitive damages of any type under any circumstances whether or not such damages may be available under the relevant applicable law, the parties hereby waiving their right, if any, to recover any such damages.  The parties agree to be bound and abide by the award resulting from the arbitration proceedings.  This Agreement shall be governed by and construed in accordance with English law.</w:t>
      </w:r>
    </w:p>
    <w:p>
      <w:pPr>
        <w:pStyle w:val="Normal"/>
        <w:widowControl/>
        <w:jc w:val="both"/>
        <w:rPr>
          <w:rFonts w:ascii="Arial" w:hAnsi="Arial" w:cs="Arial"/>
          <w:sz w:val="18"/>
        </w:rPr>
      </w:pPr>
      <w:r>
        <w:rPr>
          <w:rFonts w:cs="Arial" w:ascii="Arial" w:hAnsi="Arial"/>
          <w:sz w:val="18"/>
        </w:rPr>
      </w:r>
    </w:p>
    <w:p>
      <w:pPr>
        <w:pStyle w:val="Normal"/>
        <w:widowControl/>
        <w:jc w:val="both"/>
        <w:rPr>
          <w:rFonts w:ascii="Arial" w:hAnsi="Arial" w:cs="Arial"/>
          <w:sz w:val="18"/>
          <w:lang w:val="en-CA" w:eastAsia="en-CA"/>
        </w:rPr>
      </w:pPr>
      <w:r>
        <w:rPr>
          <w:rFonts w:cs="Arial" w:ascii="Arial" w:hAnsi="Arial"/>
          <w:sz w:val="18"/>
          <w:lang w:val="en-CA" w:eastAsia="en-CA"/>
        </w:rPr>
      </w:r>
      <w:r>
        <mc:AlternateContent>
          <mc:Choice Requires="wps">
            <w:drawing>
              <wp:anchor behindDoc="0" distT="0" distB="0" distL="114935" distR="114935" simplePos="0" locked="0" layoutInCell="1" allowOverlap="1" relativeHeight="2">
                <wp:simplePos x="0" y="0"/>
                <wp:positionH relativeFrom="column">
                  <wp:posOffset>3653155</wp:posOffset>
                </wp:positionH>
                <wp:positionV relativeFrom="paragraph">
                  <wp:posOffset>26035</wp:posOffset>
                </wp:positionV>
                <wp:extent cx="1837690" cy="648970"/>
                <wp:effectExtent l="0" t="0" r="0" b="0"/>
                <wp:wrapNone/>
                <wp:docPr id="1" name="Frame1"/>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2.05pt;mso-position-vertical-relative:text;margin-left:287.6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1001395</wp:posOffset>
                </wp:positionH>
                <wp:positionV relativeFrom="paragraph">
                  <wp:posOffset>26035</wp:posOffset>
                </wp:positionV>
                <wp:extent cx="1929130" cy="648970"/>
                <wp:effectExtent l="0" t="0" r="0" b="0"/>
                <wp:wrapNone/>
                <wp:docPr id="2" name="Frame2"/>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2.05pt;mso-position-vertical-relative:text;margin-left:78.8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London-1/387977/01</w:t>
    </w:r>
  </w:p>
  <w:p>
    <w:pPr>
      <w:pStyle w:val="Normal"/>
      <w:rPr>
        <w:sz w:val="16"/>
      </w:rPr>
    </w:pPr>
    <w:r>
      <w:rPr>
        <w:sz w:val="16"/>
      </w:rPr>
    </w:r>
  </w:p>
  <w:p>
    <w:pPr>
      <w:pStyle w:val="Normal"/>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16 JULY 1999</w:t>
    </w:r>
  </w:p>
  <w:p>
    <w:pPr>
      <w:pStyle w:val="Header"/>
      <w:tabs>
        <w:tab w:val="clear" w:pos="8306"/>
        <w:tab w:val="center" w:pos="4153" w:leader="none"/>
        <w:tab w:val="right" w:pos="8647" w:leader="none"/>
      </w:tabs>
      <w:rPr>
        <w:b/>
      </w:rPr>
    </w:pPr>
    <w:r>
      <w:rPr>
        <w:b/>
      </w:rPr>
      <w:t>VERSION 2</w:t>
      <w:tab/>
      <w:tab/>
      <w:t>ROMANIA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rFonts w:ascii="CG Times" w:hAnsi="CG Times" w:cs="CG Times"/>
      <w:b w:val="false"/>
      <w:i w:val="false"/>
      <w:sz w:val="20"/>
    </w:rPr>
  </w:style>
  <w:style w:type="character" w:styleId="WW8Num1z1">
    <w:name w:val="WW8Num1z1"/>
    <w:qFormat/>
    <w:rPr>
      <w:b w:val="false"/>
      <w:i w:val="false"/>
      <w:sz w:val="20"/>
    </w:rPr>
  </w:style>
  <w:style w:type="character" w:styleId="WW8Num1z2">
    <w:name w:val="WW8Num1z2"/>
    <w:qFormat/>
    <w:rPr>
      <w:b w:val="false"/>
      <w:i w:val="false"/>
      <w:sz w:val="18"/>
    </w:rPr>
  </w:style>
  <w:style w:type="character" w:styleId="WW8Num1z8">
    <w:name w:val="WW8Num1z8"/>
    <w:qFormat/>
    <w:rPr>
      <w:b/>
      <w:i w:val="false"/>
      <w:caps/>
      <w:sz w:val="22"/>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ListArabic4">
    <w:name w:val="List Arabic 4"/>
    <w:basedOn w:val="Normal"/>
    <w:next w:val="Normal"/>
    <w:qFormat/>
    <w:pPr>
      <w:widowControl/>
      <w:numPr>
        <w:ilvl w:val="0"/>
        <w:numId w:val="1"/>
      </w:numPr>
      <w:tabs>
        <w:tab w:val="clear" w:pos="720"/>
        <w:tab w:val="left" w:pos="86" w:leader="none"/>
      </w:tabs>
      <w:spacing w:lineRule="auto" w:line="288" w:before="0" w:after="200"/>
      <w:jc w:val="both"/>
    </w:pPr>
    <w:rPr>
      <w:rFonts w:ascii="CG Times" w:hAnsi="CG Times" w:cs="CG Times"/>
      <w:sz w:val="22"/>
      <w:lang w:val="en-GB" w:eastAsia="en-CA"/>
    </w:rPr>
  </w:style>
  <w:style w:type="paragraph" w:styleId="ListLegal1">
    <w:name w:val="List Legal 1"/>
    <w:basedOn w:val="Normal"/>
    <w:next w:val="BodyText"/>
    <w:qFormat/>
    <w:pPr>
      <w:widowControl/>
      <w:numPr>
        <w:ilvl w:val="0"/>
        <w:numId w:val="1"/>
      </w:numPr>
      <w:tabs>
        <w:tab w:val="clear" w:pos="720"/>
        <w:tab w:val="left" w:pos="22" w:leader="none"/>
      </w:tabs>
      <w:spacing w:lineRule="auto" w:line="288" w:before="0" w:after="200"/>
      <w:jc w:val="both"/>
    </w:pPr>
    <w:rPr>
      <w:rFonts w:ascii="CG Times" w:hAnsi="CG Times" w:cs="CG Times"/>
      <w:sz w:val="22"/>
      <w:lang w:val="en-GB" w:eastAsia="en-CA"/>
    </w:rPr>
  </w:style>
  <w:style w:type="paragraph" w:styleId="ListLegal2">
    <w:name w:val="List Legal 2"/>
    <w:basedOn w:val="Normal"/>
    <w:next w:val="BodyText"/>
    <w:qFormat/>
    <w:pPr>
      <w:widowControl/>
      <w:numPr>
        <w:ilvl w:val="0"/>
        <w:numId w:val="1"/>
      </w:numPr>
      <w:tabs>
        <w:tab w:val="clear" w:pos="720"/>
        <w:tab w:val="left" w:pos="22" w:leader="none"/>
      </w:tabs>
      <w:spacing w:lineRule="auto" w:line="288" w:before="0" w:after="200"/>
      <w:jc w:val="both"/>
    </w:pPr>
    <w:rPr>
      <w:rFonts w:ascii="CG Times" w:hAnsi="CG Times" w:cs="CG Times"/>
      <w:sz w:val="22"/>
      <w:lang w:val="en-GB" w:eastAsia="en-CA"/>
    </w:rPr>
  </w:style>
  <w:style w:type="paragraph" w:styleId="ListLegal3">
    <w:name w:val="List Legal 3"/>
    <w:basedOn w:val="Normal"/>
    <w:next w:val="BodyText2"/>
    <w:qFormat/>
    <w:pPr>
      <w:widowControl/>
      <w:numPr>
        <w:ilvl w:val="0"/>
        <w:numId w:val="1"/>
      </w:numPr>
      <w:tabs>
        <w:tab w:val="clear" w:pos="720"/>
        <w:tab w:val="left" w:pos="50" w:leader="none"/>
      </w:tabs>
      <w:spacing w:lineRule="auto" w:line="288" w:before="0" w:after="200"/>
      <w:jc w:val="both"/>
    </w:pPr>
    <w:rPr>
      <w:rFonts w:ascii="CG Times" w:hAnsi="CG Times" w:cs="CG Times"/>
      <w:sz w:val="22"/>
      <w:lang w:val="en-GB" w:eastAsia="en-CA"/>
    </w:rPr>
  </w:style>
  <w:style w:type="paragraph" w:styleId="BodyText2">
    <w:name w:val="Body Text 2"/>
    <w:basedOn w:val="Normal"/>
    <w:qFormat/>
    <w:pPr>
      <w:spacing w:lineRule="auto" w:line="480" w:before="0" w:after="12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1999-07-15T11:57:00Z</dcterms:created>
  <dc:creator>007504</dc:creator>
  <dc:description/>
  <dc:language>en-CA</dc:language>
  <cp:lastModifiedBy>Tracey Hayward</cp:lastModifiedBy>
  <cp:lastPrinted>1999-07-16T14:55:00Z</cp:lastPrinted>
  <dcterms:modified xsi:type="dcterms:W3CDTF">1999-07-16T11:25:00Z</dcterms:modified>
  <cp:revision>7</cp:revision>
  <dc:subject/>
  <dc:title> </dc:title>
</cp:coreProperties>
</file>