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rPr>
          <w:b/>
        </w:rPr>
      </w:pPr>
      <w:r>
        <w:rPr>
          <w:b/>
        </w:rPr>
      </w:r>
    </w:p>
    <w:p>
      <w:pPr>
        <w:pStyle w:val="Normal"/>
        <w:rPr>
          <w:b/>
        </w:rPr>
      </w:pPr>
      <w:r>
        <w:rPr>
          <w:b/>
        </w:rPr>
      </w:r>
    </w:p>
    <w:p>
      <w:pPr>
        <w:pStyle w:val="Normal"/>
        <w:rPr>
          <w:b/>
        </w:rPr>
      </w:pPr>
      <w:r>
        <w:rPr>
          <w:b/>
        </w:rPr>
      </w:r>
    </w:p>
    <w:p>
      <w:pPr>
        <w:pStyle w:val="Normal"/>
        <w:rPr>
          <w:b/>
        </w:rPr>
      </w:pPr>
      <w:r>
        <w:rPr>
          <w:b/>
        </w:rPr>
        <w:t>San Diego Gas &amp; Electric Company</w:t>
        <w:tab/>
        <w:tab/>
        <w:t>)</w:t>
        <w:tab/>
        <w:tab/>
        <w:t>Docket No. EL00-___-000</w:t>
      </w:r>
    </w:p>
    <w:p>
      <w:pPr>
        <w:pStyle w:val="Normal"/>
        <w:rPr>
          <w:b/>
        </w:rPr>
      </w:pPr>
      <w:r>
        <w:rPr>
          <w:b/>
        </w:rPr>
        <w:tab/>
        <w:tab/>
        <w:tab/>
        <w:tab/>
        <w:tab/>
        <w:tab/>
        <w:tab/>
        <w:t>)</w:t>
      </w:r>
    </w:p>
    <w:p>
      <w:pPr>
        <w:pStyle w:val="Normal"/>
        <w:rPr>
          <w:b/>
        </w:rPr>
      </w:pPr>
      <w:r>
        <w:rPr>
          <w:b/>
        </w:rPr>
        <w:tab/>
        <w:tab/>
        <w:tab/>
        <w:t>v.</w:t>
        <w:tab/>
        <w:tab/>
        <w:tab/>
        <w:tab/>
        <w:t>)</w:t>
      </w:r>
    </w:p>
    <w:p>
      <w:pPr>
        <w:pStyle w:val="Normal"/>
        <w:rPr>
          <w:b/>
        </w:rPr>
      </w:pPr>
      <w:r>
        <w:rPr>
          <w:b/>
        </w:rPr>
        <w:tab/>
        <w:tab/>
        <w:tab/>
        <w:tab/>
        <w:tab/>
        <w:tab/>
        <w:tab/>
        <w:t>)</w:t>
      </w:r>
    </w:p>
    <w:p>
      <w:pPr>
        <w:pStyle w:val="Normal"/>
        <w:rPr>
          <w:b/>
        </w:rPr>
      </w:pPr>
      <w:r>
        <w:rPr>
          <w:b/>
        </w:rPr>
        <w:t>Sellers of Energy and Ancillary Services</w:t>
        <w:tab/>
        <w:tab/>
        <w:t>)</w:t>
      </w:r>
    </w:p>
    <w:p>
      <w:pPr>
        <w:pStyle w:val="Normal"/>
        <w:rPr>
          <w:b/>
        </w:rPr>
      </w:pPr>
      <w:r>
        <w:rPr>
          <w:b/>
        </w:rPr>
        <w:t xml:space="preserve">  </w:t>
      </w:r>
      <w:r>
        <w:rPr>
          <w:b/>
        </w:rPr>
        <w:t xml:space="preserve">Into Markets Operated by the </w:t>
        <w:tab/>
        <w:tab/>
        <w:tab/>
        <w:t>)</w:t>
      </w:r>
    </w:p>
    <w:p>
      <w:pPr>
        <w:pStyle w:val="Normal"/>
        <w:rPr>
          <w:b/>
        </w:rPr>
      </w:pPr>
      <w:r>
        <w:rPr>
          <w:b/>
        </w:rPr>
        <w:t xml:space="preserve">  </w:t>
      </w:r>
      <w:r>
        <w:rPr>
          <w:b/>
        </w:rPr>
        <w:t>California Independent System Operator</w:t>
        <w:tab/>
        <w:t>)</w:t>
      </w:r>
    </w:p>
    <w:p>
      <w:pPr>
        <w:pStyle w:val="Normal"/>
        <w:rPr/>
      </w:pPr>
      <w:r>
        <w:rPr>
          <w:b/>
        </w:rPr>
        <w:t xml:space="preserve">  </w:t>
      </w:r>
      <w:r>
        <w:rPr>
          <w:b/>
        </w:rPr>
        <w:t>and the California Power Exchange</w:t>
      </w:r>
      <w:r>
        <w:rPr>
          <w:rStyle w:val="FootnoteCharacters"/>
          <w:rStyle w:val="FootnoteReference"/>
          <w:b/>
        </w:rPr>
        <w:footnoteReference w:id="2"/>
      </w:r>
      <w:r>
        <w:rPr>
          <w:b/>
        </w:rPr>
        <w:tab/>
        <w:tab/>
        <w:t>)</w:t>
      </w:r>
    </w:p>
    <w:p>
      <w:pPr>
        <w:pStyle w:val="Normal"/>
        <w:rPr>
          <w:b/>
        </w:rPr>
      </w:pPr>
      <w:r>
        <w:rPr>
          <w:b/>
        </w:rPr>
      </w:r>
    </w:p>
    <w:p>
      <w:pPr>
        <w:pStyle w:val="Normal"/>
        <w:rPr>
          <w:b/>
        </w:rPr>
      </w:pPr>
      <w:r>
        <w:rPr>
          <w:b/>
        </w:rPr>
      </w:r>
    </w:p>
    <w:p>
      <w:pPr>
        <w:pStyle w:val="Normal"/>
        <w:jc w:val="center"/>
        <w:rPr>
          <w:b/>
        </w:rPr>
      </w:pPr>
      <w:r>
        <w:rPr>
          <w:b/>
        </w:rPr>
        <w:t>COMPLAINT</w:t>
      </w:r>
    </w:p>
    <w:p>
      <w:pPr>
        <w:pStyle w:val="Normal"/>
        <w:rPr>
          <w:b/>
        </w:rPr>
      </w:pPr>
      <w:r>
        <w:rPr>
          <w:b/>
        </w:rPr>
      </w:r>
    </w:p>
    <w:p>
      <w:pPr>
        <w:pStyle w:val="Normal"/>
        <w:rPr/>
      </w:pPr>
      <w:r>
        <w:rPr/>
      </w:r>
    </w:p>
    <w:p>
      <w:pPr>
        <w:pStyle w:val="BodyTextFirstIndentDouble"/>
        <w:rPr/>
      </w:pPr>
      <w:r>
        <w:rPr/>
        <w:t xml:space="preserve">The design and structure of the markets conducted by the California Independent System Operator Corporation ("ISO") and the California Power Exchange Corporation ("PX") are fundamentally flawed and inherently incapable of producing workable competition to protect the interest of consumers. Therefore, pursuant to Rule 206 of the Commission's Rules of Practice and Procedure, 18 C.F.R. § 385.206, San Diego Gas &amp; Electric Company ("SDG&amp;E") petitions the Commission for an emergency order capping at $250 per MWh the prices at which sellers subject to its jurisdiction may bid energy or ancillary services into California's two large bulk-power markets -- those operated by the PX and the ISO.  </w:t>
      </w:r>
    </w:p>
    <w:p>
      <w:pPr>
        <w:pStyle w:val="BodyTextFirstIndentDouble"/>
        <w:rPr/>
      </w:pPr>
      <w:r>
        <w:rPr/>
        <w:t xml:space="preserve">The prices that now prevail in those markets do not reflect legitimate forces of supply and demand and, of themselves, belie any suggestion that the markets are workably competitive under peak demand conditions.  To protect consumers in San Diego and elsewhere in California from these market failures, the Commission must intervene now.  </w:t>
      </w:r>
    </w:p>
    <w:p>
      <w:pPr>
        <w:pStyle w:val="Normal"/>
        <w:rPr/>
      </w:pPr>
      <w:r>
        <w:rPr/>
      </w:r>
    </w:p>
    <w:p>
      <w:pPr>
        <w:pStyle w:val="Heading1"/>
        <w:ind w:hanging="0" w:start="0"/>
        <w:rPr/>
      </w:pPr>
      <w:r>
        <w:rPr/>
        <w:t>INTRODUCTION AND SUMMARY</w:t>
      </w:r>
    </w:p>
    <w:p>
      <w:pPr>
        <w:pStyle w:val="Normal"/>
        <w:rPr/>
      </w:pPr>
      <w:r>
        <w:rPr/>
      </w:r>
    </w:p>
    <w:p>
      <w:pPr>
        <w:pStyle w:val="BodyTextFirstIndentDouble"/>
        <w:rPr/>
      </w:pPr>
      <w:r>
        <w:rPr/>
        <w:t xml:space="preserve">Since the beginning of June, wholesale electricity prices in California have shot up to levels that exceed, often by a multiple of three or four, prices seen at comparable load levels in prior years.  The increase in prices has far outpaced the increase in fuel prices and greatly exceeds the cost of producing electricity.  Quite simply, California wholesale markets are, particularly at high demand levels, dysfunctional, allowing sellers to exact prices considerably above levels that would prevail in open competition, where the demand side of the equation could participate in the market.  </w:t>
      </w:r>
    </w:p>
    <w:p>
      <w:pPr>
        <w:pStyle w:val="BodyTextFirstIndentDouble"/>
        <w:rPr/>
      </w:pPr>
      <w:r>
        <w:rPr/>
        <w:t xml:space="preserve">The impact of elevated wholesale prices has been felt statewide, as evidenced by the July 27 letter of Governor Davis to Chairman Hoecker attached as Appendix A.  That impact has been particularly severe in the San Diego area, where retail prices have been uncapped since June 1999.  </w:t>
      </w:r>
    </w:p>
    <w:p>
      <w:pPr>
        <w:pStyle w:val="BodyTextFirstIndentDouble"/>
        <w:rPr/>
      </w:pPr>
      <w:r>
        <w:rPr/>
        <w:t xml:space="preserve">Restructuring in California has, from the outset, followed a path markedly different from that followed elsewhere.  The California structure is characterized, among other things, by separate responsibility for forward markets on the one hand and for real-time markets and transmission service on the other; by an imprecise zonal pricing system; and by retail rate caps that (outside the San Diego area) effectively prevent consumers from taking steps to curtail electric demand when prices are high.  Operating within this structure, the ISO has increasingly resorted to inefficient and costly patchwork devices to maintain system reliability.  </w:t>
      </w:r>
    </w:p>
    <w:p>
      <w:pPr>
        <w:pStyle w:val="BodyTextFirstIndentDouble"/>
        <w:rPr/>
      </w:pPr>
      <w:r>
        <w:rPr/>
        <w:t xml:space="preserve">The Commission has made clear, with growing emphasis, that fundamental reform is needed.  To date, the ISO has been less than fully responsive.  </w:t>
      </w:r>
    </w:p>
    <w:p>
      <w:pPr>
        <w:pStyle w:val="BodyTextFirstIndentDouble"/>
        <w:rPr/>
      </w:pPr>
      <w:r>
        <w:rPr/>
        <w:t xml:space="preserve">Sorting out issues of market design and structure will take time: certainly months, perhaps more.  Consumers in California cannot wait that long. Nor can the ISO solve the immediate problem itself.  Yesterday the ISO lowered the maximum price that it will pay for imbalance energy and ancillary services to $250 per MWh, but that cap does not apply to the larger PX markets.  This Commission is charged with assuring that wholesale prices charged by jurisdictional sellers are just and reasonable.  It must step in immediately to do so.  </w:t>
      </w:r>
    </w:p>
    <w:p>
      <w:pPr>
        <w:pStyle w:val="BodyTextFirstIndentDouble"/>
        <w:rPr/>
      </w:pPr>
      <w:r>
        <w:rPr/>
        <w:t xml:space="preserve">The only way that the Commission can rein in prices in bid-based markets such as those of the PX and ISO is to limit what sellers can bid.  Specifically, the Commission should condition existing and future market-based rate authorizations to provide that the holder of the authorization may not submit bids to sell energy or ancillary services to or through the PX or ISO for more than $250 per MWh.  That cap should remain in place while overhaul of the California markets proceeds, and until those markets are workably competitive.  </w:t>
      </w:r>
    </w:p>
    <w:p>
      <w:pPr>
        <w:pStyle w:val="Heading1"/>
        <w:ind w:hanging="0" w:start="0"/>
        <w:rPr/>
      </w:pPr>
      <w:r>
        <w:rPr/>
        <w:t>BACKGROUND</w:t>
      </w:r>
    </w:p>
    <w:p>
      <w:pPr>
        <w:pStyle w:val="BodyTextFirstIndentDouble"/>
        <w:rPr/>
      </w:pPr>
      <w:r>
        <w:rPr/>
        <w:t xml:space="preserve">SDG&amp;E is a California corporation with its principal place of business at 8330 Century Park Court, San Diego, California 92123.  SDG&amp;E provides electric service to some 1.2 million customers in San Diego and Orange Counties, California.  </w:t>
      </w:r>
    </w:p>
    <w:p>
      <w:pPr>
        <w:pStyle w:val="BodyTextFirstIndentDouble"/>
        <w:rPr/>
      </w:pPr>
      <w:r>
        <w:rPr/>
        <w:t xml:space="preserve">The restructured California market began operation on April 1, 1998.  Consistent with the orders of this Commission and the California Public Utilities Commission ("CPUC"), as well as state statute, the three large investor-owned utilities, Pacific Gas and Electric Company ("PG&amp;E"), Southern California Edison Company ("Edison"), and SDG&amp;E transferred operational control of their respective transmission systems to the ISO, and began purchasing all of the energy needed to serve their retail customers through the PX.  Each of the utilities also began providing its retail customers direct access to alternative suppliers, and each has divested itself of all of its fossil-fueled generation in California.  Each utility's retail rates were frozen by state statute for a transition period that was to continue until the utility had recovered certain stranded generation costs.  SDG&amp;E completed such recovery in June 1999, while neither PG&amp;E nor Edison has yet done so.  Thus, retail rate caps remain in place in their service territories, but not in SDG&amp;E's.  Unless remedied soon, the ISO and PX markets will produce the same adverse effects for Edison and PG&amp;E’s customers once those companies terminate the retail rate freeze.  </w:t>
      </w:r>
    </w:p>
    <w:p>
      <w:pPr>
        <w:pStyle w:val="Heading1"/>
        <w:ind w:hanging="0" w:start="0"/>
        <w:rPr/>
      </w:pPr>
      <w:r>
        <w:rPr/>
        <w:t>CURRENT WHOLESALE PRICES IN CALIFORNIA FAR EXCEED ANY COMPETITIVE EQUILIBRIUM.</w:t>
      </w:r>
    </w:p>
    <w:p>
      <w:pPr>
        <w:pStyle w:val="Normal"/>
        <w:rPr/>
      </w:pPr>
      <w:r>
        <w:rPr/>
      </w:r>
    </w:p>
    <w:p>
      <w:pPr>
        <w:pStyle w:val="BodyTextFirstIndentDouble"/>
        <w:rPr/>
      </w:pPr>
      <w:r>
        <w:rPr/>
        <w:t>During the past two months, energy prices in the ISO-coordinated energy markets have started to behave erratically, producing prices that are three or four times the amounts for comparable time periods last year, and roughly doubling the monthly electric bills for SDG&amp;E’s customers.</w:t>
      </w:r>
      <w:r>
        <w:rPr>
          <w:rStyle w:val="FootnoteCharacters"/>
          <w:rStyle w:val="FootnoteReference"/>
        </w:rPr>
        <w:footnoteReference w:id="3"/>
      </w:r>
      <w:r>
        <w:rPr/>
        <w:t xml:space="preserve">  The problem is both acute and chronic – unlike the “needle” peaks that roiled wholesale energy markets in the Midwest last year, prices in California energy markets are not retreating to their prior levels, and the difficulties show no signs of abating.  Significantly, the highest load on the California ISO grid this year (43,447 MW) is well below the peak level experienced during July of last year (45,574 MW).  Yet, the market has routinely cleared at much higher prices during June and July of this year than during any month last year.  </w:t>
      </w:r>
    </w:p>
    <w:p>
      <w:pPr>
        <w:pStyle w:val="BodyTextFirstIndentDouble"/>
        <w:rPr/>
      </w:pPr>
      <w:r>
        <w:rPr/>
        <w:t>Appendix C hereto, comparing final PX day-ahead prices for the Southern California zone for the months of June and July during 1999 and 2000, respectively, provides a visual depiction of this marked change.  During June and July of 1999, prices rarely exceeded $150/MWh even during the highest load levels. During the same period this year, prices have frequently exploded to three and four times the levels reached last year whenever load levels exceed 33,000 MW.</w:t>
      </w:r>
      <w:r>
        <w:rPr>
          <w:rStyle w:val="FootnoteCharacters"/>
          <w:rStyle w:val="FootnoteReference"/>
        </w:rPr>
        <w:footnoteReference w:id="4"/>
      </w:r>
      <w:r>
        <w:rPr/>
        <w:t xml:space="preserve">  </w:t>
      </w:r>
    </w:p>
    <w:p>
      <w:pPr>
        <w:pStyle w:val="BodyTextFirstIndentDouble"/>
        <w:rPr/>
      </w:pPr>
      <w:r>
        <w:rPr/>
        <w:t xml:space="preserve">To be sure, input fuel prices are twice the levels of last year and, as a result, even a perfectly working market would reflect some sustained price increase under these conditions. Natural gas prices at the southern California border during June and July of 1999 averaged about $2.30/MMBTU.  During June and July of 2000, these prices have averaged about $4.62/MM BTU. But the higher gas prices do not begin to explain the dramatically elevated prices that prevail in 2000 compared to 1999 when load levels exceed 33,000 MW.  Translating the above fuel costs into delivered power prices for a typical Southern California gas-fired generating unit (10,000 BTU/kWh heat rate, volumetric gas transportation costs, fixed and variable O&amp;M and a 65% capacity factor) results in a cost of $36/MWh in 1999, rising to $60/MWh in 2000.  As the attached charts and tabular spreadsheets show, market clearing prices during June and July of 2000 have often exceeded the $60/MWh operating cost by an order of magnitude.  </w:t>
      </w:r>
    </w:p>
    <w:p>
      <w:pPr>
        <w:pStyle w:val="BodyTextFirstIndentDouble"/>
        <w:rPr/>
      </w:pPr>
      <w:r>
        <w:rPr/>
        <w:t xml:space="preserve">According to market monitoring reports, the total cost of energy charged to the California market for the month of June was nearly half of the total for all of 1999.  Indeed, during one 10-day period in June, the cost charged to the market for ancillary services exceeded the total cost for all of 1999. During the entire month of June, the ISO spent $420 million to buy ancillary service capacity, whereas in June 1999 it spent just $35 million.  Moreover, hour-to-hour price movements are inexplicable –  capped $500/MWh imbalance energy prices are sometimes followed the next hour by $0/MWh prices.  The hourly prices for ancillary services are also erratic, with lower-valued services sometimes clearing at prices that are higher than higher-valued services.  In short, the design and structure problems inherent in the ISO’s decentralized approach to market coordination is breaking down whenever the market is even moderately stressed.  These markets thus pose a clear threat to the economic and social well-being of California, its economy, and its citizens, especially in San Diego.  </w:t>
      </w:r>
    </w:p>
    <w:p>
      <w:pPr>
        <w:pStyle w:val="Heading1"/>
        <w:numPr>
          <w:ilvl w:val="0"/>
          <w:numId w:val="0"/>
        </w:numPr>
        <w:ind w:hanging="720" w:start="720" w:end="0"/>
        <w:rPr/>
      </w:pPr>
      <w:r>
        <w:rPr/>
        <w:t>IV.</w:t>
        <w:tab/>
        <w:t xml:space="preserve">BECAUSE THE DESIGN AND STRUCTURE OF THE CALIFORNIA ISO IS FUNDAMENTALLY FLAWED, A WORKABLY COMPETITIVE MARKET DOES NOT EXIST. </w:t>
      </w:r>
    </w:p>
    <w:p>
      <w:pPr>
        <w:pStyle w:val="Normal"/>
        <w:rPr/>
      </w:pPr>
      <w:r>
        <w:rPr/>
      </w:r>
    </w:p>
    <w:p>
      <w:pPr>
        <w:pStyle w:val="BodyTextFirstIndentDouble"/>
        <w:rPr/>
      </w:pPr>
      <w:r>
        <w:rPr/>
        <w:t xml:space="preserve">Restructuring of the electric industry has proceeded on the premise that competitive supply markets are both desirable and possible.  It has long been recognized that the peculiar physical characteristics associated with electricity require that a structure be put in place that will establish “workably” competitive generation markets for the overall benefit of consumers.  SDG&amp;E believes in competition and believes that a workably competitive market for electricity is in the best interest of California and the nation, and will, if properly established, lead to lower prices.  SDG&amp;E has, however, understood from the beginning that the task of forming workably competitive markets is not easy and that the very best market structure and design concepts must be brought to bear to achieve the stated goals.  SDG&amp;E has stated publicly on many occasions its reservations about the structure adopted in California compared to other structures employed elsewhere in the nation.  </w:t>
      </w:r>
    </w:p>
    <w:p>
      <w:pPr>
        <w:pStyle w:val="BodyTextFirstIndentDouble"/>
        <w:rPr/>
      </w:pPr>
      <w:r>
        <w:rPr/>
        <w:t xml:space="preserve">Any weakness in the design of a market structure will quickly be exposed by market participants, even when engaged in wholly-permissible activities.  This is what has happened in California.  The only protection for consumers is a properly designed market that deals explicitly with the physics and externalities associated with a transmission network that is frequently congested and thus incapable of supporting all of the transactions that market participants prefer to execute.  </w:t>
      </w:r>
    </w:p>
    <w:p>
      <w:pPr>
        <w:pStyle w:val="BodyTextFirstIndentDouble"/>
        <w:rPr/>
      </w:pPr>
      <w:r>
        <w:rPr/>
        <w:t>According to the ISO, the design principles “that guided the California approach to restructuring … are captured most succinctly in two concepts:  (1) full separation of competitive forward energy markets from monopoly transmission service, and (2) decentralized production decisions (unit commitment, dispatch, generation investment).”</w:t>
      </w:r>
      <w:r>
        <w:rPr>
          <w:rStyle w:val="FootnoteCharacters"/>
          <w:rStyle w:val="FootnoteReference"/>
        </w:rPr>
        <w:footnoteReference w:id="5"/>
      </w:r>
      <w:r>
        <w:rPr/>
        <w:t xml:space="preserve">  The approach of the California ISO is unique in this regard, differing materially from the more centralized approach used by the PJM and New York ISOs, which attempts to preserve the well-known consumer benefits associated with an economically-efficient, least-cost dispatch.</w:t>
      </w:r>
      <w:r>
        <w:rPr>
          <w:rStyle w:val="FootnoteCharacters"/>
          <w:rStyle w:val="FootnoteReference"/>
        </w:rPr>
        <w:footnoteReference w:id="6"/>
      </w:r>
      <w:r>
        <w:rPr/>
        <w:t xml:space="preserve">  Notwithstanding the California ISO’s claims of having achieved a significant breakthrough in market design, the facts suggest that the California ISO  -- even after some 30 amendments to its tariffs – has failed to produce a market capable of supplying the electricity needs of California consumers at competitive prices.</w:t>
      </w:r>
      <w:r>
        <w:rPr>
          <w:rStyle w:val="FootnoteCharacters"/>
        </w:rPr>
        <w:t xml:space="preserve"> </w:t>
      </w:r>
      <w:r>
        <w:rPr>
          <w:rStyle w:val="FootnoteCharacters"/>
          <w:rStyle w:val="FootnoteReference"/>
        </w:rPr>
        <w:footnoteReference w:id="7"/>
      </w:r>
      <w:r>
        <w:rPr/>
        <w:t xml:space="preserve">  </w:t>
      </w:r>
    </w:p>
    <w:p>
      <w:pPr>
        <w:pStyle w:val="BodyTextFirstIndentDouble"/>
        <w:rPr/>
      </w:pPr>
      <w:r>
        <w:rPr/>
        <w:t>Difficulties with implementing the California ISO’s novel approach to market coordination have been visible from the beginning, but most observers suspended judgment while the ISO struggled to implement its “de-centralized” approach to market coordination.</w:t>
      </w:r>
      <w:r>
        <w:rPr>
          <w:rStyle w:val="FootnoteCharacters"/>
          <w:rStyle w:val="FootnoteReference"/>
        </w:rPr>
        <w:footnoteReference w:id="8"/>
      </w:r>
      <w:r>
        <w:rPr/>
        <w:t xml:space="preserve">  But instead of settling down and showing signs of maturity, the ISO-coordinated markets have increasingly required non-market “command and control” procedures to preserve short term reliability.  Because the ISO does not have effective market-based procedures to keep the system in balance and maintain reliability – such as accurate locational pricing to support market-based congestion management; a well-structured day-ahead market to coordinate efficient unit commitment and a bid-based economic dispatch of the available generators; ancillary services markets properly designed and integrated with the day-ahead and balancing energy markets; and effective tools for mitigating locational market power -- the ISO has been forced to develop “jury rigged” solutions to countermand the perverse incentives produced by poor market design and structure.  The resulting extra-market costs from these non-market solutions, of course, are passed on to consumers (more precisely, the utility distribution companies like SDG&amp;E) through higher uplift payments.  </w:t>
      </w:r>
    </w:p>
    <w:p>
      <w:pPr>
        <w:pStyle w:val="BodyTextFirstIndentDouble"/>
        <w:rPr/>
      </w:pPr>
      <w:r>
        <w:rPr/>
        <w:t>Fortunately, the Commission eventually saw fit to intervene and question these practices, declaring the ISO’s congestion management system to be fundamentally flawed and in need of overhaul or replacement, a finding that effectively touches on virtually every aspect of the California approach to market design.</w:t>
      </w:r>
      <w:r>
        <w:rPr>
          <w:rStyle w:val="FootnoteCharacters"/>
          <w:rStyle w:val="FootnoteReference"/>
        </w:rPr>
        <w:footnoteReference w:id="9"/>
      </w:r>
      <w:r>
        <w:rPr/>
        <w:t xml:space="preserve">  The fate of other recent proposals and initiatives by the ISO illustrates that the California experiment in de-centralized market coordination is breaking down on a number of fronts.  By the time the Commission found fundamental flaws in the ISO congestion management processes, it had already rejected the ISO tariffs governing</w:t>
      </w:r>
    </w:p>
    <w:p>
      <w:pPr>
        <w:pStyle w:val="BodyTextFirstIndentDouble"/>
        <w:ind w:hanging="0" w:start="-90" w:end="0"/>
        <w:rPr/>
      </w:pPr>
      <w:r>
        <w:rPr/>
        <w:t>generator interconnection.  The Commission determined that the ISO-adopted procedures would undermine competition and discriminate against new entrant generators.</w:t>
      </w:r>
      <w:r>
        <w:rPr>
          <w:rStyle w:val="FootnoteCharacters"/>
          <w:rStyle w:val="FootnoteReference"/>
        </w:rPr>
        <w:footnoteReference w:id="10"/>
      </w:r>
      <w:r>
        <w:rPr/>
        <w:t xml:space="preserve">  Shortly thereafter, the ISO withdrew the controversial long-term-grid-planning procedures that it had filed at the Commission.  Belatedly, the ISO itself has come to concede that real problems exist, but it continues to argue that failures in implementation rather than errors in the original market structure and design principles are the source of most of the difficulties.</w:t>
      </w:r>
      <w:r>
        <w:rPr>
          <w:rStyle w:val="FootnoteCharacters"/>
          <w:rStyle w:val="FootnoteReference"/>
        </w:rPr>
        <w:footnoteReference w:id="11"/>
      </w:r>
      <w:r>
        <w:rPr/>
        <w:t xml:space="preserve">  </w:t>
      </w:r>
    </w:p>
    <w:p>
      <w:pPr>
        <w:pStyle w:val="BodyTextFirstIndentDouble"/>
        <w:rPr/>
      </w:pPr>
      <w:r>
        <w:rPr/>
        <w:t>In some sense, these rejected and withdrawn proposals represent progress. The ISO’s lawyers no longer need vigorously defend the ISO’s implementation protocols, arguing that market separation, congestion management, and zonal pricing rules are functioning well and adequately police the ability of generators to exercise market power.</w:t>
      </w:r>
      <w:r>
        <w:rPr>
          <w:rStyle w:val="FootnoteCharacters"/>
          <w:rStyle w:val="FootnoteReference"/>
        </w:rPr>
        <w:footnoteReference w:id="12"/>
      </w:r>
      <w:r>
        <w:rPr/>
        <w:t xml:space="preserve">  The Commission, of course, has now concluded otherwise, and directed the ISO to overhaul or replace its congestion management system and to review its market power mitigation practices.  California consumers should not be expected to pay dramatically higher prices, however, while the ISO begins to confront and remedy the market power problems inherent in its de-centralized approach to market coordination. </w:t>
      </w:r>
    </w:p>
    <w:p>
      <w:pPr>
        <w:pStyle w:val="BodyTextFirstIndentDouble"/>
        <w:rPr/>
      </w:pPr>
      <w:r>
        <w:rPr/>
        <w:t>SDG&amp;E does not, of course, believe that all of the current troubles can be laid solely at the feet of the California ISO and the poorly designed and structured wholesale markets that it coordinates.  There are contributing factors not within the control of the ISO or this Commission that must also be addressed before the California market will work fully as intended. For instance, California needs more supply-side resources, both generation and transmission, to serve its growing load and to relieve significant transmission constraints.  According to the California Energy Commission, 3,643 MW (five projects) will be under construction by the end of 2000, and 8,295 MW (14 projects) are under siting review.</w:t>
      </w:r>
      <w:r>
        <w:rPr>
          <w:rStyle w:val="FootnoteCharacters"/>
          <w:rStyle w:val="FootnoteReference"/>
        </w:rPr>
        <w:footnoteReference w:id="13"/>
      </w:r>
      <w:r>
        <w:rPr/>
        <w:t xml:space="preserve">  Regulatory delay in siting new supply-side facilities must not be allowed to undermine the ability of the markets to function reliably.  Conversely, just throwing more resources into the mix will not produce efficient results for consumers if the ISO’s market-coordination procedures are dysfunctional and allow prices to remain well above competitive levels. </w:t>
      </w:r>
    </w:p>
    <w:p>
      <w:pPr>
        <w:pStyle w:val="BodyTextFirstIndentDouble"/>
        <w:rPr/>
      </w:pPr>
      <w:r>
        <w:rPr/>
        <w:t xml:space="preserve">California’s vision of industry restructuring also contemplated a vibrant retail market, where energy service providers would compete to manage price and supply risks for end-use customers.  SDG&amp;E fully supports California’s decision to place the supply and price risk management function in the hands of merchant companies with the skills and profit motive to execute this critically important function, but the retailing part of the restructured industry has not been able to make much headway, and few residential customers have left the “default” service provided by the utility distribution companies.  Under California's restructuring polices, SDG&amp;E has become an energy “delivery” company, but it will continue until directed otherwise to provide supply service for customers that have not yet chosen a supplier, by passing through the wholesale price in the PX and ISO markets. This is fine for consumers that are comfortable riding the spot market, but the volatility associated with even a workably competitive electricity market may not be acceptable for many consumers that would prefer to have some control over the price they will be charged for electricity. In addition to the </w:t>
      </w:r>
      <w:r>
        <w:rPr>
          <w:i/>
        </w:rPr>
        <w:t xml:space="preserve">de facto </w:t>
      </w:r>
      <w:r>
        <w:rPr/>
        <w:t xml:space="preserve">absence of market-based risk management for residential customers, California policy makers are grappling with the current inelasticity of demand (primarily because of the rate cap shielding Edison and PG&amp;E’s customers from the spot energy prices), and the lack of widespread deployment of hourly meters to allow customers to tailor their consumption patterns to market prices. </w:t>
      </w:r>
    </w:p>
    <w:p>
      <w:pPr>
        <w:pStyle w:val="BodyTextFirstIndentDouble"/>
        <w:rPr/>
      </w:pPr>
      <w:r>
        <w:rPr/>
        <w:t>The resource siting and retail problems discussed above are all contributing to produce the unsatisfactory results facing SDG&amp;E’s customers.  But the existence of these problems must not distract the Commission’s attention from the basic inadequacy of the ISO/PX system – the ISO-coordinated wholesale markets that are subject to the Commission’s exclusive jurisdiction are dysfunctional, inefficient, and incapable of producing just and reasonable rates when loads reach moderately high levels.  The Commission did not design this market, but its statutory responsibilities require that it lead the effort to fix the problems. The Commission must also take immediate, interim measures to protect consumers until reforms are in place and the Commission is able to certify that the design and structure of the California wholesale markets will produce workable competition.</w:t>
      </w:r>
    </w:p>
    <w:p>
      <w:pPr>
        <w:pStyle w:val="Heading1"/>
        <w:numPr>
          <w:ilvl w:val="0"/>
          <w:numId w:val="12"/>
        </w:numPr>
        <w:rPr/>
      </w:pPr>
      <w:r>
        <w:rPr/>
        <w:t>THE ON-GOING STAKEHOLDER PROCESS TO REFORM THE ISO’S CONGESTION MANAGEMENT SYSTEM AND RELATED PROCESSES IS IMPORTANT AND NECESSARY, BUT COMES TOO LATE TO PROTECT CALIFORNIA CONSUMERS.</w:t>
      </w:r>
    </w:p>
    <w:p>
      <w:pPr>
        <w:pStyle w:val="Normal"/>
        <w:rPr/>
      </w:pPr>
      <w:r>
        <w:rPr/>
      </w:r>
    </w:p>
    <w:p>
      <w:pPr>
        <w:pStyle w:val="BodyTextFirstIndentDouble"/>
        <w:rPr/>
      </w:pPr>
      <w:r>
        <w:rPr/>
        <w:t>The Commission has extended substantial deference to the California ISO’s unique approach to coordinating the short-term markets and has intervened to prompt reform only when it became clear that the ISO’s</w:t>
      </w:r>
      <w:r>
        <w:rPr>
          <w:b/>
        </w:rPr>
        <w:t xml:space="preserve"> </w:t>
      </w:r>
      <w:r>
        <w:rPr/>
        <w:t xml:space="preserve">Board of Governors was simply unable or unwilling to </w:t>
      </w:r>
    </w:p>
    <w:p>
      <w:pPr>
        <w:pStyle w:val="BodyTextFirstIndentDouble"/>
        <w:ind w:hanging="0" w:end="0"/>
        <w:rPr/>
      </w:pPr>
      <w:r>
        <w:rPr/>
        <w:t>confront the underlying structure and design problems that now seem apparent to all.</w:t>
      </w:r>
      <w:r>
        <w:rPr>
          <w:rStyle w:val="FootnoteCharacters"/>
          <w:rStyle w:val="FootnoteReference"/>
        </w:rPr>
        <w:footnoteReference w:id="14"/>
      </w:r>
      <w:r>
        <w:rPr/>
        <w:t xml:space="preserve"> The California markets will not function consistently with the public interest until consumer welfare is placed at the top of the design list.  </w:t>
      </w:r>
    </w:p>
    <w:p>
      <w:pPr>
        <w:pStyle w:val="BodyTextFirstIndentDouble"/>
        <w:rPr/>
      </w:pPr>
      <w:r>
        <w:rPr/>
        <w:t xml:space="preserve">The Commission must insist that the California ISO market-coordination function be reformed to support efficient and effective competition.  The mantra usually heard – stakeholders want market separation, de-centralized decision making on dispatch and unit commitment issues, and suppression of locational pricing differentials – must not be allowed to stand in the way of a full examination of the reasons why the ISO/PX markets are not workably competitive. The ISO’s July 11 </w:t>
      </w:r>
      <w:r>
        <w:rPr>
          <w:i/>
        </w:rPr>
        <w:t>Reform Proposal</w:t>
      </w:r>
      <w:r>
        <w:rPr/>
        <w:t>, which</w:t>
      </w:r>
      <w:r>
        <w:rPr>
          <w:i/>
        </w:rPr>
        <w:t xml:space="preserve"> </w:t>
      </w:r>
      <w:r>
        <w:rPr/>
        <w:t xml:space="preserve">has been circulated to market participants for comment, on the one hand acknowledges that the current market-coordination practices are not working well, but, on the other hand, extols the virtues of the current market structure and design and steadfastly refuses to propose the changes that are necessary to support workable competition.  Consequently, SDG&amp;E is not optimistic that this Commission-initiated stakeholder reform effort will produce meaningful results without additional direction from the </w:t>
      </w:r>
    </w:p>
    <w:p>
      <w:pPr>
        <w:pStyle w:val="BodyTextFirstIndentDouble"/>
        <w:ind w:hanging="0" w:end="0"/>
        <w:rPr/>
      </w:pPr>
      <w:r>
        <w:rPr/>
        <w:t>Commission.</w:t>
      </w:r>
      <w:r>
        <w:rPr>
          <w:rStyle w:val="FootnoteCharacters"/>
          <w:rStyle w:val="FootnoteReference"/>
        </w:rPr>
        <w:footnoteReference w:id="15"/>
      </w:r>
      <w:r>
        <w:rPr/>
        <w:t xml:space="preserve">  </w:t>
      </w:r>
    </w:p>
    <w:p>
      <w:pPr>
        <w:pStyle w:val="BodyTextFirstIndentDouble"/>
        <w:rPr/>
      </w:pPr>
      <w:r>
        <w:rPr/>
        <w:t xml:space="preserve">SDG&amp;E had hoped that the ISO’s </w:t>
      </w:r>
      <w:r>
        <w:rPr>
          <w:i/>
        </w:rPr>
        <w:t xml:space="preserve">Reform Proposal </w:t>
      </w:r>
      <w:r>
        <w:rPr/>
        <w:t xml:space="preserve">would present a straightforward and compelling analysis of how the new approach would better mitigate market power and improve the performance of the market. SDG&amp;E is particularly disappointed that the draft report does not explain why workable solutions being used elsewhere should not also be adopted in California. The draft </w:t>
      </w:r>
      <w:r>
        <w:rPr>
          <w:i/>
        </w:rPr>
        <w:t>Reform Proposal</w:t>
      </w:r>
      <w:r>
        <w:rPr/>
        <w:t xml:space="preserve"> has not been able to shake free from the unique constraints that were incorporated in the original California design.</w:t>
      </w:r>
      <w:r>
        <w:rPr>
          <w:rStyle w:val="FootnoteCharacters"/>
          <w:rStyle w:val="FootnoteReference"/>
        </w:rPr>
        <w:footnoteReference w:id="16"/>
      </w:r>
      <w:r>
        <w:rPr/>
        <w:t xml:space="preserve"> Rather than correcting the rules for the existing markets along the lines that have worked elsewhere, the </w:t>
      </w:r>
      <w:r>
        <w:rPr>
          <w:i/>
        </w:rPr>
        <w:t>Reform Proposal</w:t>
      </w:r>
      <w:r>
        <w:rPr/>
        <w:t xml:space="preserve"> pursues an approach requiring introduction of new markets and even more complicated procedures than currently in place. The new markets and rules are unfamiliar and unproven, and may well produce even more opportunities for “gaming” the system, leading to generally higher prices. It is clear that these most recent proposals are a step backward away from competitive markets and a step toward more intervention by the ISO to work around the special problems that have been created by its own rules. Given that there are well-designed market systems that have worked elsewhere, the burden should now be shifted to favor those working models and against the novel and distracting contortions of the </w:t>
      </w:r>
      <w:r>
        <w:rPr>
          <w:i/>
        </w:rPr>
        <w:t>Reform Proposal</w:t>
      </w:r>
      <w:r>
        <w:rPr/>
        <w:t xml:space="preserve"> offered by the California ISO. </w:t>
      </w:r>
    </w:p>
    <w:p>
      <w:pPr>
        <w:pStyle w:val="Heading1"/>
        <w:numPr>
          <w:ilvl w:val="0"/>
          <w:numId w:val="12"/>
        </w:numPr>
        <w:rPr/>
      </w:pPr>
      <w:r>
        <w:rPr/>
        <w:t xml:space="preserve">UNTIL WORKABLE COMPETITION IS ESTABLISHED, SUPPLY BIDS INTO THE CALIFORNIA FORWARD AND REAL-TIME MARKETS SHOULD BE CAPPED AT $250 PER MWH.  </w:t>
      </w:r>
    </w:p>
    <w:p>
      <w:pPr>
        <w:pStyle w:val="Normal"/>
        <w:rPr/>
      </w:pPr>
      <w:r>
        <w:rPr/>
      </w:r>
    </w:p>
    <w:p>
      <w:pPr>
        <w:pStyle w:val="BodyTextFirstIndentDouble"/>
        <w:rPr/>
      </w:pPr>
      <w:r>
        <w:rPr/>
        <w:t xml:space="preserve">As stated above, it is clear that the markets for energy and ancillary services in California are not workably competitive, at least when overall state-wide demand reaches the neighborhood of 33,000 MW.  At such demand levels, prevalent wholesale prices -- prices subject to this Commission's jurisdiction -- are neither just nor reasonable: suppliers are selling electricity at prices that far exceed prices produced by competition and, of course, consumers are being required to pay these prices and enrich the generators. SDG&amp;E remains committed to the establishment of efficient, competitive electricity markets but, in the interim, the Commission must step in.  Indeed, the question is not whether it should do so but how quickly. We submit that the Commission should act with urgency. </w:t>
      </w:r>
    </w:p>
    <w:p>
      <w:pPr>
        <w:pStyle w:val="BodyTextFirstIndentDouble"/>
        <w:rPr/>
      </w:pPr>
      <w:r>
        <w:rPr/>
        <w:t xml:space="preserve">The necessary premise upon which sellers of energy or ancillary services have been authorized, under Section 205 of the Federal Power Act, to make sales at other than cost-based rates is that such sellers lack market power </w:t>
      </w:r>
      <w:r>
        <w:rPr>
          <w:u w:val="single"/>
        </w:rPr>
        <w:t>and</w:t>
      </w:r>
      <w:r>
        <w:rPr/>
        <w:t xml:space="preserve"> that the markets into which they are selling are workably competitive. If markets are not workably competitive, the Commission cannot rely</w:t>
      </w:r>
    </w:p>
    <w:p>
      <w:pPr>
        <w:pStyle w:val="BodyTextFirstIndentDouble"/>
        <w:ind w:hanging="0" w:end="0"/>
        <w:rPr/>
      </w:pPr>
      <w:r>
        <w:rPr/>
        <w:t xml:space="preserve"> </w:t>
      </w:r>
      <w:r>
        <w:rPr/>
        <w:t xml:space="preserve">upon them, as an alternative to sellers' costs, to set just and reasonable rates. </w:t>
      </w:r>
      <w:r>
        <w:rPr>
          <w:rStyle w:val="FootnoteCharacters"/>
          <w:rStyle w:val="FootnoteReference"/>
        </w:rPr>
        <w:footnoteReference w:id="17"/>
      </w:r>
      <w:r>
        <w:rPr/>
        <w:t xml:space="preserve">  As shown above, the premise of workable competition does not hold true at present in the California PX and ISO energy and ancillary service markets, at least during high-load conditions.  </w:t>
      </w:r>
    </w:p>
    <w:p>
      <w:pPr>
        <w:pStyle w:val="BodyTextFirstIndentDouble"/>
        <w:rPr/>
      </w:pPr>
      <w:r>
        <w:rPr/>
        <w:t>In such circumstances, the authorization of suppliers to sell at rates exceeding cost -- if continued at all -- must, at the very least, be restricted</w:t>
      </w:r>
      <w:r>
        <w:rPr>
          <w:b/>
        </w:rPr>
        <w:t xml:space="preserve">.  </w:t>
      </w:r>
      <w:r>
        <w:rPr/>
        <w:t>Specifically,</w:t>
      </w:r>
      <w:r>
        <w:rPr>
          <w:b/>
        </w:rPr>
        <w:t xml:space="preserve"> </w:t>
      </w:r>
      <w:r>
        <w:rPr/>
        <w:t xml:space="preserve">the authorization of any seller to make sales for resale in interstate commerce at market-based rates should be conditioned to provide that, unless or until the Commission finds that bulk power markets for energy and ancillary services in California are workably competitive, such seller shall not submit a bid of more than $250 per MWh to supply energy or ancillary services into markets operated by the ISO or the PX.  </w:t>
      </w:r>
    </w:p>
    <w:p>
      <w:pPr>
        <w:pStyle w:val="BodyTextFirstIndentDouble"/>
        <w:rPr/>
      </w:pPr>
      <w:r>
        <w:rPr/>
        <w:t>SDG&amp;E proposes a bid cap of $250 because that amount will easily exceed the variable costs of any supplier making sales into the ISO or PX markets, while still providing significant relief to consumers in high-load periods.  Even the most inefficient gas-fired generating unit should handily cover its operating costs at a $250/MWh price cap.  At current natural gas prices (approximately $4.62 per MMBTU at the California border), operating costs for an inefficient gas-fired unit with a high heat rate of 20,000 BTU/kWh and a five percent capacity factor would be $147/MWh. Thus, virtually any gas-fired unit in the WSCC should be able to cover its operating costs under the $250 cap and earn some return of sunk capital costs</w:t>
      </w:r>
      <w:r>
        <w:rPr>
          <w:b/>
        </w:rPr>
        <w:t xml:space="preserve">. </w:t>
      </w:r>
    </w:p>
    <w:p>
      <w:pPr>
        <w:pStyle w:val="BodyTextFirstIndentDouble"/>
        <w:rPr/>
      </w:pPr>
      <w:r>
        <w:rPr/>
        <w:t>As the Commission may be aware, on August 1, 2000, the ISO's Board of Governors voted to lower the ISO's purchase price cap to $250.  That measure does not obviate the urgent need for Commission action.  For one thing, of course, it can be reversed in the event that a relatively small number of Board members change their position – California ISO governors understandably reflect the perspectives of the particular interests they represent. More importantly, however, the ISO's price caps do not extend to transactions in the day-ahead, hour-ahead, and block forward markets conducted by the PX, which together account for the great bulk of the sales at wholesale to meet retail demand in California. In June 2000, for example, the amount of energy sold through the PX day-ahead and hour ahead energy markets together accounted for approximately four times the amount sold through the ISO real-time market. While caps on what the ISO pays for energy and ancillary services will have some effect on prices in the PX markets, that effect is indirect. Indeed, to the extent that the ISO price caps influence PX prices, it is largely because demand will tend to migrate to the capped real-time energy market.  As the ISO has emphasized, however, an increase in the portion of demand that is met in the real-time market also increases overall price volatility and makes the system less efficient to operate.</w:t>
      </w:r>
      <w:r>
        <w:rPr>
          <w:rStyle w:val="FootnoteCharacters"/>
          <w:rStyle w:val="FootnoteReference"/>
        </w:rPr>
        <w:footnoteReference w:id="18"/>
      </w:r>
      <w:r>
        <w:rPr/>
        <w:t xml:space="preserve">  </w:t>
      </w:r>
    </w:p>
    <w:p>
      <w:pPr>
        <w:pStyle w:val="BodyTextFirstIndentDouble"/>
        <w:rPr/>
      </w:pPr>
      <w:r>
        <w:rPr/>
        <w:t>Thus, a cap on the ISO's purchase price will not solve the problem at hand.</w:t>
      </w:r>
      <w:r>
        <w:rPr>
          <w:rStyle w:val="FootnoteCharacters"/>
          <w:rStyle w:val="FootnoteReference"/>
        </w:rPr>
        <w:footnoteReference w:id="19"/>
      </w:r>
      <w:r>
        <w:rPr/>
        <w:t xml:space="preserve">  In contrast, a restriction on suppliers' authority to make sales at market-based rates would be directed at the proper party from a statutory perspective--the seller--and would provide broader protection against the exercise of market power and other market distortions.  In short, even if the Commission could delegate to the ISO its responsibility to assure that wholesale rates charged by jurisdictional sellers are just and reasonable, such delegation would not be sufficient here.  </w:t>
      </w:r>
    </w:p>
    <w:p>
      <w:pPr>
        <w:pStyle w:val="BodyTextFirstIndentDouble"/>
        <w:rPr/>
      </w:pPr>
      <w:r>
        <w:rPr/>
        <w:t>The imposition of bid caps is not, of course, a long-term solution. The California electricity market must, as described above, be fundamentally reformed. The ISO’s market-coordination practices must be altered to mitigate market power and improve overall efficiency; additional generation and transmission assets must be brought to bear; and the retail markets must be reformed to introduce market-based risk management and demand responsiveness.  SDG&amp;E, with its parent Sempra Energy, intends to play an active and constructive role in developing these solutions.</w:t>
      </w:r>
      <w:r>
        <w:rPr>
          <w:rStyle w:val="FootnoteCharacters"/>
          <w:rStyle w:val="FootnoteReference"/>
        </w:rPr>
        <w:footnoteReference w:id="20"/>
      </w:r>
      <w:r>
        <w:rPr/>
        <w:t xml:space="preserve">  As such reforms take effect, the continued need for bid caps will need to be reassessed.</w:t>
      </w:r>
      <w:r>
        <w:rPr>
          <w:rStyle w:val="FootnoteCharacters"/>
          <w:rStyle w:val="FootnoteReference"/>
        </w:rPr>
        <w:footnoteReference w:id="21"/>
      </w:r>
      <w:r>
        <w:rPr/>
        <w:t xml:space="preserve">  </w:t>
      </w:r>
    </w:p>
    <w:p>
      <w:pPr>
        <w:pStyle w:val="Heading1"/>
        <w:ind w:hanging="0" w:start="0"/>
        <w:rPr/>
      </w:pPr>
      <w:r>
        <w:rPr/>
        <w:t>THIS COMPLAINT SHOULD BE PROCESSED AS QUICKLY AS POSSIBLE</w:t>
      </w:r>
      <w:r>
        <w:rPr>
          <w:b w:val="false"/>
        </w:rPr>
        <w:t>.</w:t>
      </w:r>
    </w:p>
    <w:p>
      <w:pPr>
        <w:pStyle w:val="Normal"/>
        <w:rPr/>
      </w:pPr>
      <w:r>
        <w:rPr/>
      </w:r>
    </w:p>
    <w:p>
      <w:pPr>
        <w:pStyle w:val="BodyTextFirstIndentDouble"/>
        <w:rPr/>
      </w:pPr>
      <w:r>
        <w:rPr/>
        <w:t xml:space="preserve">As described above, failure of bulk power markets at high-load levels is resulting, each day, in enormous transfers of wealth from captive buyers to generators and marketers selling through the PX and to the ISO.  The need for action is genuinely urgent.  </w:t>
      </w:r>
    </w:p>
    <w:p>
      <w:pPr>
        <w:pStyle w:val="BodyTextFirstIndentDouble"/>
        <w:rPr/>
      </w:pPr>
      <w:r>
        <w:rPr/>
        <w:t xml:space="preserve">The Commission has indicated that its "Fast Track" procedures under 18 C.F.R. § 385.206(h) will not apply where the complaint seeks a change in a tariff. </w:t>
      </w:r>
      <w:r>
        <w:rPr>
          <w:rStyle w:val="FootnoteCharacters"/>
          <w:rStyle w:val="FootnoteReference"/>
        </w:rPr>
        <w:footnoteReference w:id="22"/>
      </w:r>
      <w:r>
        <w:rPr/>
        <w:t xml:space="preserve">  For that reason, and because of the large number of suppliers whose market-based rate schedules are at issue, Fast Track procedures may not properly be applicable here.  </w:t>
      </w:r>
    </w:p>
    <w:p>
      <w:pPr>
        <w:pStyle w:val="BodyTextFirstIndentDouble"/>
        <w:rPr/>
      </w:pPr>
      <w:r>
        <w:rPr/>
        <w:t>On the other hand, given the urgency of the situation, time is of the essence.  Accordingly, SDG&amp;E respectfully requests that the Commission place the instant complaint on public notice as quickly as possible, and the fix time for filing answers at 15 days from the date of that notice.</w:t>
      </w:r>
      <w:r>
        <w:rPr>
          <w:rStyle w:val="FootnoteCharacters"/>
          <w:rStyle w:val="FootnoteReference"/>
        </w:rPr>
        <w:footnoteReference w:id="23"/>
      </w:r>
      <w:r>
        <w:rPr/>
        <w:t xml:space="preserve">  Further, SDG&amp;E respectfully urges the Commission to act as quickly as </w:t>
      </w:r>
      <w:r>
        <w:br w:type="page"/>
      </w:r>
    </w:p>
    <w:p>
      <w:pPr>
        <w:pStyle w:val="Normal"/>
        <w:rPr/>
      </w:pPr>
      <w:r>
        <w:rPr/>
        <w:t>possible on the merits of this complaint.</w:t>
      </w:r>
      <w:r>
        <w:rPr>
          <w:rStyle w:val="FootnoteCharacters"/>
          <w:rStyle w:val="FootnoteReference"/>
        </w:rPr>
        <w:footnoteReference w:id="24"/>
      </w:r>
      <w:r>
        <w:rPr/>
        <w:t xml:space="preserve">  </w:t>
      </w:r>
    </w:p>
    <w:p>
      <w:pPr>
        <w:pStyle w:val="Normal"/>
        <w:rPr/>
      </w:pPr>
      <w:r>
        <w:rPr/>
      </w:r>
    </w:p>
    <w:p>
      <w:pPr>
        <w:pStyle w:val="Normal"/>
        <w:rPr>
          <w:b/>
        </w:rPr>
      </w:pPr>
      <w:r>
        <w:rPr>
          <w:b/>
        </w:rPr>
        <w:t>VIII.</w:t>
        <w:tab/>
        <w:t>CONCLUSION</w:t>
      </w:r>
    </w:p>
    <w:p>
      <w:pPr>
        <w:pStyle w:val="Normal"/>
        <w:rPr>
          <w:b/>
        </w:rPr>
      </w:pPr>
      <w:r>
        <w:rPr>
          <w:b/>
        </w:rPr>
      </w:r>
    </w:p>
    <w:p>
      <w:pPr>
        <w:pStyle w:val="Normal"/>
        <w:spacing w:lineRule="auto" w:line="480"/>
        <w:rPr/>
      </w:pPr>
      <w:r>
        <w:rPr/>
        <w:tab/>
        <w:tab/>
        <w:t xml:space="preserve">SDG&amp;E respectfully requests that the Commission find that rates in excess of $250 per MWh for sales into the markets for energy and ancillary services operated by the California Independent System Operator Corporation and the California Power Exchange </w:t>
      </w:r>
    </w:p>
    <w:p>
      <w:pPr>
        <w:pStyle w:val="Normal"/>
        <w:spacing w:lineRule="auto" w:line="480"/>
        <w:rPr/>
      </w:pPr>
      <w:r>
        <w:rPr/>
        <w:t xml:space="preserve">Corporation are unjust and unreasonable and that it condition the authorization to make sales into </w:t>
      </w:r>
    </w:p>
    <w:p>
      <w:pPr>
        <w:pStyle w:val="Normal"/>
        <w:spacing w:lineRule="auto" w:line="480"/>
        <w:rPr/>
      </w:pPr>
      <w:r>
        <w:rPr/>
        <w:t>those markets at market-based rates accordingly.  SDG&amp;E further respectfully requests that the</w:t>
        <w:br/>
        <w:t>Commission act on this complaint at the earliest possible time.</w:t>
      </w:r>
    </w:p>
    <w:p>
      <w:pPr>
        <w:pStyle w:val="Normal"/>
        <w:rPr/>
      </w:pPr>
      <w:r>
        <w:rPr/>
        <w:tab/>
        <w:tab/>
        <w:tab/>
        <w:tab/>
        <w:t>Respectfully submitted,</w:t>
      </w:r>
    </w:p>
    <w:p>
      <w:pPr>
        <w:pStyle w:val="sog"/>
        <w:rPr/>
      </w:pPr>
      <w:r>
        <w:rPr/>
      </w:r>
    </w:p>
    <w:p>
      <w:pPr>
        <w:pStyle w:val="sog"/>
        <w:rPr/>
      </w:pPr>
      <w:r>
        <w:rPr/>
      </w:r>
    </w:p>
    <w:p>
      <w:pPr>
        <w:pStyle w:val="sog"/>
        <w:rPr/>
      </w:pPr>
      <w:r>
        <w:rPr/>
      </w:r>
    </w:p>
    <w:p>
      <w:pPr>
        <w:pStyle w:val="Normal"/>
        <w:rPr/>
      </w:pPr>
      <w:r>
        <w:rPr/>
        <w:tab/>
        <w:t>Nicholas W. Fels</w:t>
        <w:tab/>
        <w:tab/>
        <w:tab/>
        <w:tab/>
        <w:tab/>
        <w:t>Don Garber</w:t>
      </w:r>
    </w:p>
    <w:p>
      <w:pPr>
        <w:pStyle w:val="Normal"/>
        <w:rPr/>
      </w:pPr>
      <w:r>
        <w:rPr/>
        <w:tab/>
        <w:t>Covington &amp; Burling</w:t>
        <w:tab/>
        <w:tab/>
        <w:tab/>
        <w:tab/>
        <w:tab/>
        <w:t>Sempra Energy</w:t>
      </w:r>
    </w:p>
    <w:p>
      <w:pPr>
        <w:pStyle w:val="Normal"/>
        <w:rPr/>
      </w:pPr>
      <w:r>
        <w:rPr/>
        <w:tab/>
        <w:t>1201 Pennsylvania Avenue, N.W.</w:t>
        <w:tab/>
        <w:tab/>
        <w:tab/>
        <w:t>101 Ash Street</w:t>
      </w:r>
    </w:p>
    <w:p>
      <w:pPr>
        <w:pStyle w:val="Normal"/>
        <w:rPr/>
      </w:pPr>
      <w:r>
        <w:rPr/>
        <w:tab/>
        <w:t>Washington, D.C.  20004-2401</w:t>
        <w:tab/>
        <w:tab/>
        <w:tab/>
        <w:t>San Diego, CA  92101-3017</w:t>
      </w:r>
    </w:p>
    <w:p>
      <w:pPr>
        <w:pStyle w:val="Normal"/>
        <w:rPr/>
      </w:pPr>
      <w:r>
        <w:rPr/>
        <w:tab/>
        <w:t>(202) 662-5648</w:t>
        <w:tab/>
        <w:tab/>
        <w:tab/>
        <w:tab/>
        <w:tab/>
        <w:t>(619) 696-4539</w:t>
      </w:r>
    </w:p>
    <w:p>
      <w:pPr>
        <w:pStyle w:val="Normal"/>
        <w:rPr/>
      </w:pPr>
      <w:r>
        <w:rPr/>
        <w:tab/>
        <w:t>(202) 778-5648</w:t>
        <w:tab/>
        <w:tab/>
        <w:tab/>
        <w:tab/>
        <w:tab/>
        <w:t>(619) 696-5027</w:t>
      </w:r>
    </w:p>
    <w:p>
      <w:pPr>
        <w:pStyle w:val="Normal"/>
        <w:rPr/>
      </w:pPr>
      <w:r>
        <w:rPr/>
        <w:tab/>
        <w:t>nfels@cov.com</w:t>
        <w:tab/>
        <w:tab/>
        <w:tab/>
        <w:tab/>
        <w:tab/>
        <w:t>dgarber@sempra.com</w:t>
      </w:r>
    </w:p>
    <w:p>
      <w:pPr>
        <w:pStyle w:val="Normal"/>
        <w:rPr/>
      </w:pPr>
      <w:r>
        <w:rPr/>
      </w:r>
    </w:p>
    <w:p>
      <w:pPr>
        <w:pStyle w:val="Normal"/>
        <w:rPr/>
      </w:pPr>
      <w:r>
        <w:rPr/>
        <w:tab/>
        <w:tab/>
        <w:tab/>
        <w:tab/>
      </w:r>
      <w:r>
        <w:rPr>
          <w:u w:val="single"/>
        </w:rPr>
        <w:t>Attorneys for San Diego Gas</w:t>
      </w:r>
    </w:p>
    <w:p>
      <w:pPr>
        <w:pStyle w:val="Normal"/>
        <w:rPr/>
      </w:pPr>
      <w:r>
        <w:rPr/>
        <w:tab/>
        <w:tab/>
        <w:tab/>
        <w:tab/>
        <w:t xml:space="preserve">      </w:t>
      </w:r>
      <w:r>
        <w:rPr>
          <w:u w:val="single"/>
        </w:rPr>
        <w:t>&amp; Electric Company</w:t>
      </w:r>
    </w:p>
    <w:p>
      <w:pPr>
        <w:pStyle w:val="Normal"/>
        <w:rPr>
          <w:u w:val="single"/>
        </w:rPr>
      </w:pPr>
      <w:r>
        <w:rPr>
          <w:u w:val="single"/>
        </w:rPr>
      </w:r>
    </w:p>
    <w:p>
      <w:pPr>
        <w:pStyle w:val="Normal"/>
        <w:rPr/>
      </w:pPr>
      <w:r>
        <w:rPr/>
        <w:t>August 2, 2000</w:t>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18</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60" w:before="0" w:after="120"/>
        <w:rPr/>
      </w:pPr>
      <w:r>
        <w:rPr>
          <w:rStyle w:val="FootnoteCharacters"/>
        </w:rPr>
        <w:footnoteRef/>
      </w:r>
      <w:r>
        <w:rPr/>
        <w:t xml:space="preserve"> </w:t>
      </w:r>
      <w:r>
        <w:rPr/>
        <w:tab/>
        <w:t xml:space="preserve">As described more fully below, this complaint seeks amendment to the market-based rate schedules of all sellers into the markets for energy and ancillary services conducted by the California Independent System Operator and the California Power Exchange.  Listing of all such sellers would be impracticable.  Service of this complaint is described in footnote 22 below.  </w:t>
      </w:r>
    </w:p>
  </w:footnote>
  <w:footnote w:id="3">
    <w:p>
      <w:pPr>
        <w:pStyle w:val="FootnoteText"/>
        <w:spacing w:lineRule="exact" w:line="260" w:before="0" w:after="120"/>
        <w:rPr/>
      </w:pPr>
      <w:r>
        <w:rPr>
          <w:rStyle w:val="FootnoteCharacters"/>
        </w:rPr>
        <w:footnoteRef/>
      </w:r>
      <w:r>
        <w:rPr/>
        <w:t xml:space="preserve"> </w:t>
      </w:r>
      <w:r>
        <w:rPr/>
        <w:tab/>
        <w:t xml:space="preserve">Appendix B hereto shows prices to SDG&amp;E's residential customers, and the savings to such customers if a $250 price cap had been in effect this summer.  </w:t>
      </w:r>
    </w:p>
  </w:footnote>
  <w:footnote w:id="4">
    <w:p>
      <w:pPr>
        <w:pStyle w:val="FootnoteText"/>
        <w:spacing w:lineRule="exact" w:line="260" w:before="0" w:after="120"/>
        <w:rPr/>
      </w:pPr>
      <w:r>
        <w:rPr>
          <w:rStyle w:val="FootnoteCharacters"/>
        </w:rPr>
        <w:footnoteRef/>
      </w:r>
      <w:r>
        <w:rPr/>
        <w:t xml:space="preserve"> </w:t>
      </w:r>
      <w:r>
        <w:rPr/>
        <w:tab/>
        <w:t xml:space="preserve">Similarly in June and July 1999, the PX day-ahead price for Southern California never exceeded $250.  In 2000, that price equaled or exceeded $250 167 times and $500 59 times.  Appendix D shows the PX day-ahead price for each hour of June and July for each of the two years, together with the ISO-grid load for that hour.  </w:t>
      </w:r>
    </w:p>
  </w:footnote>
  <w:footnote w:id="5">
    <w:p>
      <w:pPr>
        <w:pStyle w:val="FootnoteText"/>
        <w:spacing w:lineRule="exact" w:line="260" w:before="0" w:after="120"/>
        <w:rPr/>
      </w:pPr>
      <w:r>
        <w:rPr>
          <w:rStyle w:val="FootnoteCharacters"/>
        </w:rPr>
        <w:footnoteRef/>
      </w:r>
      <w:r>
        <w:rPr/>
        <w:t xml:space="preserve"> </w:t>
      </w:r>
      <w:r>
        <w:rPr/>
        <w:tab/>
      </w:r>
      <w:r>
        <w:rPr>
          <w:i/>
        </w:rPr>
        <w:t>California ISO Congestion Management Reform Recommendation (Draft),</w:t>
      </w:r>
      <w:r>
        <w:rPr/>
        <w:t xml:space="preserve"> July 11, 2000 at 15, hereinafter referred to as the </w:t>
      </w:r>
      <w:r>
        <w:rPr>
          <w:i/>
        </w:rPr>
        <w:t xml:space="preserve">Reform Proposal. </w:t>
      </w:r>
      <w:r>
        <w:rPr/>
        <w:t>The ISO report can be found at the California ISO’s web site (</w:t>
      </w:r>
      <w:hyperlink r:id="rId1">
        <w:r>
          <w:rPr>
            <w:rStyle w:val="Hyperlink"/>
          </w:rPr>
          <w:t>http://www.caiso.com/client</w:t>
        </w:r>
      </w:hyperlink>
      <w:r>
        <w:rPr/>
        <w:t xml:space="preserve"> services/ stakeholder processes/ congestion management).</w:t>
      </w:r>
    </w:p>
  </w:footnote>
  <w:footnote w:id="6">
    <w:p>
      <w:pPr>
        <w:pStyle w:val="FootnoteText"/>
        <w:spacing w:lineRule="exact" w:line="260" w:before="0" w:after="120"/>
        <w:rPr/>
      </w:pPr>
      <w:r>
        <w:rPr>
          <w:rStyle w:val="FootnoteCharacters"/>
        </w:rPr>
        <w:footnoteRef/>
      </w:r>
      <w:r>
        <w:rPr/>
        <w:t xml:space="preserve"> </w:t>
      </w:r>
      <w:r>
        <w:rPr/>
        <w:tab/>
        <w:t>The PJM and New York systems use an ISO-coordinated spot market based on a bid-based, security-constrained economic dispatch with nodal prices, financial</w:t>
      </w:r>
      <w:r>
        <w:rPr>
          <w:rFonts w:cs="Arial" w:ascii="Arial" w:hAnsi="Arial"/>
        </w:rPr>
        <w:t xml:space="preserve"> </w:t>
      </w:r>
      <w:r>
        <w:rPr/>
        <w:t>transmission rights, and the option of using either pool-based or physical bilateral schedules</w:t>
      </w:r>
      <w:r>
        <w:rPr>
          <w:rFonts w:cs="Arial" w:ascii="Arial" w:hAnsi="Arial"/>
        </w:rPr>
        <w:t>.</w:t>
      </w:r>
    </w:p>
  </w:footnote>
  <w:footnote w:id="7">
    <w:p>
      <w:pPr>
        <w:pStyle w:val="Normal"/>
        <w:rPr/>
      </w:pPr>
      <w:r>
        <w:rPr>
          <w:rStyle w:val="FootnoteCharacters"/>
        </w:rPr>
        <w:footnoteRef/>
      </w:r>
      <w:r>
        <w:rPr/>
        <w:tab/>
        <w:t xml:space="preserve">SDG&amp;E is not alone in concluding that wholesale markets in California are not workably competitive, at least at high load levels.  The ISO Board explicitly so found in a resolution adopted on June 28, 2000.  So too did Dr. Frank  Wolak, Chairman of the ISO’s Market Surveillance Committee (“MSC”), which is independent of ISO management.  </w:t>
      </w:r>
      <w:r>
        <w:rPr>
          <w:i/>
        </w:rPr>
        <w:t xml:space="preserve">See </w:t>
      </w:r>
      <w:r>
        <w:rPr/>
        <w:t xml:space="preserve">Frank A. Wolak, “Recent Events in the California Electricity Industry and the Level of Price Caps on the ISO’s Energy and Ancillary Service Markets” at 2.  The report is available at </w:t>
      </w:r>
      <w:hyperlink r:id="rId2">
        <w:r>
          <w:rPr>
            <w:rStyle w:val="Hyperlink"/>
          </w:rPr>
          <w:t>http://www.caiso.com/docs/2000/07/06/200007061511126687.html</w:t>
        </w:r>
      </w:hyperlink>
      <w:r>
        <w:rPr/>
        <w:t xml:space="preserve">.  Defects in the markets have been catalogued by the MSC and by the PX's independent market monitoring organization in reports filed over the past two years.  </w:t>
      </w:r>
      <w:r>
        <w:rPr>
          <w:i/>
        </w:rPr>
        <w:t xml:space="preserve">See Report on Market Issues in the California Power Exchange Energy Markets, </w:t>
      </w:r>
      <w:r>
        <w:rPr/>
        <w:t xml:space="preserve">filed in Docket Nos. ER 98-2843-001, </w:t>
      </w:r>
      <w:r>
        <w:rPr>
          <w:i/>
        </w:rPr>
        <w:t>et al.</w:t>
      </w:r>
      <w:r>
        <w:rPr/>
        <w:t xml:space="preserve"> (Aug. 17, 1998); </w:t>
      </w:r>
      <w:r>
        <w:rPr>
          <w:i/>
        </w:rPr>
        <w:t xml:space="preserve">Preliminary Report on the Operation of the Ancillary Services Markets of the California Independent System Operator, </w:t>
      </w:r>
      <w:r>
        <w:rPr/>
        <w:t xml:space="preserve">filed in Docket Nos. ER98-2843-001, </w:t>
      </w:r>
      <w:r>
        <w:rPr>
          <w:i/>
        </w:rPr>
        <w:t>et al.</w:t>
      </w:r>
      <w:r>
        <w:rPr/>
        <w:t xml:space="preserve"> (Aug. 19, 1998); </w:t>
      </w:r>
      <w:r>
        <w:rPr>
          <w:i/>
        </w:rPr>
        <w:t xml:space="preserve">Second Report on Market Issues in the California Power Exchange Energy Markets, </w:t>
      </w:r>
      <w:r>
        <w:rPr/>
        <w:t xml:space="preserve">filed in Docket Nos. ER98-2843-006, </w:t>
      </w:r>
      <w:r>
        <w:rPr>
          <w:i/>
        </w:rPr>
        <w:t>et al. (March 10, 1999)</w:t>
      </w:r>
      <w:r>
        <w:rPr/>
        <w:t xml:space="preserve">; </w:t>
      </w:r>
      <w:r>
        <w:rPr>
          <w:i/>
        </w:rPr>
        <w:t xml:space="preserve">Report on Redesign of Markets for Ancillary Services and Real-Time Energy, </w:t>
      </w:r>
      <w:r>
        <w:rPr/>
        <w:t xml:space="preserve">filed in  Docket Nos. ER98-2843-007, </w:t>
      </w:r>
      <w:r>
        <w:rPr>
          <w:i/>
        </w:rPr>
        <w:t>et al.</w:t>
      </w:r>
      <w:r>
        <w:rPr/>
        <w:t xml:space="preserve">(April 6, 1999); </w:t>
      </w:r>
      <w:r>
        <w:rPr>
          <w:i/>
        </w:rPr>
        <w:t xml:space="preserve">Annual Report on Market Issues and  Performance, </w:t>
      </w:r>
      <w:r>
        <w:rPr/>
        <w:t xml:space="preserve">filed in Docket No. ER99-3158-000 (June 4, 1999); </w:t>
      </w:r>
      <w:r>
        <w:rPr>
          <w:i/>
        </w:rPr>
        <w:t xml:space="preserve">MSC’s Report On Redesign of California Real-Time Energy and Ancillary Services Markets, </w:t>
      </w:r>
      <w:r>
        <w:rPr/>
        <w:t xml:space="preserve">filed in Docket Nos. ER98-2843-000, </w:t>
      </w:r>
      <w:r>
        <w:rPr>
          <w:i/>
        </w:rPr>
        <w:t>et al.(</w:t>
      </w:r>
      <w:r>
        <w:rPr/>
        <w:t xml:space="preserve">Oct. 18, 1999); </w:t>
      </w:r>
      <w:r>
        <w:rPr>
          <w:i/>
        </w:rPr>
        <w:t xml:space="preserve">PX Annual Report, </w:t>
      </w:r>
      <w:r>
        <w:rPr/>
        <w:t xml:space="preserve">filed in Docket Nos. ER 96-1663 and EC 96-19 (July 30, 1999); </w:t>
      </w:r>
      <w:r>
        <w:rPr>
          <w:i/>
        </w:rPr>
        <w:t xml:space="preserve">Third Report on Market Issues in the California Power Exchange Energy Markets, </w:t>
      </w:r>
      <w:r>
        <w:rPr/>
        <w:t xml:space="preserve">filed in Docket Nos. ER98-28843-000, </w:t>
      </w:r>
      <w:r>
        <w:rPr>
          <w:i/>
        </w:rPr>
        <w:t>et al.</w:t>
      </w:r>
      <w:r>
        <w:rPr/>
        <w:t xml:space="preserve"> June 7, 2000).  </w:t>
      </w:r>
    </w:p>
    <w:p>
      <w:pPr>
        <w:pStyle w:val="Normal"/>
        <w:rPr/>
      </w:pPr>
      <w:r>
        <w:rPr/>
      </w:r>
    </w:p>
  </w:footnote>
  <w:footnote w:id="8">
    <w:p>
      <w:pPr>
        <w:pStyle w:val="FootnoteText"/>
        <w:spacing w:lineRule="exact" w:line="260" w:before="0" w:after="120"/>
        <w:rPr/>
      </w:pPr>
      <w:r>
        <w:rPr>
          <w:rStyle w:val="FootnoteCharacters"/>
        </w:rPr>
        <w:footnoteRef/>
      </w:r>
      <w:r>
        <w:rPr/>
        <w:t xml:space="preserve"> </w:t>
      </w:r>
      <w:r>
        <w:rPr/>
        <w:tab/>
        <w:t>During much of the transitional start-up period, the ISO’s prices were capped at $250/MWh -- a number clearly higher than the running cost of any generator serving the California market but a comfort nevertheless for the utility distribution companies responsible for serving retail consumers at a commodity rate approximating one fifth of the wholesale cap.</w:t>
      </w:r>
    </w:p>
  </w:footnote>
  <w:footnote w:id="9">
    <w:p>
      <w:pPr>
        <w:pStyle w:val="FootnoteText"/>
        <w:spacing w:lineRule="exact" w:line="260" w:before="0" w:after="120"/>
        <w:rPr/>
      </w:pPr>
      <w:r>
        <w:rPr>
          <w:rStyle w:val="FootnoteCharacters"/>
        </w:rPr>
        <w:footnoteRef/>
      </w:r>
      <w:r>
        <w:rPr/>
        <w:t xml:space="preserve"> </w:t>
      </w:r>
      <w:r>
        <w:rPr/>
        <w:tab/>
      </w:r>
      <w:r>
        <w:rPr>
          <w:i/>
        </w:rPr>
        <w:t>California Independent System Operator Corp.,</w:t>
      </w:r>
      <w:r>
        <w:rPr/>
        <w:t xml:space="preserve"> 90 FERC ¶61,006 (January 7, 2000).  </w:t>
      </w:r>
    </w:p>
  </w:footnote>
  <w:footnote w:id="10">
    <w:p>
      <w:pPr>
        <w:pStyle w:val="FootnoteText"/>
        <w:spacing w:lineRule="exact" w:line="260" w:before="0" w:after="120"/>
        <w:rPr/>
      </w:pPr>
      <w:r>
        <w:rPr>
          <w:rStyle w:val="FootnoteCharacters"/>
        </w:rPr>
        <w:footnoteRef/>
      </w:r>
      <w:r>
        <w:rPr/>
        <w:t xml:space="preserve"> </w:t>
      </w:r>
      <w:r>
        <w:rPr/>
        <w:tab/>
      </w:r>
      <w:r>
        <w:rPr>
          <w:i/>
        </w:rPr>
        <w:t>California Independent System Operator Corp</w:t>
      </w:r>
      <w:r>
        <w:rPr/>
        <w:t xml:space="preserve">., 88 FERC ¶ 61,221 (September 15, 1999); </w:t>
      </w:r>
      <w:r>
        <w:rPr>
          <w:i/>
        </w:rPr>
        <w:t>reh'g denied</w:t>
      </w:r>
      <w:r>
        <w:rPr/>
        <w:t xml:space="preserve">, 90 FERC ¶ 61,086 (January 31, 2000).  </w:t>
      </w:r>
    </w:p>
  </w:footnote>
  <w:footnote w:id="11">
    <w:p>
      <w:pPr>
        <w:pStyle w:val="FootnoteText"/>
        <w:spacing w:lineRule="exact" w:line="260" w:before="0" w:after="120"/>
        <w:rPr/>
      </w:pPr>
      <w:r>
        <w:rPr>
          <w:rStyle w:val="FootnoteCharacters"/>
        </w:rPr>
        <w:footnoteRef/>
      </w:r>
      <w:r>
        <w:rPr/>
        <w:t xml:space="preserve"> </w:t>
      </w:r>
      <w:r>
        <w:rPr/>
        <w:tab/>
      </w:r>
      <w:r>
        <w:rPr>
          <w:i/>
        </w:rPr>
        <w:t xml:space="preserve">Reform Proposal </w:t>
      </w:r>
      <w:r>
        <w:rPr/>
        <w:t xml:space="preserve">at 13.  </w:t>
      </w:r>
    </w:p>
  </w:footnote>
  <w:footnote w:id="12">
    <w:p>
      <w:pPr>
        <w:pStyle w:val="FootnoteText"/>
        <w:spacing w:lineRule="exact" w:line="260" w:before="0" w:after="120"/>
        <w:rPr/>
      </w:pPr>
      <w:r>
        <w:rPr>
          <w:rStyle w:val="FootnoteCharacters"/>
        </w:rPr>
        <w:footnoteRef/>
      </w:r>
      <w:r>
        <w:rPr/>
        <w:t xml:space="preserve"> </w:t>
      </w:r>
      <w:r>
        <w:rPr/>
        <w:tab/>
      </w:r>
      <w:r>
        <w:rPr>
          <w:i/>
        </w:rPr>
        <w:t xml:space="preserve">See </w:t>
      </w:r>
      <w:r>
        <w:rPr/>
        <w:t>the January 27, 2000,</w:t>
      </w:r>
      <w:r>
        <w:rPr>
          <w:i/>
        </w:rPr>
        <w:t xml:space="preserve"> </w:t>
      </w:r>
      <w:r>
        <w:rPr/>
        <w:t xml:space="preserve">Answer of the California Independent Operator Corporation to Motions to Intervene and Reply Comments, criticizing the analysis and conclusions reached by Drs. Harvey and Hogan in </w:t>
      </w:r>
      <w:r>
        <w:rPr>
          <w:i/>
        </w:rPr>
        <w:t xml:space="preserve">Nodal and Zonal Congestion Management and the Exercise of Market Power, </w:t>
      </w:r>
      <w:r>
        <w:rPr/>
        <w:t xml:space="preserve">which had been submitted as part of Sempra Energy’s comments on the ISO’s </w:t>
      </w:r>
      <w:r>
        <w:rPr>
          <w:i/>
        </w:rPr>
        <w:t xml:space="preserve">Report to the Federal Energy Regulatory Commission: Studies Pursuant to the October 30, 1997 Order, </w:t>
      </w:r>
      <w:r>
        <w:rPr/>
        <w:t>Docket No. ER00-703-000</w:t>
      </w:r>
      <w:r>
        <w:rPr>
          <w:i/>
        </w:rPr>
        <w:t xml:space="preserve">.  See also </w:t>
      </w:r>
      <w:r>
        <w:rPr/>
        <w:t xml:space="preserve">Drs. Harvey and Hogan’s </w:t>
      </w:r>
      <w:r>
        <w:rPr>
          <w:i/>
        </w:rPr>
        <w:t xml:space="preserve">Further Comment </w:t>
      </w:r>
      <w:r>
        <w:rPr/>
        <w:t xml:space="preserve">attached to Sempra Energy’s February 14, 2000, Answer, rebutting the ISO’s claim that its zonal pricing system does not afford additional opportunities for exercising generator market power.  </w:t>
      </w:r>
    </w:p>
  </w:footnote>
  <w:footnote w:id="13">
    <w:p>
      <w:pPr>
        <w:pStyle w:val="FootnoteText"/>
        <w:spacing w:lineRule="exact" w:line="260" w:before="0" w:after="120"/>
        <w:rPr/>
      </w:pPr>
      <w:r>
        <w:rPr>
          <w:rStyle w:val="FootnoteCharacters"/>
        </w:rPr>
        <w:footnoteRef/>
      </w:r>
      <w:r>
        <w:rPr/>
        <w:t xml:space="preserve"> </w:t>
      </w:r>
      <w:r>
        <w:rPr/>
        <w:tab/>
      </w:r>
      <w:r>
        <w:rPr>
          <w:i/>
        </w:rPr>
        <w:t xml:space="preserve">See </w:t>
      </w:r>
      <w:hyperlink r:id="rId3">
        <w:r>
          <w:rPr>
            <w:rStyle w:val="Hyperlink"/>
          </w:rPr>
          <w:t>http://www.energy.ca.gov/siting</w:t>
        </w:r>
      </w:hyperlink>
      <w:r>
        <w:rPr/>
        <w:t xml:space="preserve"> cases/projects since 1979.</w:t>
      </w:r>
    </w:p>
  </w:footnote>
  <w:footnote w:id="14">
    <w:p>
      <w:pPr>
        <w:pStyle w:val="FootnoteText"/>
        <w:spacing w:lineRule="exact" w:line="260" w:before="0" w:after="120"/>
        <w:rPr/>
      </w:pPr>
      <w:r>
        <w:rPr>
          <w:rStyle w:val="FootnoteCharacters"/>
        </w:rPr>
        <w:footnoteRef/>
      </w:r>
      <w:r>
        <w:rPr/>
        <w:t xml:space="preserve"> </w:t>
      </w:r>
      <w:r>
        <w:rPr/>
        <w:tab/>
        <w:t xml:space="preserve">Unlike the other ISO’s regulated by the Commission, most (but not all) of the members that sit on the California ISO’s Board of Governors represent economic interests directly affected by the ISO’s market-coordinating tariffs and protocols, thus making it difficult to introduce reforms that could potentially disturb the existing economic and financial order.  </w:t>
      </w:r>
    </w:p>
  </w:footnote>
  <w:footnote w:id="15">
    <w:p>
      <w:pPr>
        <w:pStyle w:val="FootnoteText"/>
        <w:spacing w:lineRule="exact" w:line="260" w:before="0" w:after="120"/>
        <w:rPr/>
      </w:pPr>
      <w:r>
        <w:rPr>
          <w:rStyle w:val="FootnoteCharacters"/>
        </w:rPr>
        <w:footnoteRef/>
      </w:r>
      <w:r>
        <w:rPr/>
        <w:t xml:space="preserve"> </w:t>
      </w:r>
      <w:r>
        <w:rPr/>
        <w:tab/>
        <w:t xml:space="preserve">SDG&amp;E is concerned that the ISO’s </w:t>
      </w:r>
      <w:r>
        <w:rPr>
          <w:i/>
        </w:rPr>
        <w:t>Reform Proposal</w:t>
      </w:r>
      <w:r>
        <w:rPr/>
        <w:t xml:space="preserve"> will not produce a workably competitive market, because the proposal would: 1) introduce more uncertainty and raise costs by pushing certain unit commitment decisions further forward in time (two day-ahead “reliability” market); 2) for certain units replace the two-settlement system of financial commitments with a specific performance requirement that would raise costs; 3) undermine a market-driven approach to transmission expansion; 4) undermine load management programs; 5) inflate costs in the two-day-ahead market when intra-zonal congestion is present; 6) continue to base inter-zonal real time operating decisions on a “simplified commercial model” rather than the actual network model; 7)  increase  complexity and uncertainty in using FTRs to hedge congestion costs; 8) likely subsidize wheeling transactions; 9) reduce the incentive for long term bilateral transactions between load and generation within constrained regions; 10) invite zonal price suppression and price discrimination; and 11) create poor procedures for creating new zones.  These concerns, as well as a number of important ambiguities that remain unresolved, have been communicated to the ISO.  We are prepared to work constructively with the ISO to develop alternative proposals to address these concerns and  ambiguities, but so far the ISO-facilitated stakeholder process has, in our judgment, been ineffective in examining the efficacy of the original market design and structure that the ISO says must not be “abandoned.” </w:t>
      </w:r>
      <w:r>
        <w:rPr>
          <w:i/>
        </w:rPr>
        <w:t xml:space="preserve">Reform Proposal </w:t>
      </w:r>
      <w:r>
        <w:rPr/>
        <w:t xml:space="preserve">at 13.  </w:t>
      </w:r>
    </w:p>
  </w:footnote>
  <w:footnote w:id="16">
    <w:p>
      <w:pPr>
        <w:pStyle w:val="FootnoteText"/>
        <w:spacing w:lineRule="exact" w:line="260" w:before="0" w:after="120"/>
        <w:rPr/>
      </w:pPr>
      <w:r>
        <w:rPr>
          <w:rStyle w:val="FootnoteCharacters"/>
        </w:rPr>
        <w:footnoteRef/>
      </w:r>
      <w:r>
        <w:rPr/>
        <w:t xml:space="preserve"> </w:t>
      </w:r>
      <w:r>
        <w:rPr/>
        <w:tab/>
        <w:t xml:space="preserve">For instance, preservation of the so-called “market separation rule,” unique to California and flawed from first principles, is cited as one of the main reasons why market power and related congestion problems cannot be dealt with in the normal real-time and day-ahead markets.  </w:t>
      </w:r>
    </w:p>
  </w:footnote>
  <w:footnote w:id="17">
    <w:p>
      <w:pPr>
        <w:pStyle w:val="FootnoteText"/>
        <w:rPr/>
      </w:pPr>
      <w:r>
        <w:rPr>
          <w:rStyle w:val="FootnoteCharacters"/>
        </w:rPr>
        <w:footnoteRef/>
      </w:r>
      <w:r>
        <w:rPr/>
        <w:t xml:space="preserve"> </w:t>
      </w:r>
      <w:r>
        <w:rPr/>
        <w:tab/>
      </w:r>
      <w:r>
        <w:rPr>
          <w:i/>
        </w:rPr>
        <w:t>See</w:t>
      </w:r>
      <w:r>
        <w:rPr/>
        <w:t xml:space="preserve"> </w:t>
      </w:r>
      <w:r>
        <w:rPr>
          <w:i/>
        </w:rPr>
        <w:t>Farmers Union Cent. Exch., Inc.</w:t>
      </w:r>
      <w:r>
        <w:rPr/>
        <w:t xml:space="preserve"> v.</w:t>
      </w:r>
      <w:r>
        <w:rPr>
          <w:i/>
        </w:rPr>
        <w:t xml:space="preserve"> FERC</w:t>
      </w:r>
      <w:r>
        <w:rPr/>
        <w:t xml:space="preserve">, 734 F.2d 1486, 1530 (D.C. Cir.), </w:t>
      </w:r>
      <w:r>
        <w:rPr>
          <w:i/>
        </w:rPr>
        <w:t>cert.</w:t>
      </w:r>
      <w:r>
        <w:rPr/>
        <w:t xml:space="preserve"> </w:t>
      </w:r>
      <w:r>
        <w:rPr>
          <w:i/>
        </w:rPr>
        <w:t>denied</w:t>
      </w:r>
      <w:r>
        <w:rPr/>
        <w:t xml:space="preserve"> </w:t>
      </w:r>
      <w:r>
        <w:rPr>
          <w:i/>
        </w:rPr>
        <w:t>sub</w:t>
      </w:r>
      <w:r>
        <w:rPr/>
        <w:t xml:space="preserve"> </w:t>
      </w:r>
      <w:r>
        <w:rPr>
          <w:i/>
        </w:rPr>
        <w:t>nom.</w:t>
      </w:r>
      <w:r>
        <w:rPr/>
        <w:t xml:space="preserve"> </w:t>
      </w:r>
      <w:r>
        <w:rPr>
          <w:i/>
        </w:rPr>
        <w:t>Williams Pipe Line Co.</w:t>
      </w:r>
      <w:r>
        <w:rPr/>
        <w:t xml:space="preserve"> v. </w:t>
      </w:r>
      <w:r>
        <w:rPr>
          <w:i/>
        </w:rPr>
        <w:t>Farmers Union Cent. Exch. Inc.</w:t>
      </w:r>
      <w:r>
        <w:rPr/>
        <w:t xml:space="preserve">, 469 U.S. 1034 (1984); </w:t>
      </w:r>
      <w:r>
        <w:rPr>
          <w:i/>
        </w:rPr>
        <w:t>see</w:t>
      </w:r>
      <w:r>
        <w:rPr/>
        <w:t xml:space="preserve"> </w:t>
      </w:r>
      <w:r>
        <w:rPr>
          <w:i/>
        </w:rPr>
        <w:t>also</w:t>
      </w:r>
      <w:r>
        <w:rPr/>
        <w:t xml:space="preserve"> </w:t>
      </w:r>
      <w:r>
        <w:rPr>
          <w:i/>
        </w:rPr>
        <w:t>Elizabethtown Gas Co.</w:t>
      </w:r>
      <w:r>
        <w:rPr/>
        <w:t xml:space="preserve"> v. </w:t>
      </w:r>
      <w:r>
        <w:rPr>
          <w:i/>
        </w:rPr>
        <w:t>FERC</w:t>
      </w:r>
      <w:r>
        <w:rPr/>
        <w:t xml:space="preserve">, 10 F.3d 866, 870-71 (D.C. Cir. 1993).  The Commission requires applicants seeking market-based rate authority to show that -- in combination with affiliates -- they do not possess an unduly large share of the market for the relevant product in the relevant geographic area and cannot erect barriers to entry.  </w:t>
      </w:r>
      <w:r>
        <w:rPr>
          <w:i/>
        </w:rPr>
        <w:t>See</w:t>
      </w:r>
      <w:r>
        <w:rPr/>
        <w:t xml:space="preserve"> </w:t>
      </w:r>
      <w:r>
        <w:rPr>
          <w:i/>
        </w:rPr>
        <w:t>Heartland Energy Services, Inc.</w:t>
      </w:r>
      <w:r>
        <w:rPr/>
        <w:t xml:space="preserve">, 68 FERC ¶ 61,223 (1994); </w:t>
      </w:r>
      <w:r>
        <w:rPr>
          <w:i/>
        </w:rPr>
        <w:t>Ocean Vista Power Generation, LLC</w:t>
      </w:r>
      <w:r>
        <w:rPr/>
        <w:t xml:space="preserve">, 82 FERC ¶ 61,114 (1998); </w:t>
      </w:r>
      <w:r>
        <w:rPr>
          <w:i/>
        </w:rPr>
        <w:t>Cabrillo Power I LLC</w:t>
      </w:r>
      <w:r>
        <w:rPr/>
        <w:t xml:space="preserve">, 86 FERC ¶ 61,180 (1999.)  </w:t>
      </w:r>
    </w:p>
    <w:p>
      <w:pPr>
        <w:pStyle w:val="FootnoteText"/>
        <w:spacing w:lineRule="exact" w:line="260" w:before="0" w:after="120"/>
        <w:rPr/>
      </w:pPr>
      <w:r>
        <w:rPr/>
        <w:tab/>
        <w:t xml:space="preserve">The Commission has </w:t>
      </w:r>
      <w:r>
        <w:rPr>
          <w:i/>
        </w:rPr>
        <w:t>not</w:t>
      </w:r>
      <w:r>
        <w:rPr/>
        <w:t xml:space="preserve"> required a showing that a particular market into which the applicant proposes to sell is itself workably competitive.  Sellers who lack undue market share may receive prices that exceed competitive levels if they are participants in markets that, because of design flaws (or because other sellers do have unduly large shares) are not workably competitive.  </w:t>
      </w:r>
    </w:p>
  </w:footnote>
  <w:footnote w:id="18">
    <w:p>
      <w:pPr>
        <w:pStyle w:val="FootnoteText"/>
        <w:spacing w:lineRule="exact" w:line="260" w:before="0" w:after="120"/>
        <w:rPr/>
      </w:pPr>
      <w:r>
        <w:rPr>
          <w:rStyle w:val="FootnoteCharacters"/>
        </w:rPr>
        <w:footnoteRef/>
      </w:r>
      <w:r>
        <w:rPr/>
        <w:t xml:space="preserve"> </w:t>
      </w:r>
      <w:r>
        <w:rPr/>
        <w:tab/>
      </w:r>
      <w:r>
        <w:rPr>
          <w:i/>
        </w:rPr>
        <w:t>See</w:t>
      </w:r>
      <w:r>
        <w:rPr/>
        <w:t xml:space="preserve">, </w:t>
      </w:r>
      <w:r>
        <w:rPr>
          <w:i/>
        </w:rPr>
        <w:t>e.g.</w:t>
      </w:r>
      <w:r>
        <w:rPr/>
        <w:t xml:space="preserve">, the ISO's transmittal letter of January 28, 2000, in Docket No. ER00-1365-000 at 2 ("[T]he ISO most efficiently and effectively operates the ISO Controlled Grid when decisions on scheduling and commitment of resources are made through the Day-Ahead and Hour-Ahead Schedules.")  </w:t>
      </w:r>
    </w:p>
  </w:footnote>
  <w:footnote w:id="19">
    <w:p>
      <w:pPr>
        <w:pStyle w:val="FootnoteText"/>
        <w:spacing w:lineRule="exact" w:line="260" w:before="0" w:after="120"/>
        <w:rPr/>
      </w:pPr>
      <w:r>
        <w:rPr>
          <w:rStyle w:val="FootnoteCharacters"/>
        </w:rPr>
        <w:footnoteRef/>
      </w:r>
      <w:r>
        <w:rPr/>
        <w:t xml:space="preserve"> </w:t>
      </w:r>
      <w:r>
        <w:rPr/>
        <w:tab/>
        <w:t xml:space="preserve">The Commission has, of course, already concluded that it lacks the authority to compel the ISO to adopt a particular purchase price cap. </w:t>
      </w:r>
      <w:r>
        <w:rPr>
          <w:i/>
        </w:rPr>
        <w:t>Morgan Stanley Capital Group Inc.</w:t>
      </w:r>
      <w:r>
        <w:rPr/>
        <w:t xml:space="preserve">, v. </w:t>
      </w:r>
      <w:r>
        <w:rPr>
          <w:i/>
        </w:rPr>
        <w:t>California Independent System Operator Corp.,</w:t>
      </w:r>
      <w:r>
        <w:rPr/>
        <w:t xml:space="preserve"> Docket No., EL00-91-000 (July 28, 2000).</w:t>
      </w:r>
    </w:p>
  </w:footnote>
  <w:footnote w:id="20">
    <w:p>
      <w:pPr>
        <w:pStyle w:val="FootnoteText"/>
        <w:spacing w:lineRule="exact" w:line="260" w:before="0" w:after="120"/>
        <w:rPr/>
      </w:pPr>
      <w:r>
        <w:rPr>
          <w:rStyle w:val="FootnoteCharacters"/>
        </w:rPr>
        <w:footnoteRef/>
      </w:r>
      <w:r>
        <w:rPr/>
        <w:t xml:space="preserve"> </w:t>
      </w:r>
      <w:r>
        <w:rPr/>
        <w:tab/>
        <w:t xml:space="preserve">SDG&amp;E welcomes the Commission's July 26, 2000, announcement that its staff will investigate the operation of bulk power markets and report its findings by November 1. California surely must be one of the primary subjects of that study.  Again, however, Commission action to address the urgent circumstances described above cannot await completion of the investigation.  </w:t>
      </w:r>
    </w:p>
  </w:footnote>
  <w:footnote w:id="21">
    <w:p>
      <w:pPr>
        <w:pStyle w:val="FootnoteText"/>
        <w:spacing w:lineRule="exact" w:line="260" w:before="0" w:after="120"/>
        <w:rPr/>
      </w:pPr>
      <w:r>
        <w:rPr>
          <w:rStyle w:val="FootnoteCharacters"/>
        </w:rPr>
        <w:footnoteRef/>
      </w:r>
      <w:r>
        <w:rPr/>
        <w:t xml:space="preserve"> </w:t>
      </w:r>
      <w:r>
        <w:rPr/>
        <w:tab/>
        <w:t>In that regard, SDG&amp;E hopes that conditioning the market-based pricing authority for bidders into the California PX and ISO markets will motivate suppliers to work for quick and effective market reformation so that their unfettered market-based pricing authority can be restored as promptly as possible.</w:t>
      </w:r>
    </w:p>
  </w:footnote>
  <w:footnote w:id="22">
    <w:p>
      <w:pPr>
        <w:pStyle w:val="FootnoteText"/>
        <w:spacing w:lineRule="exact" w:line="260" w:before="0" w:after="120"/>
        <w:rPr/>
      </w:pPr>
      <w:r>
        <w:rPr>
          <w:rStyle w:val="FootnoteCharacters"/>
        </w:rPr>
        <w:footnoteRef/>
      </w:r>
      <w:r>
        <w:rPr/>
        <w:t xml:space="preserve"> </w:t>
      </w:r>
      <w:r>
        <w:rPr/>
        <w:tab/>
      </w:r>
      <w:r>
        <w:rPr>
          <w:i/>
        </w:rPr>
        <w:t>Amoco Trading Corp. v. El Paso Natural Gas Co.,</w:t>
      </w:r>
      <w:r>
        <w:rPr/>
        <w:t xml:space="preserve"> 89 FERC ¶ 61, 165 (1999).  </w:t>
      </w:r>
    </w:p>
  </w:footnote>
  <w:footnote w:id="23">
    <w:p>
      <w:pPr>
        <w:pStyle w:val="FootnoteText"/>
        <w:spacing w:lineRule="exact" w:line="260" w:before="0" w:after="120"/>
        <w:rPr/>
      </w:pPr>
      <w:r>
        <w:rPr>
          <w:rStyle w:val="FootnoteCharacters"/>
        </w:rPr>
        <w:footnoteRef/>
      </w:r>
      <w:r>
        <w:rPr/>
        <w:t xml:space="preserve"> </w:t>
      </w:r>
      <w:r>
        <w:rPr/>
        <w:tab/>
        <w:t xml:space="preserve">SDG&amp;E has served the instant complaint by overnight delivery or e-mail on all parties to the proceedings in which the ISO's purchase price caps have been at issue, to date, </w:t>
      </w:r>
      <w:r>
        <w:rPr>
          <w:i/>
        </w:rPr>
        <w:t>i.e</w:t>
      </w:r>
      <w:r>
        <w:rPr/>
        <w:t xml:space="preserve">., Docket Nos. ER98-2843, ER99-4462, and EL00-91.  It has also served the complaint on parties not included on any of those lists who are on the service list in the generic California restructuring proceedings, Docket Nos. ER96-1663 and EC96-19.  Finally, SDG&amp;E has provided this complaint in electronic form to the ISO, with a request that the ISO distribute it electronically to each entity on the ISO's list of market participants.  SDG&amp;E is also posting the complaint on its website in anticipation that its availability there will be cited in the Commission's notice of filing.  SDG&amp;E requests that, if the foregoing is not deemed to constitute substantial compliance with the requirements of Section 385.206 (c), such requirements be waived.  </w:t>
      </w:r>
    </w:p>
  </w:footnote>
  <w:footnote w:id="24">
    <w:p>
      <w:pPr>
        <w:pStyle w:val="FootnoteText"/>
        <w:spacing w:lineRule="exact" w:line="260" w:before="0" w:after="120"/>
        <w:rPr/>
      </w:pPr>
      <w:r>
        <w:rPr>
          <w:rStyle w:val="FootnoteCharacters"/>
        </w:rPr>
        <w:footnoteRef/>
      </w:r>
      <w:r>
        <w:rPr/>
        <w:t xml:space="preserve"> </w:t>
      </w:r>
      <w:r>
        <w:rPr/>
        <w:tab/>
        <w:t xml:space="preserve">Appendix E hereto is a notice of filing and is also submitted in diskette form, in accordance with Rule 206(b)(10).  In accordance with Rule 206(b)(9),  SDG&amp;E states that none of the dispute resolution mechanisms listed therein has been used and, given the nature as well as the urgency of the issue, SDG&amp;E does not believe that ADR under the Commission's supervision is practicable.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720"/>
      </w:pPr>
    </w:lvl>
    <w:lvl w:ilvl="1">
      <w:start w:val="1"/>
      <w:pStyle w:val="Heading2"/>
      <w:numFmt w:val="upperLetter"/>
      <w:lvlText w:val="%2."/>
      <w:lvlJc w:val="end"/>
      <w:pPr>
        <w:tabs>
          <w:tab w:val="num" w:pos="1080"/>
        </w:tabs>
        <w:ind w:start="720" w:hanging="0"/>
      </w:pPr>
    </w:lvl>
    <w:lvl w:ilvl="2">
      <w:start w:val="1"/>
      <w:pStyle w:val="Heading3"/>
      <w:numFmt w:val="decimal"/>
      <w:lvlText w:val="%3."/>
      <w:lvlJc w:val="end"/>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5"/>
      <w:numFmt w:val="upperRoman"/>
      <w:lvlText w:val="%1."/>
      <w:lvlJc w:val="end"/>
      <w:pPr>
        <w:tabs>
          <w:tab w:val="num" w:pos="720"/>
        </w:tabs>
        <w:ind w:start="720" w:hanging="720"/>
      </w:pPr>
    </w:lvl>
    <w:lvl w:ilvl="1">
      <w:start w:val="1"/>
      <w:numFmt w:val="upperLetter"/>
      <w:lvlText w:val="%2."/>
      <w:lvlJc w:val="end"/>
      <w:pPr>
        <w:tabs>
          <w:tab w:val="num" w:pos="1080"/>
        </w:tabs>
        <w:ind w:start="720" w:hanging="0"/>
      </w:pPr>
    </w:lvl>
    <w:lvl w:ilvl="2">
      <w:start w:val="1"/>
      <w:numFmt w:val="decimal"/>
      <w:lvlText w:val="%3."/>
      <w:lvlJc w:val="end"/>
      <w:pPr>
        <w:tabs>
          <w:tab w:val="num" w:pos="1800"/>
        </w:tabs>
        <w:ind w:start="1440" w:hanging="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FirstInden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spacing w:before="0" w:after="240"/>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1440" w:start="0" w:end="0"/>
    </w:pPr>
    <w:rPr/>
  </w:style>
  <w:style w:type="paragraph" w:styleId="BodyTextIndent">
    <w:name w:val="Body Text Indent"/>
    <w:basedOn w:val="Normal"/>
    <w:pPr>
      <w:spacing w:before="0" w:after="12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120"/>
      <w:ind w:hanging="0" w:start="720" w:end="0"/>
    </w:pPr>
    <w:rPr>
      <w:sz w:val="16"/>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360" w:start="72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360" w:start="108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360" w:start="144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360" w:start="1800" w:end="0"/>
    </w:pPr>
    <w:rPr/>
  </w:style>
  <w:style w:type="paragraph" w:styleId="ListBullet">
    <w:name w:val="List Bullet"/>
    <w:basedOn w:val="Normal"/>
    <w:qFormat/>
    <w:pPr>
      <w:numPr>
        <w:ilvl w:val="0"/>
        <w:numId w:val="11"/>
      </w:numPr>
      <w:spacing w:before="0" w:after="240"/>
    </w:pPr>
    <w:rPr/>
  </w:style>
  <w:style w:type="paragraph" w:styleId="ListBullet21">
    <w:name w:val="List Bullet 21"/>
    <w:basedOn w:val="Normal"/>
    <w:qFormat/>
    <w:pPr>
      <w:numPr>
        <w:ilvl w:val="0"/>
        <w:numId w:val="9"/>
      </w:numPr>
      <w:spacing w:before="0" w:after="240"/>
    </w:pPr>
    <w:rPr/>
  </w:style>
  <w:style w:type="paragraph" w:styleId="ListBullet31">
    <w:name w:val="List Bullet 31"/>
    <w:basedOn w:val="Normal"/>
    <w:qFormat/>
    <w:pPr>
      <w:numPr>
        <w:ilvl w:val="0"/>
        <w:numId w:val="8"/>
      </w:numPr>
      <w:spacing w:before="0" w:after="240"/>
    </w:pPr>
    <w:rPr/>
  </w:style>
  <w:style w:type="paragraph" w:styleId="ListBullet41">
    <w:name w:val="List Bullet 41"/>
    <w:basedOn w:val="Normal"/>
    <w:qFormat/>
    <w:pPr>
      <w:numPr>
        <w:ilvl w:val="0"/>
        <w:numId w:val="7"/>
      </w:numPr>
      <w:spacing w:before="0" w:after="240"/>
    </w:pPr>
    <w:rPr/>
  </w:style>
  <w:style w:type="paragraph" w:styleId="ListBullet51">
    <w:name w:val="List Bullet 51"/>
    <w:basedOn w:val="Normal"/>
    <w:qFormat/>
    <w:pPr>
      <w:numPr>
        <w:ilvl w:val="0"/>
        <w:numId w:val="6"/>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spacing w:before="0" w:after="240"/>
    </w:pPr>
    <w:rPr/>
  </w:style>
  <w:style w:type="paragraph" w:styleId="ListNumber3">
    <w:name w:val="List Number 3"/>
    <w:basedOn w:val="Normal"/>
    <w:qFormat/>
    <w:pPr>
      <w:numPr>
        <w:ilvl w:val="0"/>
        <w:numId w:val="4"/>
      </w:numPr>
      <w:spacing w:before="0" w:after="240"/>
    </w:pPr>
    <w:rPr/>
  </w:style>
  <w:style w:type="paragraph" w:styleId="ListNumber4">
    <w:name w:val="List Number 4"/>
    <w:basedOn w:val="Normal"/>
    <w:qFormat/>
    <w:pPr>
      <w:numPr>
        <w:ilvl w:val="0"/>
        <w:numId w:val="3"/>
      </w:numPr>
      <w:spacing w:before="0" w:after="240"/>
    </w:pPr>
    <w:rPr/>
  </w:style>
  <w:style w:type="paragraph" w:styleId="ListNumber5">
    <w:name w:val="List Number 5"/>
    <w:basedOn w:val="Normal"/>
    <w:qFormat/>
    <w:pPr>
      <w:numPr>
        <w:ilvl w:val="0"/>
        <w:numId w:val="2"/>
      </w:numPr>
      <w:spacing w:before="0" w:after="240"/>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BodyTextFirstIndentDouble">
    <w:name w:val="Body Text First Indent Double"/>
    <w:basedOn w:val="BodyText"/>
    <w:qFormat/>
    <w:pPr>
      <w:spacing w:lineRule="auto" w:line="480" w:before="0" w:after="0"/>
      <w:ind w:firstLine="1440" w:start="0" w:end="0"/>
    </w:pPr>
    <w:rPr/>
  </w:style>
  <w:style w:type="paragraph" w:styleId="NumberedParaSingle">
    <w:name w:val="Numbered Para Single"/>
    <w:basedOn w:val="ListNumber2"/>
    <w:qFormat/>
    <w:pPr/>
    <w:rPr/>
  </w:style>
  <w:style w:type="paragraph" w:styleId="NumberedParaDouble">
    <w:name w:val="Numbered Para Double"/>
    <w:basedOn w:val="NumberedParaSingle"/>
    <w:qFormat/>
    <w:pPr>
      <w:numPr>
        <w:ilvl w:val="0"/>
        <w:numId w:val="5"/>
      </w:numPr>
      <w:spacing w:lineRule="auto" w:line="480" w:before="0" w:after="0"/>
    </w:pPr>
    <w:rPr/>
  </w:style>
  <w:style w:type="paragraph" w:styleId="FootnoteText">
    <w:name w:val="footnote text"/>
    <w:basedOn w:val="Normal"/>
    <w:pPr>
      <w:spacing w:lineRule="exact" w:line="260"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og">
    <w:name w:val="sog"/>
    <w:basedOn w:val="Signature"/>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caiso.com/client" TargetMode="External"/><Relationship Id="rId2" Type="http://schemas.openxmlformats.org/officeDocument/2006/relationships/hyperlink" Target="http://www.caiso.com/docs/2000/07/06/200007061511126687.html" TargetMode="External"/><Relationship Id="rId3" Type="http://schemas.openxmlformats.org/officeDocument/2006/relationships/hyperlink" Target="http://www.energy.ca.gov/siting"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2000-07-31T09:06:00Z</dcterms:created>
  <dc:creator>Sharon Taft</dc:creator>
  <dc:description/>
  <dc:language>en-CA</dc:language>
  <cp:lastModifiedBy>Sharon Taft</cp:lastModifiedBy>
  <cp:lastPrinted>2000-08-02T12:50:00Z</cp:lastPrinted>
  <dcterms:modified xsi:type="dcterms:W3CDTF">2000-08-02T15:50:00Z</dcterms:modified>
  <cp:revision>53</cp:revision>
  <dc:subject/>
  <dc:title>DRAFT</dc:title>
</cp:coreProperties>
</file>