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bCs w:val="false"/>
          <w:sz w:val="20"/>
          <w:lang w:val="en-CA" w:eastAsia="en-CA"/>
        </w:rPr>
      </w:pPr>
      <w:r>
        <w:rPr>
          <w:rFonts w:cs="Times New Roman" w:ascii="Times New Roman" w:hAnsi="Times New Roman"/>
          <w:bCs w:val="false"/>
          <w:sz w:val="20"/>
          <w:lang w:val="en-CA" w:eastAsia="en-CA"/>
        </w:rPr>
        <w:drawing>
          <wp:anchor behindDoc="0" distT="0" distB="0" distL="114935" distR="114935" simplePos="0" locked="0" layoutInCell="0" allowOverlap="1" relativeHeight="3">
            <wp:simplePos x="0" y="0"/>
            <wp:positionH relativeFrom="column">
              <wp:posOffset>0</wp:posOffset>
            </wp:positionH>
            <wp:positionV relativeFrom="paragraph">
              <wp:posOffset>-342900</wp:posOffset>
            </wp:positionV>
            <wp:extent cx="1371600" cy="10991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371600" cy="109918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2">
                <wp:simplePos x="0" y="0"/>
                <wp:positionH relativeFrom="column">
                  <wp:posOffset>3937635</wp:posOffset>
                </wp:positionH>
                <wp:positionV relativeFrom="paragraph">
                  <wp:posOffset>-287020</wp:posOffset>
                </wp:positionV>
                <wp:extent cx="2234565" cy="1828800"/>
                <wp:effectExtent l="0" t="0" r="0" b="0"/>
                <wp:wrapNone/>
                <wp:docPr id="2" name="Frame1"/>
                <a:graphic xmlns:a="http://schemas.openxmlformats.org/drawingml/2006/main">
                  <a:graphicData uri="http://schemas.microsoft.com/office/word/2010/wordprocessingShape">
                    <wps:wsp>
                      <wps:cNvSpPr txBox="1"/>
                      <wps:spPr>
                        <a:xfrm>
                          <a:off x="0" y="0"/>
                          <a:ext cx="2234565" cy="1828800"/>
                        </a:xfrm>
                        <a:prstGeom prst="rect"/>
                        <a:solidFill>
                          <a:srgbClr val="FFFFFF">
                            <a:alpha val="0"/>
                          </a:srgbClr>
                        </a:solidFill>
                      </wps:spPr>
                      <wps:txbx>
                        <w:txbxContent>
                          <w:p>
                            <w:pPr>
                              <w:pStyle w:val="Normal"/>
                              <w:rPr>
                                <w:b/>
                                <w:bCs/>
                              </w:rPr>
                            </w:pPr>
                            <w:r>
                              <w:rPr>
                                <w:b/>
                                <w:bCs/>
                              </w:rPr>
                              <w:t>Media Contacts:</w:t>
                            </w:r>
                          </w:p>
                          <w:p>
                            <w:pPr>
                              <w:pStyle w:val="Normal"/>
                              <w:rPr/>
                            </w:pPr>
                            <w:r>
                              <w:rPr/>
                              <w:t>Tracy Fairchild</w:t>
                            </w:r>
                          </w:p>
                          <w:p>
                            <w:pPr>
                              <w:pStyle w:val="Normal"/>
                              <w:rPr/>
                            </w:pPr>
                            <w:r>
                              <w:rPr/>
                              <w:t>916-442-2331</w:t>
                            </w:r>
                          </w:p>
                          <w:p>
                            <w:pPr>
                              <w:pStyle w:val="Normal"/>
                              <w:rPr/>
                            </w:pPr>
                            <w:r>
                              <w:rPr/>
                              <w:t>916-835-9007 mobile</w:t>
                            </w:r>
                          </w:p>
                          <w:p>
                            <w:pPr>
                              <w:pStyle w:val="Normal"/>
                              <w:rPr/>
                            </w:pPr>
                            <w:hyperlink r:id="rId3">
                              <w:r>
                                <w:rPr>
                                  <w:rStyle w:val="Hyperlink"/>
                                </w:rPr>
                                <w:t>tracy.fairchild@edelman.com</w:t>
                              </w:r>
                            </w:hyperlink>
                            <w:r>
                              <w:rPr/>
                              <w:t xml:space="preserve">  </w:t>
                            </w:r>
                          </w:p>
                          <w:p>
                            <w:pPr>
                              <w:pStyle w:val="Normal"/>
                              <w:rPr/>
                            </w:pPr>
                            <w:r>
                              <w:rPr/>
                            </w:r>
                          </w:p>
                          <w:p>
                            <w:pPr>
                              <w:pStyle w:val="Normal"/>
                              <w:rPr/>
                            </w:pPr>
                            <w:r>
                              <w:rPr/>
                              <w:t>Erica Manuel</w:t>
                            </w:r>
                          </w:p>
                          <w:p>
                            <w:pPr>
                              <w:pStyle w:val="Normal"/>
                              <w:rPr/>
                            </w:pPr>
                            <w:r>
                              <w:rPr/>
                              <w:t>916-442-2331</w:t>
                            </w:r>
                          </w:p>
                          <w:p>
                            <w:pPr>
                              <w:pStyle w:val="Normal"/>
                              <w:rPr/>
                            </w:pPr>
                            <w:r>
                              <w:rPr/>
                              <w:t>916-201-5029 mobile</w:t>
                            </w:r>
                          </w:p>
                          <w:p>
                            <w:pPr>
                              <w:pStyle w:val="Normal"/>
                              <w:rPr/>
                            </w:pPr>
                            <w:hyperlink r:id="rId4">
                              <w:r>
                                <w:rPr>
                                  <w:rStyle w:val="Hyperlink"/>
                                </w:rPr>
                                <w:t>erica.manuel@edelman.com</w:t>
                              </w:r>
                            </w:hyperlink>
                            <w:r>
                              <w:rPr/>
                              <w:t xml:space="preserve"> </w:t>
                            </w:r>
                          </w:p>
                        </w:txbxContent>
                      </wps:txbx>
                      <wps:bodyPr anchor="t" lIns="92075" tIns="46355" rIns="92075" bIns="46355">
                        <a:noAutofit/>
                      </wps:bodyPr>
                    </wps:wsp>
                  </a:graphicData>
                </a:graphic>
              </wp:anchor>
            </w:drawing>
          </mc:Choice>
          <mc:Fallback>
            <w:pict>
              <v:rect fillcolor="#FFFFFF" style="position:absolute;rotation:-0;width:175.95pt;height:144pt;mso-wrap-distance-left:9.05pt;mso-wrap-distance-right:9.05pt;mso-wrap-distance-top:0pt;mso-wrap-distance-bottom:0pt;margin-top:-22.6pt;mso-position-vertical-relative:text;margin-left:310.05pt;mso-position-horizontal-relative:text">
                <v:fill opacity="0f"/>
                <v:textbox inset="0.100694444444444in,0.0506944444444444in,0.100694444444444in,0.0506944444444444in">
                  <w:txbxContent>
                    <w:p>
                      <w:pPr>
                        <w:pStyle w:val="Normal"/>
                        <w:rPr>
                          <w:b/>
                          <w:bCs/>
                        </w:rPr>
                      </w:pPr>
                      <w:r>
                        <w:rPr>
                          <w:b/>
                          <w:bCs/>
                        </w:rPr>
                        <w:t>Media Contacts:</w:t>
                      </w:r>
                    </w:p>
                    <w:p>
                      <w:pPr>
                        <w:pStyle w:val="Normal"/>
                        <w:rPr/>
                      </w:pPr>
                      <w:r>
                        <w:rPr/>
                        <w:t>Tracy Fairchild</w:t>
                      </w:r>
                    </w:p>
                    <w:p>
                      <w:pPr>
                        <w:pStyle w:val="Normal"/>
                        <w:rPr/>
                      </w:pPr>
                      <w:r>
                        <w:rPr/>
                        <w:t>916-442-2331</w:t>
                      </w:r>
                    </w:p>
                    <w:p>
                      <w:pPr>
                        <w:pStyle w:val="Normal"/>
                        <w:rPr/>
                      </w:pPr>
                      <w:r>
                        <w:rPr/>
                        <w:t>916-835-9007 mobile</w:t>
                      </w:r>
                    </w:p>
                    <w:p>
                      <w:pPr>
                        <w:pStyle w:val="Normal"/>
                        <w:rPr/>
                      </w:pPr>
                      <w:hyperlink r:id="rId5">
                        <w:r>
                          <w:rPr>
                            <w:rStyle w:val="Hyperlink"/>
                          </w:rPr>
                          <w:t>tracy.fairchild@edelman.com</w:t>
                        </w:r>
                      </w:hyperlink>
                      <w:r>
                        <w:rPr/>
                        <w:t xml:space="preserve">  </w:t>
                      </w:r>
                    </w:p>
                    <w:p>
                      <w:pPr>
                        <w:pStyle w:val="Normal"/>
                        <w:rPr/>
                      </w:pPr>
                      <w:r>
                        <w:rPr/>
                      </w:r>
                    </w:p>
                    <w:p>
                      <w:pPr>
                        <w:pStyle w:val="Normal"/>
                        <w:rPr/>
                      </w:pPr>
                      <w:r>
                        <w:rPr/>
                        <w:t>Erica Manuel</w:t>
                      </w:r>
                    </w:p>
                    <w:p>
                      <w:pPr>
                        <w:pStyle w:val="Normal"/>
                        <w:rPr/>
                      </w:pPr>
                      <w:r>
                        <w:rPr/>
                        <w:t>916-442-2331</w:t>
                      </w:r>
                    </w:p>
                    <w:p>
                      <w:pPr>
                        <w:pStyle w:val="Normal"/>
                        <w:rPr/>
                      </w:pPr>
                      <w:r>
                        <w:rPr/>
                        <w:t>916-201-5029 mobile</w:t>
                      </w:r>
                    </w:p>
                    <w:p>
                      <w:pPr>
                        <w:pStyle w:val="Normal"/>
                        <w:rPr/>
                      </w:pPr>
                      <w:hyperlink r:id="rId6">
                        <w:r>
                          <w:rPr>
                            <w:rStyle w:val="Hyperlink"/>
                          </w:rPr>
                          <w:t>erica.manuel@edelman.com</w:t>
                        </w:r>
                      </w:hyperlink>
                      <w:r>
                        <w:rPr/>
                        <w:t xml:space="preserve"> </w:t>
                      </w:r>
                    </w:p>
                  </w:txbxContent>
                </v:textbox>
                <w10:wrap type="none"/>
              </v:rect>
            </w:pict>
          </mc:Fallback>
        </mc:AlternateContent>
      </w:r>
    </w:p>
    <w:p>
      <w:pPr>
        <w:pStyle w:val="Heading"/>
        <w:rPr>
          <w:rFonts w:ascii="Times New Roman" w:hAnsi="Times New Roman" w:cs="Times New Roman"/>
          <w:bCs w:val="false"/>
        </w:rPr>
      </w:pPr>
      <w:r>
        <w:rPr>
          <w:rFonts w:cs="Times New Roman" w:ascii="Times New Roman" w:hAnsi="Times New Roman"/>
          <w:bCs w:val="false"/>
        </w:rPr>
      </w:r>
    </w:p>
    <w:p>
      <w:pPr>
        <w:pStyle w:val="Heading"/>
        <w:jc w:val="start"/>
        <w:rPr>
          <w:rFonts w:ascii="Times New Roman" w:hAnsi="Times New Roman" w:cs="Times New Roman"/>
          <w:bCs w:val="false"/>
        </w:rPr>
      </w:pPr>
      <w:r>
        <w:rPr>
          <w:rFonts w:cs="Times New Roman" w:ascii="Times New Roman" w:hAnsi="Times New Roman"/>
          <w:bCs w:val="false"/>
        </w:rPr>
        <w:t>FOR IMMEDIATE RELEASE</w:t>
      </w:r>
    </w:p>
    <w:p>
      <w:pPr>
        <w:pStyle w:val="Heading"/>
        <w:jc w:val="start"/>
        <w:rPr>
          <w:b w:val="false"/>
        </w:rPr>
      </w:pPr>
      <w:r>
        <w:rPr>
          <w:rFonts w:cs="Times New Roman" w:ascii="Times New Roman" w:hAnsi="Times New Roman"/>
          <w:b w:val="false"/>
        </w:rPr>
        <w:t>August 29, 2001</w:t>
      </w:r>
    </w:p>
    <w:p>
      <w:pPr>
        <w:pStyle w:val="BodyText"/>
        <w:jc w:val="start"/>
        <w:rPr>
          <w:b w:val="false"/>
          <w:bCs w:val="false"/>
          <w:i/>
          <w:i/>
          <w:iCs/>
          <w:sz w:val="28"/>
        </w:rPr>
      </w:pPr>
      <w:r>
        <w:rPr>
          <w:b w:val="false"/>
          <w:bCs w:val="false"/>
          <w:i/>
          <w:iCs/>
          <w:sz w:val="28"/>
        </w:rPr>
      </w:r>
    </w:p>
    <w:p>
      <w:pPr>
        <w:pStyle w:val="BodyText"/>
        <w:jc w:val="start"/>
        <w:rPr>
          <w:b w:val="false"/>
          <w:bCs w:val="false"/>
          <w:i/>
          <w:i/>
          <w:iCs/>
          <w:sz w:val="28"/>
        </w:rPr>
      </w:pPr>
      <w:r>
        <w:rPr>
          <w:b w:val="false"/>
          <w:bCs w:val="false"/>
          <w:i/>
          <w:iCs/>
          <w:sz w:val="28"/>
        </w:rPr>
      </w:r>
    </w:p>
    <w:p>
      <w:pPr>
        <w:pStyle w:val="Heading"/>
        <w:rPr>
          <w:rFonts w:ascii="Times New Roman" w:hAnsi="Times New Roman" w:cs="Times New Roman"/>
          <w:b w:val="false"/>
          <w:bCs w:val="false"/>
          <w:i/>
          <w:i/>
          <w:iCs/>
          <w:sz w:val="32"/>
        </w:rPr>
      </w:pPr>
      <w:r>
        <w:rPr>
          <w:rFonts w:cs="Times New Roman" w:ascii="Times New Roman" w:hAnsi="Times New Roman"/>
          <w:b w:val="false"/>
          <w:bCs w:val="false"/>
          <w:i/>
          <w:iCs/>
          <w:sz w:val="32"/>
        </w:rPr>
      </w:r>
    </w:p>
    <w:p>
      <w:pPr>
        <w:pStyle w:val="Heading"/>
        <w:rPr>
          <w:rFonts w:ascii="Times New Roman" w:hAnsi="Times New Roman" w:cs="Times New Roman"/>
          <w:sz w:val="36"/>
        </w:rPr>
      </w:pPr>
      <w:r>
        <w:rPr>
          <w:rFonts w:cs="Times New Roman" w:ascii="Times New Roman" w:hAnsi="Times New Roman"/>
          <w:sz w:val="36"/>
        </w:rPr>
        <w:t>MEDIA STATEMENT</w:t>
      </w:r>
    </w:p>
    <w:p>
      <w:pPr>
        <w:pStyle w:val="Normal"/>
        <w:rPr>
          <w:rFonts w:ascii="Times New Roman" w:hAnsi="Times New Roman" w:cs="Times New Roman"/>
          <w:sz w:val="36"/>
        </w:rPr>
      </w:pPr>
      <w:r>
        <w:rPr>
          <w:rFonts w:cs="Times New Roman"/>
          <w:sz w:val="36"/>
        </w:rPr>
      </w:r>
    </w:p>
    <w:p>
      <w:pPr>
        <w:pStyle w:val="BodyText"/>
        <w:rPr/>
      </w:pPr>
      <w:r>
        <w:rPr/>
        <w:t>Patently Unconstitutional: Latest Draft Orders by CPUC Invite Legal Fight Which Could Further Delay Bond Sale</w:t>
      </w:r>
    </w:p>
    <w:p>
      <w:pPr>
        <w:pStyle w:val="BodyText"/>
        <w:rPr/>
      </w:pPr>
      <w:r>
        <w:rPr/>
      </w:r>
    </w:p>
    <w:p>
      <w:pPr>
        <w:pStyle w:val="BodyText"/>
        <w:jc w:val="start"/>
        <w:rPr>
          <w:b w:val="false"/>
          <w:bCs w:val="false"/>
          <w:i/>
          <w:i/>
          <w:iCs/>
          <w:sz w:val="28"/>
        </w:rPr>
      </w:pPr>
      <w:r>
        <w:rPr>
          <w:b w:val="false"/>
          <w:bCs w:val="false"/>
          <w:i/>
          <w:iCs/>
          <w:sz w:val="28"/>
        </w:rPr>
        <w:t>The following statement was released today by the Alliance for Retail Energy Markets (AReM):</w:t>
      </w:r>
    </w:p>
    <w:p>
      <w:pPr>
        <w:pStyle w:val="BodyText"/>
        <w:rPr>
          <w:b w:val="false"/>
          <w:bCs w:val="false"/>
          <w:i/>
          <w:i/>
          <w:iCs/>
          <w:sz w:val="28"/>
        </w:rPr>
      </w:pPr>
      <w:r>
        <w:rPr>
          <w:b w:val="false"/>
          <w:bCs w:val="false"/>
          <w:i/>
          <w:iCs/>
          <w:sz w:val="28"/>
        </w:rPr>
      </w:r>
    </w:p>
    <w:p>
      <w:pPr>
        <w:pStyle w:val="BodyText"/>
        <w:jc w:val="start"/>
        <w:rPr/>
      </w:pPr>
      <w:r>
        <w:rPr>
          <w:b w:val="false"/>
          <w:bCs w:val="false"/>
          <w:sz w:val="28"/>
        </w:rPr>
        <w:t>The Alliance for Retail Energy Markets is strongly opposed to the California Public Utilities Commission (CPUC) August 27 draft order retroactively suspending direct access, or retail choice, effective July 1, 2001.  AReM understands this decision to be an illegal act under the U.S. Constitution to abrogate existing contracts and will</w:t>
      </w:r>
      <w:r>
        <w:rPr>
          <w:sz w:val="28"/>
        </w:rPr>
        <w:t xml:space="preserve"> </w:t>
      </w:r>
      <w:r>
        <w:rPr>
          <w:b w:val="false"/>
          <w:bCs w:val="false"/>
          <w:sz w:val="28"/>
        </w:rPr>
        <w:t>bring immediate legal action if it is enacted.</w:t>
      </w:r>
    </w:p>
    <w:p>
      <w:pPr>
        <w:pStyle w:val="BodyText"/>
        <w:jc w:val="start"/>
        <w:rPr>
          <w:b w:val="false"/>
          <w:bCs w:val="false"/>
          <w:sz w:val="28"/>
        </w:rPr>
      </w:pPr>
      <w:r>
        <w:rPr>
          <w:b w:val="false"/>
          <w:bCs w:val="false"/>
          <w:sz w:val="28"/>
        </w:rPr>
      </w:r>
    </w:p>
    <w:p>
      <w:pPr>
        <w:pStyle w:val="BodyText"/>
        <w:jc w:val="start"/>
        <w:rPr/>
      </w:pPr>
      <w:r>
        <w:rPr>
          <w:b w:val="false"/>
          <w:bCs w:val="false"/>
          <w:sz w:val="28"/>
        </w:rPr>
        <w:t>Retroactive abrogation of contracts violates Section 10 of Article I of the United States Constitution, which provides in part that, “No State shall . . .  pass any …</w:t>
      </w:r>
      <w:r>
        <w:rPr>
          <w:rStyle w:val="Strong"/>
          <w:b/>
          <w:bCs/>
          <w:i/>
          <w:iCs/>
          <w:sz w:val="28"/>
        </w:rPr>
        <w:t xml:space="preserve"> Law impairing the Obligation of Contracts</w:t>
      </w:r>
      <w:r>
        <w:rPr>
          <w:i/>
          <w:iCs/>
          <w:sz w:val="28"/>
        </w:rPr>
        <w:t xml:space="preserve"> . . .”  </w:t>
      </w:r>
      <w:r>
        <w:rPr>
          <w:b w:val="false"/>
          <w:bCs w:val="false"/>
          <w:sz w:val="28"/>
        </w:rPr>
        <w:t>In addition, the Fifth Amendment Takings Clause provides that, “nor shall private property be taken for public use, without just compensation…” Case law on these provisions of the Constitution supports AReM’s opposition.</w:t>
      </w:r>
    </w:p>
    <w:p>
      <w:pPr>
        <w:pStyle w:val="BodyText"/>
        <w:jc w:val="start"/>
        <w:rPr>
          <w:b w:val="false"/>
          <w:bCs w:val="false"/>
          <w:sz w:val="28"/>
        </w:rPr>
      </w:pPr>
      <w:r>
        <w:rPr>
          <w:b w:val="false"/>
          <w:bCs w:val="false"/>
          <w:sz w:val="28"/>
        </w:rPr>
      </w:r>
    </w:p>
    <w:p>
      <w:pPr>
        <w:pStyle w:val="Normal"/>
        <w:rPr/>
      </w:pPr>
      <w:r>
        <w:rPr>
          <w:sz w:val="28"/>
        </w:rPr>
        <w:t>AReM will also seek immediate injunctive relief to prevent the application of any CPUC action that would retroactively affect direct access contracts. AReM believes such action</w:t>
      </w:r>
      <w:r>
        <w:rPr>
          <w:b/>
          <w:bCs/>
          <w:sz w:val="28"/>
        </w:rPr>
        <w:t xml:space="preserve"> </w:t>
      </w:r>
      <w:r>
        <w:rPr>
          <w:sz w:val="28"/>
        </w:rPr>
        <w:t>would constitute a significant economic burden on existing contracts, in violation of both the Contracts Clause and the Takings Clause.</w:t>
      </w:r>
    </w:p>
    <w:p>
      <w:pPr>
        <w:pStyle w:val="BodyText2"/>
        <w:rPr/>
      </w:pPr>
      <w:r>
        <w:rPr/>
        <w:br/>
        <w:t>AReM has crafted legislative language that ensures the future of direct access without endangering the sale of energy revenue bonds to repay the General Fund.  We urge the CPUC to consider the filing, submitted jointly by AReM and the Western Power Trading Forum to the CPUC, which provides a blueprint for workable direct access in the future and is supported by numerous filing participants. We remain willing to work with all parties to craft legislative and regulatory decisions that meet both of these goals.</w:t>
      </w:r>
    </w:p>
    <w:p>
      <w:pPr>
        <w:pStyle w:val="BodyText2"/>
        <w:rPr/>
      </w:pPr>
      <w:r>
        <w:rPr/>
      </w:r>
    </w:p>
    <w:p>
      <w:pPr>
        <w:pStyle w:val="BodyText2"/>
        <w:rPr/>
      </w:pPr>
      <w:r>
        <w:rPr/>
        <w:t xml:space="preserve">AReM also takes issue with the CPUC statement that its June 15, 2001 draft decision served as adequate notification to market participants that direct access would be suspended effective July 1, 2001.  In fact, the CPUC postponed action on that draft order and since then has issued two additional draft decisions which conflict with the first.  How are market participants to know which of its draft decisions the PUC takes most seriously?  A chronology follows: </w:t>
      </w:r>
    </w:p>
    <w:p>
      <w:pPr>
        <w:pStyle w:val="BodyText2"/>
        <w:rPr/>
      </w:pPr>
      <w:r>
        <w:rPr/>
      </w:r>
    </w:p>
    <w:p>
      <w:pPr>
        <w:pStyle w:val="Normal"/>
        <w:numPr>
          <w:ilvl w:val="0"/>
          <w:numId w:val="2"/>
        </w:numPr>
        <w:rPr>
          <w:sz w:val="28"/>
        </w:rPr>
      </w:pPr>
      <w:r>
        <w:rPr>
          <w:sz w:val="28"/>
        </w:rPr>
        <w:t>6-15-01 -- Draft decision setting the date of suspension as 7-1-01 mailed for comment to parties</w:t>
        <w:br/>
      </w:r>
    </w:p>
    <w:p>
      <w:pPr>
        <w:pStyle w:val="Normal"/>
        <w:numPr>
          <w:ilvl w:val="0"/>
          <w:numId w:val="2"/>
        </w:numPr>
        <w:rPr>
          <w:sz w:val="28"/>
        </w:rPr>
      </w:pPr>
      <w:r>
        <w:rPr>
          <w:sz w:val="28"/>
        </w:rPr>
        <w:t>6-27-01 -- CPUC postpones action on the draft decision.</w:t>
        <w:br/>
      </w:r>
    </w:p>
    <w:p>
      <w:pPr>
        <w:pStyle w:val="Normal"/>
        <w:numPr>
          <w:ilvl w:val="0"/>
          <w:numId w:val="2"/>
        </w:numPr>
        <w:rPr>
          <w:sz w:val="28"/>
        </w:rPr>
      </w:pPr>
      <w:r>
        <w:rPr>
          <w:sz w:val="28"/>
        </w:rPr>
        <w:t>8-15-01 -- Draft ALJ decision released specifying suspension of direct access for those who have not entered into written DA contracts by September 1, 2001.</w:t>
      </w:r>
    </w:p>
    <w:p>
      <w:pPr>
        <w:pStyle w:val="Normal"/>
        <w:rPr>
          <w:sz w:val="28"/>
        </w:rPr>
      </w:pPr>
      <w:r>
        <w:rPr>
          <w:sz w:val="28"/>
        </w:rPr>
      </w:r>
    </w:p>
    <w:p>
      <w:pPr>
        <w:pStyle w:val="Normal"/>
        <w:numPr>
          <w:ilvl w:val="0"/>
          <w:numId w:val="2"/>
        </w:numPr>
        <w:rPr>
          <w:sz w:val="28"/>
        </w:rPr>
      </w:pPr>
      <w:r>
        <w:rPr>
          <w:sz w:val="28"/>
        </w:rPr>
        <w:t>Draft decision set for vote at Commission meeting on 8-23-01.</w:t>
      </w:r>
    </w:p>
    <w:p>
      <w:pPr>
        <w:pStyle w:val="Normal"/>
        <w:rPr>
          <w:sz w:val="28"/>
        </w:rPr>
      </w:pPr>
      <w:r>
        <w:rPr>
          <w:sz w:val="28"/>
        </w:rPr>
      </w:r>
    </w:p>
    <w:p>
      <w:pPr>
        <w:pStyle w:val="Normal"/>
        <w:numPr>
          <w:ilvl w:val="0"/>
          <w:numId w:val="2"/>
        </w:numPr>
        <w:rPr>
          <w:sz w:val="28"/>
        </w:rPr>
      </w:pPr>
      <w:r>
        <w:rPr>
          <w:sz w:val="28"/>
        </w:rPr>
        <w:t>8-21-01 – President Lynch delays the vote until 9-6-01 “to consider the volume and scope of comments.”</w:t>
      </w:r>
    </w:p>
    <w:p>
      <w:pPr>
        <w:pStyle w:val="Normal"/>
        <w:rPr>
          <w:sz w:val="28"/>
        </w:rPr>
      </w:pPr>
      <w:r>
        <w:rPr>
          <w:sz w:val="28"/>
        </w:rPr>
      </w:r>
    </w:p>
    <w:p>
      <w:pPr>
        <w:pStyle w:val="Normal"/>
        <w:numPr>
          <w:ilvl w:val="0"/>
          <w:numId w:val="2"/>
        </w:numPr>
        <w:rPr>
          <w:sz w:val="28"/>
        </w:rPr>
      </w:pPr>
      <w:r>
        <w:rPr>
          <w:sz w:val="28"/>
        </w:rPr>
        <w:t>8-27-01 – New draft decision released with a retroactive suspension date of July 1, 2001.</w:t>
      </w:r>
    </w:p>
    <w:p>
      <w:pPr>
        <w:pStyle w:val="Normal"/>
        <w:rPr>
          <w:b/>
          <w:bCs/>
          <w:sz w:val="28"/>
        </w:rPr>
      </w:pPr>
      <w:r>
        <w:rPr>
          <w:b/>
          <w:bCs/>
          <w:sz w:val="28"/>
        </w:rPr>
      </w:r>
    </w:p>
    <w:p>
      <w:pPr>
        <w:pStyle w:val="Normal"/>
        <w:jc w:val="center"/>
        <w:rPr>
          <w:b/>
          <w:bCs/>
        </w:rPr>
      </w:pPr>
      <w:r>
        <w:rPr>
          <w:b/>
          <w:bCs/>
        </w:rPr>
      </w:r>
    </w:p>
    <w:p>
      <w:pPr>
        <w:pStyle w:val="Normal"/>
        <w:jc w:val="center"/>
        <w:rPr/>
      </w:pPr>
      <w:r>
        <w:rPr/>
        <w:t># # #</w:t>
      </w:r>
    </w:p>
    <w:p>
      <w:pPr>
        <w:pStyle w:val="Normal"/>
        <w:rPr/>
      </w:pPr>
      <w:r>
        <w:rPr/>
      </w:r>
    </w:p>
    <w:p>
      <w:pPr>
        <w:pStyle w:val="Normal"/>
        <w:rPr/>
      </w:pPr>
      <w:r>
        <w:rPr/>
      </w:r>
    </w:p>
    <w:p>
      <w:pPr>
        <w:pStyle w:val="BodyText"/>
        <w:rPr>
          <w:b w:val="false"/>
          <w:bCs w:val="false"/>
          <w:i/>
          <w:i/>
          <w:iCs/>
          <w:sz w:val="22"/>
        </w:rPr>
      </w:pPr>
      <w:r>
        <w:rPr>
          <w:b w:val="false"/>
          <w:bCs w:val="false"/>
          <w:i/>
          <w:iCs/>
          <w:sz w:val="22"/>
        </w:rPr>
        <w:t xml:space="preserve">Alliance for Retail Energy Markets (AReM) is a coalition whose member companies serve nearly all of the California customers who have chosen a competitive energy provider instead of their traditional utility provider.   </w:t>
      </w:r>
    </w:p>
    <w:sectPr>
      <w:footerReference w:type="default" r:id="rId7"/>
      <w:footerReference w:type="first" r:id="rId8"/>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(more)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WW8Num1z0">
    <w:name w:val="WW8Num1z0"/>
    <w:qFormat/>
    <w:rPr>
      <w:rFonts w:ascii="Symbol" w:hAnsi="Symbol" w:cs="Symbol"/>
    </w:rPr>
  </w:style>
  <w:style w:type="character" w:styleId="WW8Num1z1">
    <w:name w:val="WW8Num1z1"/>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Unicode MS" w:hAnsi="Arial Unicode MS" w:eastAsia="Arial Unicode MS" w:cs="Arial Unicode MS"/>
      <w:b/>
      <w:bCs/>
      <w:sz w:val="28"/>
    </w:rPr>
  </w:style>
  <w:style w:type="paragraph" w:styleId="BodyText">
    <w:name w:val="Body Text"/>
    <w:basedOn w:val="Normal"/>
    <w:pPr>
      <w:jc w:val="center"/>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tracy.fairchild@edelman.com" TargetMode="External"/><Relationship Id="rId4" Type="http://schemas.openxmlformats.org/officeDocument/2006/relationships/hyperlink" Target="mailto:erica.manuel@edelman.com" TargetMode="External"/><Relationship Id="rId5" Type="http://schemas.openxmlformats.org/officeDocument/2006/relationships/hyperlink" Target="mailto:tracy.fairchild@edelman.com" TargetMode="External"/><Relationship Id="rId6" Type="http://schemas.openxmlformats.org/officeDocument/2006/relationships/hyperlink" Target="mailto:erica.manuel@edelman.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2001-08-29T18:24:00Z</dcterms:created>
  <dc:creator>smara</dc:creator>
  <dc:description/>
  <dc:language>en-CA</dc:language>
  <cp:lastModifiedBy>smara</cp:lastModifiedBy>
  <cp:lastPrinted>2001-08-29T10:43:00Z</cp:lastPrinted>
  <dcterms:modified xsi:type="dcterms:W3CDTF">2001-08-29T18:24:00Z</dcterms:modified>
  <cp:revision>2</cp:revision>
  <dc:subject/>
  <dc:title>Latest Action by Governor Davis and CPUC is Unconstitutional</dc:title>
</cp:coreProperties>
</file>