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13335</wp:posOffset>
            </wp:positionH>
            <wp:positionV relativeFrom="paragraph">
              <wp:posOffset>-187960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spacing w:before="1767" w:after="0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>To: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Rick Buy, Ken Lay, Greg Whalley </w:t>
        <w:tab/>
        <w:tab/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86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CC:</w:t>
        <w:tab/>
        <w:t xml:space="preserve">David Port, John Lavorato, Louise Kitchen,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>Jeff Gossett, Ted Murphy, Cassandra Schultz,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 xml:space="preserve">File copy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86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 Violation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August 21,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occurrence of the following limit violation as of the close of business August 20, 2001.</w:t>
      </w:r>
    </w:p>
    <w:p>
      <w:pPr>
        <w:pStyle w:val="Heading1"/>
        <w:ind w:hanging="0" w:start="0"/>
        <w:rPr>
          <w:sz w:val="25"/>
          <w:szCs w:val="25"/>
        </w:rPr>
      </w:pPr>
      <w:r>
        <w:rPr/>
        <w:t>Enron Americas - North America Gas Trading by Business Unit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Maturity Gap Risk Limit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200 Bcf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Maturity Gap Risk:</w:t>
      </w:r>
      <w:r>
        <w:rPr>
          <w:rFonts w:cs="MS Sans Serif" w:ascii="MS Sans Serif" w:hAnsi="MS Sans Serif"/>
          <w:sz w:val="20"/>
        </w:rPr>
        <w:tab/>
      </w:r>
      <w:r>
        <w:rPr>
          <w:sz w:val="20"/>
        </w:rPr>
        <w:t>(370)</w:t>
      </w:r>
      <w:r>
        <w:rPr>
          <w:color w:val="000000"/>
          <w:sz w:val="20"/>
          <w:szCs w:val="20"/>
        </w:rPr>
        <w:t xml:space="preserve"> Bcf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The Maturity Gap Risk violation is driven by short fixed price positions in the three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month period between March 2002 and May 2002. The Financial Desk is carrying the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majority of those positions, (344) Bcf, between March 2002 and May 2002.  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68" w:after="0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68" w:after="0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68" w:after="0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68" w:after="0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68" w:after="0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68" w:after="0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68" w:after="0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68" w:after="0"/>
        <w:ind w:start="252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149" w:after="0"/>
        <w:rPr>
          <w:rFonts w:ascii="MS Sans Serif" w:hAnsi="MS Sans Serif" w:cs="MS Sans Serif"/>
          <w:color w:val="000000"/>
          <w:sz w:val="20"/>
          <w:szCs w:val="20"/>
        </w:rPr>
      </w:pPr>
      <w:r>
        <w:rPr>
          <w:rFonts w:cs="MS Sans Serif" w:ascii="MS Sans Serif" w:hAnsi="MS Sans Serif"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149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ab/>
        <w:tab/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149" w:after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149" w:after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149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Acknowledgements: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 xml:space="preserve">Office of the Chair </w:t>
      </w:r>
      <w:r>
        <w:rPr>
          <w:b/>
          <w:bCs/>
          <w:color w:val="000000"/>
          <w:sz w:val="32"/>
          <w:szCs w:val="32"/>
        </w:rPr>
        <w:t>————————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tabs>
        <w:tab w:val="clear" w:pos="720"/>
        <w:tab w:val="left" w:pos="90" w:leader="none"/>
      </w:tabs>
      <w:autoSpaceDE w:val="false"/>
      <w:spacing w:before="373" w:after="0"/>
      <w:outlineLvl w:val="0"/>
    </w:pPr>
    <w:rPr>
      <w:b/>
      <w:bCs/>
      <w:color w:val="000000"/>
      <w:sz w:val="20"/>
      <w:szCs w:val="20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2001-08-21T13:53:00Z</dcterms:created>
  <dc:creator>kthibode</dc:creator>
  <dc:description/>
  <dc:language>en-CA</dc:language>
  <cp:lastModifiedBy>cabel</cp:lastModifiedBy>
  <dcterms:modified xsi:type="dcterms:W3CDTF">2001-08-21T15:57:00Z</dcterms:modified>
  <cp:revision>3</cp:revision>
  <dc:subject/>
  <dc:title/>
</cp:coreProperties>
</file>