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40"/>
        </w:rPr>
      </w:pPr>
      <w:r>
        <w:drawing>
          <wp:anchor behindDoc="0" distT="0" distB="0" distL="114935" distR="114935" simplePos="0" locked="0" layoutInCell="0" allowOverlap="1" relativeHeight="2">
            <wp:simplePos x="0" y="0"/>
            <wp:positionH relativeFrom="column">
              <wp:posOffset>165735</wp:posOffset>
            </wp:positionH>
            <wp:positionV relativeFrom="paragraph">
              <wp:posOffset>-568960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r>
        <w:rPr>
          <w:b/>
          <w:bCs/>
          <w:sz w:val="40"/>
        </w:rPr>
        <w:t>CPUC Provided Alternative – No Need to Suspend</w:t>
      </w:r>
    </w:p>
    <w:p>
      <w:pPr>
        <w:pStyle w:val="Heading1"/>
        <w:ind w:hanging="0" w:start="0"/>
        <w:jc w:val="center"/>
        <w:rPr>
          <w:rFonts w:ascii="Palatino Linotype" w:hAnsi="Palatino Linotype" w:cs="Palatino Linotype"/>
          <w:b/>
          <w:bCs/>
        </w:rPr>
      </w:pPr>
      <w:r>
        <w:rPr>
          <w:rFonts w:eastAsia="Palatino Linotype" w:cs="Palatino Linotype" w:ascii="Palatino Linotype" w:hAnsi="Palatino Linotype"/>
          <w:b/>
          <w:bCs/>
          <w:sz w:val="40"/>
        </w:rPr>
        <w:t xml:space="preserve"> </w:t>
      </w:r>
      <w:r>
        <w:rPr>
          <w:rFonts w:cs="Palatino Linotype" w:ascii="Palatino Linotype" w:hAnsi="Palatino Linotype"/>
          <w:b/>
          <w:bCs/>
          <w:sz w:val="40"/>
        </w:rPr>
        <w:t>Energy Choice for CA Consumers</w:t>
      </w:r>
    </w:p>
    <w:p>
      <w:pPr>
        <w:pStyle w:val="Heading2"/>
        <w:ind w:hanging="0" w:start="0"/>
        <w:jc w:val="center"/>
        <w:rPr/>
      </w:pPr>
      <w:r>
        <w:rPr/>
        <w:t>CPUC Decision Scheduled for August 23</w:t>
      </w:r>
    </w:p>
    <w:p>
      <w:pPr>
        <w:pStyle w:val="Normal"/>
        <w:rPr/>
      </w:pPr>
      <w:r>
        <w:rPr/>
      </w:r>
    </w:p>
    <w:p>
      <w:pPr>
        <w:pStyle w:val="BodyText2"/>
        <w:rPr>
          <w:rFonts w:ascii="Palatino Linotype" w:hAnsi="Palatino Linotype" w:cs="Palatino Linotype"/>
          <w:sz w:val="24"/>
        </w:rPr>
      </w:pPr>
      <w:r>
        <w:rPr>
          <w:rFonts w:cs="Palatino Linotype" w:ascii="Palatino Linotype" w:hAnsi="Palatino Linotype"/>
          <w:sz w:val="24"/>
        </w:rPr>
        <w:t>The Alliance for Retail Energy Markets (AReM) filed a plan for preserving customer choice at the California Public Utilities Commission on August 14, 2001.  The plan provides a rational alternative to the CPUC’s pending decision to suspend customer choice effective September 1, 2001.</w:t>
      </w:r>
    </w:p>
    <w:p>
      <w:pPr>
        <w:pStyle w:val="BodyText2"/>
        <w:rPr>
          <w:rFonts w:ascii="Palatino Linotype" w:hAnsi="Palatino Linotype" w:cs="Palatino Linotype"/>
          <w:sz w:val="24"/>
        </w:rPr>
      </w:pPr>
      <w:r>
        <w:rPr>
          <w:rFonts w:cs="Palatino Linotype" w:ascii="Palatino Linotype" w:hAnsi="Palatino Linotype"/>
          <w:b/>
          <w:bCs/>
          <w:i/>
          <w:iCs/>
          <w:sz w:val="24"/>
          <w:u w:val="single"/>
        </w:rPr>
        <w:t>CPUC Has the Legal Authority to Implement the Program</w:t>
      </w:r>
    </w:p>
    <w:p>
      <w:pPr>
        <w:pStyle w:val="BodyText2"/>
        <w:numPr>
          <w:ilvl w:val="0"/>
          <w:numId w:val="4"/>
        </w:numPr>
        <w:rPr>
          <w:rFonts w:ascii="Palatino Linotype" w:hAnsi="Palatino Linotype" w:cs="Palatino Linotype"/>
          <w:sz w:val="24"/>
        </w:rPr>
      </w:pPr>
      <w:r>
        <w:rPr>
          <w:rFonts w:cs="Palatino Linotype" w:ascii="Palatino Linotype" w:hAnsi="Palatino Linotype"/>
          <w:sz w:val="24"/>
        </w:rPr>
        <w:t>Current statute requires the CPUC to “authorize” and “facilitate” customer choice (Section 365(b)(1) and 366 (a) of the California Public Utilities Code.</w:t>
      </w:r>
    </w:p>
    <w:p>
      <w:pPr>
        <w:pStyle w:val="BodyText2"/>
        <w:numPr>
          <w:ilvl w:val="0"/>
          <w:numId w:val="4"/>
        </w:numPr>
        <w:rPr>
          <w:rFonts w:ascii="Palatino Linotype" w:hAnsi="Palatino Linotype" w:cs="Palatino Linotype"/>
          <w:sz w:val="24"/>
        </w:rPr>
      </w:pPr>
      <w:r>
        <w:rPr>
          <w:rFonts w:cs="Palatino Linotype" w:ascii="Palatino Linotype" w:hAnsi="Palatino Linotype"/>
          <w:sz w:val="24"/>
        </w:rPr>
        <w:t xml:space="preserve">The CPUC’s pending decision only references the Water Code statute added in ABX1 1 (Section 80110). This statute gives the CPUC complete discretion as to </w:t>
      </w:r>
      <w:r>
        <w:rPr>
          <w:rFonts w:cs="Palatino Linotype" w:ascii="Palatino Linotype" w:hAnsi="Palatino Linotype"/>
          <w:b/>
          <w:bCs/>
          <w:i/>
          <w:iCs/>
          <w:sz w:val="24"/>
        </w:rPr>
        <w:t>when</w:t>
      </w:r>
      <w:r>
        <w:rPr>
          <w:rFonts w:cs="Palatino Linotype" w:ascii="Palatino Linotype" w:hAnsi="Palatino Linotype"/>
          <w:b/>
          <w:bCs/>
          <w:sz w:val="24"/>
        </w:rPr>
        <w:t xml:space="preserve"> </w:t>
      </w:r>
      <w:r>
        <w:rPr>
          <w:rFonts w:cs="Palatino Linotype" w:ascii="Palatino Linotype" w:hAnsi="Palatino Linotype"/>
          <w:sz w:val="24"/>
        </w:rPr>
        <w:t>it decides to suspend customer choice.</w:t>
      </w:r>
    </w:p>
    <w:p>
      <w:pPr>
        <w:pStyle w:val="BodyText2"/>
        <w:numPr>
          <w:ilvl w:val="0"/>
          <w:numId w:val="4"/>
        </w:numPr>
        <w:rPr>
          <w:rFonts w:ascii="Palatino Linotype" w:hAnsi="Palatino Linotype" w:cs="Palatino Linotype"/>
          <w:sz w:val="24"/>
        </w:rPr>
      </w:pPr>
      <w:r>
        <w:rPr>
          <w:rFonts w:cs="Palatino Linotype" w:ascii="Palatino Linotype" w:hAnsi="Palatino Linotype"/>
          <w:sz w:val="24"/>
        </w:rPr>
        <w:t>The CPUC can easily reconcile these conflicting statutes by adopting AReM’s program.</w:t>
      </w:r>
    </w:p>
    <w:p>
      <w:pPr>
        <w:pStyle w:val="BodyText2"/>
        <w:rPr>
          <w:rFonts w:ascii="Palatino Linotype" w:hAnsi="Palatino Linotype" w:cs="Palatino Linotype"/>
          <w:b/>
          <w:bCs/>
          <w:i/>
          <w:i/>
          <w:iCs/>
          <w:sz w:val="24"/>
          <w:u w:val="single"/>
        </w:rPr>
      </w:pPr>
      <w:r>
        <w:rPr>
          <w:rFonts w:cs="Palatino Linotype" w:ascii="Palatino Linotype" w:hAnsi="Palatino Linotype"/>
          <w:b/>
          <w:bCs/>
          <w:i/>
          <w:iCs/>
          <w:sz w:val="24"/>
          <w:u w:val="single"/>
        </w:rPr>
        <w:t>AReM’s Program Addresses Payback of State Funds</w:t>
      </w:r>
    </w:p>
    <w:p>
      <w:pPr>
        <w:pStyle w:val="Normal"/>
        <w:numPr>
          <w:ilvl w:val="0"/>
          <w:numId w:val="6"/>
        </w:numPr>
        <w:ind w:hanging="360" w:start="720" w:end="720"/>
        <w:rPr>
          <w:rFonts w:ascii="Palatino Linotype" w:hAnsi="Palatino Linotype" w:cs="Palatino Linotype"/>
        </w:rPr>
      </w:pPr>
      <w:r>
        <w:rPr>
          <w:rFonts w:cs="Palatino Linotype" w:ascii="Palatino Linotype" w:hAnsi="Palatino Linotype"/>
        </w:rPr>
        <w:t>The Commission would implement the program for an initial period of 12 months.</w:t>
      </w:r>
    </w:p>
    <w:p>
      <w:pPr>
        <w:pStyle w:val="Normal"/>
        <w:numPr>
          <w:ilvl w:val="0"/>
          <w:numId w:val="6"/>
        </w:numPr>
        <w:ind w:hanging="360" w:start="720" w:end="720"/>
        <w:rPr>
          <w:rFonts w:ascii="Palatino Linotype" w:hAnsi="Palatino Linotype" w:cs="Palatino Linotype"/>
        </w:rPr>
      </w:pPr>
      <w:r>
        <w:rPr>
          <w:rFonts w:cs="Palatino Linotype" w:ascii="Palatino Linotype" w:hAnsi="Palatino Linotype"/>
        </w:rPr>
        <w:t>Utility customers choosing direct access during the program would pay a share of the costs incurred by the General Fund and the utilities’ procurement-related debts.</w:t>
      </w:r>
    </w:p>
    <w:p>
      <w:pPr>
        <w:pStyle w:val="Normal"/>
        <w:numPr>
          <w:ilvl w:val="0"/>
          <w:numId w:val="6"/>
        </w:numPr>
        <w:ind w:hanging="360" w:start="720" w:end="720"/>
        <w:rPr>
          <w:rFonts w:ascii="Palatino Linotype" w:hAnsi="Palatino Linotype" w:cs="Palatino Linotype"/>
        </w:rPr>
      </w:pPr>
      <w:r>
        <w:rPr>
          <w:rFonts w:cs="Palatino Linotype" w:ascii="Palatino Linotype" w:hAnsi="Palatino Linotype"/>
        </w:rPr>
        <w:t xml:space="preserve">An expedited proceeding would determine whether any costs related to DWR long-term contracts should be recovered:  </w:t>
      </w:r>
    </w:p>
    <w:p>
      <w:pPr>
        <w:pStyle w:val="Normal"/>
        <w:numPr>
          <w:ilvl w:val="0"/>
          <w:numId w:val="2"/>
        </w:numPr>
        <w:tabs>
          <w:tab w:val="clear" w:pos="720"/>
          <w:tab w:val="left" w:pos="1080" w:leader="none"/>
        </w:tabs>
        <w:ind w:hanging="360" w:start="1080" w:end="720"/>
        <w:rPr>
          <w:rFonts w:ascii="Palatino Linotype" w:hAnsi="Palatino Linotype" w:cs="Palatino Linotype"/>
        </w:rPr>
      </w:pPr>
      <w:r>
        <w:rPr>
          <w:rFonts w:cs="Palatino Linotype" w:ascii="Palatino Linotype" w:hAnsi="Palatino Linotype"/>
        </w:rPr>
        <w:t xml:space="preserve">The Commission would consider allowing direct access equivalent to the State’s net short position without any associated DWR cost burden and exit fees for any direct access that exceeds the net short position. </w:t>
      </w:r>
    </w:p>
    <w:p>
      <w:pPr>
        <w:pStyle w:val="Normal"/>
        <w:numPr>
          <w:ilvl w:val="0"/>
          <w:numId w:val="2"/>
        </w:numPr>
        <w:tabs>
          <w:tab w:val="clear" w:pos="720"/>
          <w:tab w:val="left" w:pos="1080" w:leader="none"/>
        </w:tabs>
        <w:ind w:hanging="360" w:start="1080" w:end="720"/>
        <w:rPr>
          <w:rFonts w:ascii="Palatino Linotype" w:hAnsi="Palatino Linotype" w:cs="Palatino Linotype"/>
        </w:rPr>
      </w:pPr>
      <w:r>
        <w:rPr>
          <w:rFonts w:cs="Palatino Linotype" w:ascii="Palatino Linotype" w:hAnsi="Palatino Linotype"/>
        </w:rPr>
        <w:t>The Commission would consider set asides to ensure that program benefits are extended to residential and small commercial customers and green incentives.</w:t>
      </w:r>
    </w:p>
    <w:p>
      <w:pPr>
        <w:pStyle w:val="Normal"/>
        <w:numPr>
          <w:ilvl w:val="0"/>
          <w:numId w:val="3"/>
        </w:numPr>
        <w:ind w:hanging="360" w:start="720" w:end="720"/>
        <w:rPr>
          <w:rFonts w:ascii="Palatino Linotype" w:hAnsi="Palatino Linotype" w:cs="Palatino Linotype"/>
        </w:rPr>
      </w:pPr>
      <w:r>
        <w:rPr>
          <w:rFonts w:cs="Palatino Linotype" w:ascii="Palatino Linotype" w:hAnsi="Palatino Linotype"/>
        </w:rPr>
        <w:t>For direct access service begun before the new program:</w:t>
      </w:r>
    </w:p>
    <w:p>
      <w:pPr>
        <w:pStyle w:val="Normal"/>
        <w:numPr>
          <w:ilvl w:val="0"/>
          <w:numId w:val="5"/>
        </w:numPr>
        <w:tabs>
          <w:tab w:val="clear" w:pos="720"/>
          <w:tab w:val="left" w:pos="1080" w:leader="none"/>
          <w:tab w:val="left" w:pos="5040" w:leader="none"/>
        </w:tabs>
        <w:ind w:hanging="360" w:start="1080" w:end="720"/>
        <w:rPr>
          <w:rFonts w:ascii="Palatino Linotype" w:hAnsi="Palatino Linotype" w:cs="Palatino Linotype"/>
        </w:rPr>
      </w:pPr>
      <w:r>
        <w:rPr>
          <w:rFonts w:cs="Palatino Linotype" w:ascii="Palatino Linotype" w:hAnsi="Palatino Linotype"/>
        </w:rPr>
        <w:t xml:space="preserve">Direct access customers who have been on direct access continuously since May 2000 would pay no utility procurement or DWR related costs. </w:t>
      </w:r>
    </w:p>
    <w:p>
      <w:pPr>
        <w:pStyle w:val="Normal"/>
        <w:numPr>
          <w:ilvl w:val="0"/>
          <w:numId w:val="5"/>
        </w:numPr>
        <w:tabs>
          <w:tab w:val="clear" w:pos="720"/>
          <w:tab w:val="left" w:pos="1080" w:leader="none"/>
          <w:tab w:val="left" w:pos="5040" w:leader="none"/>
        </w:tabs>
        <w:ind w:hanging="360" w:start="1080" w:end="720"/>
        <w:rPr>
          <w:rFonts w:ascii="Palatino Linotype" w:hAnsi="Palatino Linotype" w:cs="Palatino Linotype"/>
        </w:rPr>
      </w:pPr>
      <w:r>
        <w:rPr>
          <w:rFonts w:cs="Palatino Linotype" w:ascii="Palatino Linotype" w:hAnsi="Palatino Linotype"/>
        </w:rPr>
        <w:t>Direct access customers who were utility customers for a portion of the time between January 17, 2001 and the date the new program is implemented would pay a proportional share of DWR and past utility procurement costs to the extent other customers are required to pay for those costs.</w:t>
      </w:r>
    </w:p>
    <w:p>
      <w:pPr>
        <w:pStyle w:val="Normal"/>
        <w:numPr>
          <w:ilvl w:val="0"/>
          <w:numId w:val="6"/>
        </w:numPr>
        <w:ind w:hanging="360" w:start="720" w:end="720"/>
        <w:rPr>
          <w:rFonts w:ascii="Palatino Linotype" w:hAnsi="Palatino Linotype" w:cs="Palatino Linotype"/>
        </w:rPr>
      </w:pPr>
      <w:r>
        <w:rPr>
          <w:rFonts w:cs="Palatino Linotype" w:ascii="Palatino Linotype" w:hAnsi="Palatino Linotype"/>
        </w:rPr>
        <w:t>Absent legislation addressing direct access during the next 12 months:</w:t>
      </w:r>
    </w:p>
    <w:p>
      <w:pPr>
        <w:pStyle w:val="Normal"/>
        <w:numPr>
          <w:ilvl w:val="1"/>
          <w:numId w:val="6"/>
        </w:numPr>
        <w:ind w:hanging="360" w:start="1440" w:end="720"/>
        <w:rPr>
          <w:rFonts w:ascii="Palatino Linotype" w:hAnsi="Palatino Linotype" w:cs="Palatino Linotype"/>
        </w:rPr>
      </w:pPr>
      <w:r>
        <w:rPr>
          <w:rFonts w:cs="Palatino Linotype" w:ascii="Palatino Linotype" w:hAnsi="Palatino Linotype"/>
        </w:rPr>
        <w:t>Commission would revisit the program after 12 months to review its impact and could continue the program, modify the program or suspend the program.</w:t>
      </w:r>
    </w:p>
    <w:p>
      <w:pPr>
        <w:pStyle w:val="Normal"/>
        <w:numPr>
          <w:ilvl w:val="0"/>
          <w:numId w:val="7"/>
        </w:numPr>
        <w:ind w:hanging="360" w:start="1440" w:end="720"/>
        <w:rPr>
          <w:rFonts w:ascii="Palatino Linotype" w:hAnsi="Palatino Linotype" w:cs="Palatino Linotype"/>
          <w:sz w:val="20"/>
        </w:rPr>
      </w:pPr>
      <w:r>
        <w:rPr>
          <w:rFonts w:cs="Palatino Linotype" w:ascii="Palatino Linotype" w:hAnsi="Palatino Linotype"/>
        </w:rPr>
        <w:t>Direct access contracts in existence at the time of a Commission program review would be grandfathered and not be subject to suspension or other changes.</w:t>
      </w:r>
    </w:p>
    <w:sectPr>
      <w:headerReference w:type="default" r:id="rId3"/>
      <w:footerReference w:type="default" r:id="rId4"/>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 Linotype">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Palatino Linotype" w:ascii="Palatino Linotype" w:hAnsi="Palatino Linotype"/>
        <w:sz w:val="18"/>
      </w:rPr>
      <w:t>Alliance for Retail Energy Markets (AReM) is a coalition whose member companies include AES NewEnergy, Inc., American Utility Network, Commonwealth Energy Corp., GreenMountain Energy Company, The New Power Company, and Strategic Energy, L.L.C</w:t>
    </w:r>
    <w:r>
      <w:rPr>
        <w:rFonts w:cs="Palatino Linotype" w:ascii="Palatino Linotype" w:hAnsi="Palatino Linotype"/>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Palatino Linotype" w:hAnsi="Palatino Linotype" w:cs="Palatino Linotype"/>
      </w:rPr>
    </w:pPr>
    <w:r>
      <w:rPr>
        <w:rFonts w:cs="Palatino Linotype" w:ascii="Palatino Linotype" w:hAnsi="Palatino Linotype"/>
      </w:rPr>
    </w:r>
  </w:p>
  <w:p>
    <w:pPr>
      <w:pStyle w:val="Header"/>
      <w:jc w:val="end"/>
      <w:rPr>
        <w:rFonts w:ascii="Palatino Linotype" w:hAnsi="Palatino Linotype" w:cs="Palatino Linotype"/>
      </w:rPr>
    </w:pPr>
    <w:r>
      <w:rPr>
        <w:rFonts w:cs="Palatino Linotype" w:ascii="Palatino Linotype" w:hAnsi="Palatino Linotype"/>
      </w:rPr>
      <w:t>Released August 20,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7">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paragraph" w:styleId="Heading2">
    <w:name w:val="heading 2"/>
    <w:basedOn w:val="Normal"/>
    <w:next w:val="Normal"/>
    <w:qFormat/>
    <w:pPr>
      <w:keepNext w:val="true"/>
      <w:numPr>
        <w:ilvl w:val="1"/>
        <w:numId w:val="1"/>
      </w:numPr>
      <w:outlineLvl w:val="1"/>
    </w:pPr>
    <w:rPr>
      <w:i/>
      <w:i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Wingdings" w:hAnsi="Wingdings" w:cs="Wingdings"/>
    </w:rPr>
  </w:style>
  <w:style w:type="character" w:styleId="WW8Num7z4">
    <w:name w:val="WW8Num7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z w:val="36"/>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2001-08-17T17:56:00Z</dcterms:created>
  <dc:creator>edelman</dc:creator>
  <dc:description/>
  <dc:language>en-CA</dc:language>
  <cp:lastModifiedBy>smara</cp:lastModifiedBy>
  <cp:lastPrinted>2001-08-17T13:46:00Z</cp:lastPrinted>
  <dcterms:modified xsi:type="dcterms:W3CDTF">2001-08-17T18:40:00Z</dcterms:modified>
  <cp:revision>5</cp:revision>
  <dc:subject/>
  <dc:title>Attention Energy Reporters</dc:title>
</cp:coreProperties>
</file>