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szCs w:val="24"/>
        </w:rPr>
      </w:pPr>
      <w:bookmarkStart w:id="0" w:name="BM_1_"/>
      <w:bookmarkEnd w:id="0"/>
      <w:r>
        <w:rPr>
          <w:sz w:val="24"/>
          <w:szCs w:val="24"/>
        </w:rPr>
        <w:t>ENRON COMMENTS ON CHAIRMAN BARTON'S</w:t>
      </w:r>
    </w:p>
    <w:p>
      <w:pPr>
        <w:pStyle w:val="Normal"/>
        <w:widowControl/>
        <w:jc w:val="center"/>
        <w:rPr>
          <w:sz w:val="24"/>
          <w:szCs w:val="24"/>
        </w:rPr>
      </w:pPr>
      <w:r>
        <w:rPr>
          <w:sz w:val="24"/>
          <w:szCs w:val="24"/>
        </w:rPr>
        <w:t>AUGUST  4, 1999 -  DISCUSSION DRAFT</w:t>
      </w:r>
    </w:p>
    <w:p>
      <w:pPr>
        <w:pStyle w:val="Normal"/>
        <w:widowControl/>
        <w:jc w:val="center"/>
        <w:rPr>
          <w:sz w:val="24"/>
          <w:szCs w:val="24"/>
        </w:rPr>
      </w:pPr>
      <w:r>
        <w:rPr>
          <w:sz w:val="24"/>
          <w:szCs w:val="24"/>
        </w:rPr>
        <w:t>"ELECTRICITY COMPETITION AND RELIABILITY ACT"</w:t>
      </w:r>
    </w:p>
    <w:p>
      <w:pPr>
        <w:pStyle w:val="Normal"/>
        <w:widowControl/>
        <w:jc w:val="center"/>
        <w:rPr>
          <w:sz w:val="24"/>
          <w:szCs w:val="24"/>
        </w:rPr>
      </w:pPr>
      <w:r>
        <w:rPr>
          <w:sz w:val="24"/>
          <w:szCs w:val="24"/>
        </w:rPr>
      </w:r>
    </w:p>
    <w:p>
      <w:pPr>
        <w:pStyle w:val="Normal"/>
        <w:widowControl/>
        <w:rPr>
          <w:sz w:val="24"/>
          <w:szCs w:val="24"/>
        </w:rPr>
      </w:pPr>
      <w:r>
        <w:rPr>
          <w:sz w:val="24"/>
          <w:szCs w:val="24"/>
        </w:rPr>
      </w:r>
    </w:p>
    <w:p>
      <w:pPr>
        <w:pStyle w:val="Normal"/>
        <w:widowControl/>
        <w:jc w:val="both"/>
        <w:rPr>
          <w:sz w:val="24"/>
          <w:szCs w:val="24"/>
        </w:rPr>
      </w:pPr>
      <w:r>
        <w:rPr>
          <w:sz w:val="24"/>
          <w:szCs w:val="24"/>
        </w:rPr>
        <w:tab/>
        <w:t>Enron supports enactment of comprehensive electric restructuring legislation and urges Chairman Barton and the Subcommittee Members to proceed to markup as soon as possible.  Enron believes that the August 4, 1999, Discussion Draft "Electricity Competition and Reliability Act" represents an excellent starting point for developing a viable, consensus bill that will command widespread bipartisan support.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 xml:space="preserve">Enron believes the proposal can be enhanced in several key areas.  The areas of critical importance to Enron are summarized below.  A detailed analysis of the Discussion Draft is also  attached.  It includes several suggested amendments and technical clarifications.  Unless discussed below, Enron supports the policy initiatives included in the August 4, 1999, Discussion Draft.  </w:t>
      </w:r>
    </w:p>
    <w:p>
      <w:pPr>
        <w:pStyle w:val="Normal"/>
        <w:widowControl/>
        <w:jc w:val="both"/>
        <w:rPr>
          <w:sz w:val="24"/>
          <w:szCs w:val="24"/>
        </w:rPr>
      </w:pPr>
      <w:r>
        <w:rPr>
          <w:sz w:val="24"/>
          <w:szCs w:val="24"/>
        </w:rPr>
      </w:r>
    </w:p>
    <w:p>
      <w:pPr>
        <w:pStyle w:val="Normal"/>
        <w:widowControl/>
        <w:jc w:val="both"/>
        <w:rPr/>
      </w:pPr>
      <w:r>
        <w:rPr>
          <w:sz w:val="24"/>
          <w:szCs w:val="24"/>
        </w:rPr>
        <w:tab/>
        <w:t xml:space="preserve">The  areas of </w:t>
      </w:r>
      <w:r>
        <w:rPr>
          <w:sz w:val="24"/>
          <w:szCs w:val="24"/>
          <w:u w:val="single"/>
        </w:rPr>
        <w:t>critical</w:t>
      </w:r>
      <w:r>
        <w:rPr>
          <w:sz w:val="24"/>
          <w:szCs w:val="24"/>
        </w:rPr>
        <w:t xml:space="preserve"> concern are the following:</w:t>
      </w:r>
    </w:p>
    <w:p>
      <w:pPr>
        <w:pStyle w:val="Normal"/>
        <w:widowControl/>
        <w:jc w:val="both"/>
        <w:rPr>
          <w:sz w:val="24"/>
          <w:szCs w:val="24"/>
        </w:rPr>
      </w:pPr>
      <w:r>
        <w:rPr>
          <w:sz w:val="24"/>
          <w:szCs w:val="24"/>
        </w:rPr>
      </w:r>
    </w:p>
    <w:p>
      <w:pPr>
        <w:pStyle w:val="Normal"/>
        <w:widowControl/>
        <w:jc w:val="both"/>
        <w:rPr>
          <w:b/>
          <w:bCs/>
          <w:sz w:val="24"/>
          <w:szCs w:val="24"/>
          <w:u w:val="single"/>
        </w:rPr>
      </w:pPr>
      <w:r>
        <w:rPr>
          <w:b/>
          <w:bCs/>
          <w:sz w:val="24"/>
          <w:szCs w:val="24"/>
          <w:u w:val="single"/>
        </w:rPr>
        <w:t>1.  Equal Transmission Access for All Users and Separation of Functions:</w:t>
      </w:r>
    </w:p>
    <w:p>
      <w:pPr>
        <w:pStyle w:val="Normal"/>
        <w:widowControl/>
        <w:jc w:val="both"/>
        <w:rPr>
          <w:b/>
          <w:bCs/>
          <w:sz w:val="24"/>
          <w:szCs w:val="24"/>
          <w:u w:val="single"/>
        </w:rPr>
      </w:pPr>
      <w:r>
        <w:rPr>
          <w:b/>
          <w:bCs/>
          <w:sz w:val="24"/>
          <w:szCs w:val="24"/>
          <w:u w:val="single"/>
        </w:rPr>
      </w:r>
    </w:p>
    <w:p>
      <w:pPr>
        <w:pStyle w:val="Normal"/>
        <w:widowControl/>
        <w:jc w:val="both"/>
        <w:rPr>
          <w:sz w:val="24"/>
          <w:szCs w:val="24"/>
        </w:rPr>
      </w:pPr>
      <w:r>
        <w:rPr>
          <w:sz w:val="24"/>
          <w:szCs w:val="24"/>
        </w:rPr>
        <w:tab/>
        <w:t xml:space="preserve">FERC's Order No. 888 "open access" transmission requirement applies only to wholesale transactions between utilities and to "unbundled" retail transmission.  The Discussion Draft would clarify FERC's authority to issue rules requiring open access transmission service, including both wholesale transactions and unbundled retailed transmission.  It needs to address two other critically important issues.  It should require equal transmission access for all users and separation of business functions.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  Equal Transmission Access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 xml:space="preserve">While Order No. 888 has made great strides in providing nondiscriminatory open access, the exceptions virtually swallow the rule.  The vast majority of the nation's transmission capacity that is used for bundled retail service is not available, on a fully comparable basis, to other users of the system.  Utilities should be required to take transmission for all aspects of their service (that is, both bundled and unbundled retail transmission)  under a  non-discriminatory open access tariff.  </w:t>
      </w:r>
    </w:p>
    <w:p>
      <w:pPr>
        <w:pStyle w:val="Normal"/>
        <w:widowControl/>
        <w:jc w:val="both"/>
        <w:rPr>
          <w:sz w:val="24"/>
          <w:szCs w:val="24"/>
        </w:rPr>
      </w:pPr>
      <w:r>
        <w:rPr>
          <w:sz w:val="24"/>
          <w:szCs w:val="24"/>
        </w:rPr>
      </w:r>
    </w:p>
    <w:p>
      <w:pPr>
        <w:pStyle w:val="Normal"/>
        <w:widowControl/>
        <w:jc w:val="both"/>
        <w:rPr/>
      </w:pPr>
      <w:r>
        <w:rPr>
          <w:sz w:val="24"/>
          <w:szCs w:val="24"/>
        </w:rPr>
        <w:tab/>
        <w:t xml:space="preserve">FERC's transmission jurisdiction should be clarified so as to include all transmission (not just wholesale and unbundled retail).  FERC should be directed to require all utilities to put </w:t>
      </w:r>
      <w:r>
        <w:rPr>
          <w:sz w:val="24"/>
          <w:szCs w:val="24"/>
          <w:u w:val="single"/>
        </w:rPr>
        <w:t>all</w:t>
      </w:r>
      <w:r>
        <w:rPr>
          <w:sz w:val="24"/>
          <w:szCs w:val="24"/>
        </w:rPr>
        <w:t xml:space="preserve"> uses of the transmission system under the same open acess tariff and subject to the Order No. 888 and 889 requirements.  All scheduling and curtailment would thus be done on a non-discriminatory, transparent, open access basis.  These requirements should apply to all transmission owners, including power marketing administrations, municipals, and cooperatives.  </w:t>
      </w:r>
    </w:p>
    <w:p>
      <w:pPr>
        <w:pStyle w:val="Normal"/>
        <w:widowControl/>
        <w:jc w:val="both"/>
        <w:rPr>
          <w:sz w:val="24"/>
          <w:szCs w:val="24"/>
        </w:rPr>
      </w:pPr>
      <w:r>
        <w:rPr>
          <w:sz w:val="24"/>
          <w:szCs w:val="24"/>
        </w:rPr>
      </w:r>
    </w:p>
    <w:p>
      <w:pPr>
        <w:pStyle w:val="Normal"/>
        <w:widowControl/>
        <w:jc w:val="both"/>
        <w:rPr/>
      </w:pPr>
      <w:r>
        <w:rPr>
          <w:sz w:val="24"/>
          <w:szCs w:val="24"/>
        </w:rPr>
        <w:tab/>
        <w:t xml:space="preserve">This clarification would also moot the recent </w:t>
      </w:r>
      <w:r>
        <w:rPr>
          <w:sz w:val="24"/>
          <w:szCs w:val="24"/>
          <w:u w:val="single"/>
        </w:rPr>
        <w:t>Northern States Power</w:t>
      </w:r>
      <w:r>
        <w:rPr>
          <w:sz w:val="24"/>
          <w:szCs w:val="24"/>
        </w:rPr>
        <w:t xml:space="preserve"> court case wherein the 8th Circuit Court of Appeals determined that FERC lacked jurisdiction over transmission involving native load transactions and thus could not impose reliability requirements on such transactions.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(b)  Separation of Functions</w:t>
      </w:r>
    </w:p>
    <w:p>
      <w:pPr>
        <w:pStyle w:val="Normal"/>
        <w:widowControl/>
        <w:jc w:val="both"/>
        <w:rPr>
          <w:sz w:val="24"/>
          <w:szCs w:val="24"/>
        </w:rPr>
      </w:pPr>
      <w:r>
        <w:rPr>
          <w:sz w:val="24"/>
          <w:szCs w:val="24"/>
        </w:rPr>
        <w:t xml:space="preserve"> </w:t>
      </w:r>
    </w:p>
    <w:p>
      <w:pPr>
        <w:pStyle w:val="Normal"/>
        <w:widowControl/>
        <w:jc w:val="both"/>
        <w:rPr>
          <w:sz w:val="24"/>
          <w:szCs w:val="24"/>
        </w:rPr>
      </w:pPr>
      <w:r>
        <w:rPr>
          <w:sz w:val="24"/>
          <w:szCs w:val="24"/>
        </w:rPr>
        <w:tab/>
        <w:t>In addition, in order to eliminate discrimination and enhance competition in both wholesale and retail markets, the legislation should direct FERC to issue a final rule within 180 days to require all utilities to separate their various business functions.  At a minimum, a utility would be required to separate its transmission and sales functions.  Just as FERC required natural gas pipelines to separate their transmission and sales functions under Order No. 636, an integrated utility would be required to separate its transmission, sales, and other functions.</w:t>
      </w:r>
    </w:p>
    <w:p>
      <w:pPr>
        <w:pStyle w:val="Normal"/>
        <w:widowControl/>
        <w:jc w:val="both"/>
        <w:rPr>
          <w:sz w:val="24"/>
          <w:szCs w:val="24"/>
        </w:rPr>
      </w:pPr>
      <w:r>
        <w:rPr>
          <w:sz w:val="24"/>
          <w:szCs w:val="24"/>
        </w:rPr>
        <w:t xml:space="preserve">  </w:t>
      </w:r>
    </w:p>
    <w:p>
      <w:pPr>
        <w:pStyle w:val="Normal"/>
        <w:widowControl/>
        <w:jc w:val="both"/>
        <w:rPr>
          <w:sz w:val="24"/>
          <w:szCs w:val="24"/>
        </w:rPr>
      </w:pPr>
      <w:r>
        <w:rPr>
          <w:sz w:val="24"/>
          <w:szCs w:val="24"/>
        </w:rPr>
        <w:tab/>
        <w:t>(c)  Regional Transmission Organizations (RTOs)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If  all transmitting utilities are required to take service for their own use under an Order No. 888-type tariff and to comply with the Order No. 889 OASIS requirements for all transmission uses FERC need not be given authority to require utilities to join an RTO.</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While Enron supports the establishment of RTOs, it does so in order to eliminate the preferences utilities have over uses of their own transmission to favor their own generation and to discourage others from competing for their native load customers.  Making all uses of the transmission system subject to open access and OASIS requirements would eliminate any incentives transmission owners have under existing law to use their transmission to favor their own generation or to benefit their own native load customers.</w:t>
      </w:r>
    </w:p>
    <w:p>
      <w:pPr>
        <w:pStyle w:val="Normal"/>
        <w:widowControl/>
        <w:jc w:val="both"/>
        <w:rPr>
          <w:sz w:val="24"/>
          <w:szCs w:val="24"/>
        </w:rPr>
      </w:pPr>
      <w:r>
        <w:rPr>
          <w:sz w:val="24"/>
          <w:szCs w:val="24"/>
        </w:rPr>
      </w:r>
    </w:p>
    <w:p>
      <w:pPr>
        <w:pStyle w:val="Normal"/>
        <w:widowControl/>
        <w:jc w:val="both"/>
        <w:rPr>
          <w:b/>
          <w:bCs/>
          <w:sz w:val="24"/>
          <w:szCs w:val="24"/>
          <w:u w:val="single"/>
        </w:rPr>
      </w:pPr>
      <w:r>
        <w:rPr>
          <w:b/>
          <w:bCs/>
          <w:sz w:val="24"/>
          <w:szCs w:val="24"/>
          <w:u w:val="single"/>
        </w:rPr>
        <w:t>2.  Consumer Disclosure</w:t>
      </w:r>
    </w:p>
    <w:p>
      <w:pPr>
        <w:pStyle w:val="Normal"/>
        <w:widowControl/>
        <w:jc w:val="both"/>
        <w:rPr>
          <w:b/>
          <w:bCs/>
          <w:sz w:val="24"/>
          <w:szCs w:val="24"/>
          <w:u w:val="single"/>
        </w:rPr>
      </w:pPr>
      <w:r>
        <w:rPr>
          <w:b/>
          <w:bCs/>
          <w:sz w:val="24"/>
          <w:szCs w:val="24"/>
          <w:u w:val="single"/>
        </w:rPr>
      </w:r>
    </w:p>
    <w:p>
      <w:pPr>
        <w:pStyle w:val="Normal"/>
        <w:widowControl/>
        <w:jc w:val="both"/>
        <w:rPr>
          <w:sz w:val="24"/>
          <w:szCs w:val="24"/>
        </w:rPr>
      </w:pPr>
      <w:r>
        <w:rPr>
          <w:sz w:val="24"/>
          <w:szCs w:val="24"/>
        </w:rPr>
        <w:tab/>
        <w:t xml:space="preserve">Section 301 establishes a well intentioned but impractical approach to consumer disclosure for generation sources for sales of both retail and wholesale power.  In today's trading markets, which involve multiple wheeling and trading transactions, involving numerous entities, it is either impossible, or extremely expensive, to obtain and provide the type of information required by Section 301.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The goal of the provision, to inform consumers as to the type of generation sources that are available and to encourage consumers to select more environmentally desirable generation, can be much more efficiently accomplished through a "certificate" approach.  The approach, which is being tested in California, offers the opportunity for generators to obtain certificates for various types of generation, and to send appropriate price signals to consumers by permitting trading of the certificates without the need to attempt to trade trace the actual flow of electrons from the generator to the load.  This approach accomplishes the consumer disclosure goal while not interfering with the wholesale power market or trading in that market.</w:t>
      </w:r>
    </w:p>
    <w:p>
      <w:pPr>
        <w:pStyle w:val="Normal"/>
        <w:widowControl/>
        <w:jc w:val="both"/>
        <w:rPr>
          <w:sz w:val="24"/>
          <w:szCs w:val="24"/>
        </w:rPr>
      </w:pPr>
      <w:r>
        <w:rPr>
          <w:sz w:val="24"/>
          <w:szCs w:val="24"/>
        </w:rPr>
      </w:r>
    </w:p>
    <w:p>
      <w:pPr>
        <w:pStyle w:val="Normal"/>
        <w:widowControl/>
        <w:jc w:val="both"/>
        <w:rPr/>
      </w:pPr>
      <w:r>
        <w:rPr>
          <w:sz w:val="24"/>
          <w:szCs w:val="24"/>
        </w:rPr>
        <w:tab/>
        <w:t>In addition, the bill requires the FTC to impose specific requirements regarding pricing information.  Enron regularly sells electricity on an "all in" price (</w:t>
      </w:r>
      <w:r>
        <w:rPr>
          <w:sz w:val="24"/>
          <w:szCs w:val="24"/>
          <w:u w:val="single"/>
        </w:rPr>
        <w:t>e.g.</w:t>
      </w:r>
      <w:r>
        <w:rPr>
          <w:sz w:val="24"/>
          <w:szCs w:val="24"/>
        </w:rPr>
        <w:t>, $1 million/year to provide all the energy needs of an industrial facility) and a requirement to provide the data specified (particularly for other charges associated with such service) is both burdensome and irrelevant in such circumstances.  The FTC should be directed to develop a price disclosure regime, without the specific data requirements contained in the draft.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 xml:space="preserve">The bill (Sec. 301(e)) would allow individual states to impose additional consumer disclosure requirements.  This would be duplicative, extremely expensive, and impede development of a more competitive marketplace because of multiple, conflicting data requirements.  The Department of Energy's experience (for example, appliance efficiency standards) and the Department of Agriculture's experience (for example, Nutrition Facts labels)  with inconsistent state requirements for various consumer products has taught us that in these types of cases national standards are both easier for manufacturers (in this case, marketers) to live with, and provide adequate consumer information. </w:t>
      </w:r>
    </w:p>
    <w:p>
      <w:pPr>
        <w:pStyle w:val="Normal"/>
        <w:widowControl/>
        <w:jc w:val="both"/>
        <w:rPr>
          <w:sz w:val="24"/>
          <w:szCs w:val="24"/>
        </w:rPr>
      </w:pPr>
      <w:r>
        <w:rPr>
          <w:sz w:val="24"/>
          <w:szCs w:val="24"/>
        </w:rPr>
      </w:r>
    </w:p>
    <w:p>
      <w:pPr>
        <w:pStyle w:val="Normal"/>
        <w:widowControl/>
        <w:jc w:val="both"/>
        <w:rPr>
          <w:sz w:val="24"/>
          <w:szCs w:val="24"/>
        </w:rPr>
      </w:pPr>
      <w:r>
        <w:rPr>
          <w:b/>
          <w:bCs/>
          <w:sz w:val="24"/>
          <w:szCs w:val="24"/>
          <w:u w:val="single"/>
        </w:rPr>
        <w:t>3.  Reciprocity</w:t>
      </w:r>
    </w:p>
    <w:p>
      <w:pPr>
        <w:pStyle w:val="Normal"/>
        <w:widowControl/>
        <w:jc w:val="both"/>
        <w:rPr>
          <w:sz w:val="24"/>
          <w:szCs w:val="24"/>
        </w:rPr>
      </w:pPr>
      <w:r>
        <w:rPr>
          <w:sz w:val="24"/>
          <w:szCs w:val="24"/>
        </w:rPr>
      </w:r>
    </w:p>
    <w:p>
      <w:pPr>
        <w:pStyle w:val="Normal"/>
        <w:widowControl/>
        <w:jc w:val="both"/>
        <w:rPr/>
      </w:pPr>
      <w:r>
        <w:rPr>
          <w:sz w:val="24"/>
          <w:szCs w:val="24"/>
          <w:u w:val="single"/>
        </w:rPr>
        <w:tab/>
      </w:r>
      <w:r>
        <w:rPr>
          <w:sz w:val="24"/>
          <w:szCs w:val="24"/>
        </w:rPr>
        <w:t xml:space="preserve">Enron does not support including a retail reciprocity provision.  It has the potential to encourage states to limit out of state competitors, which is contrary to the goal of establishing a more competitive electricity market.  Some of the most aggressive marketers are subsidiaries of utilities that operate in so-called "closed" states.  However, these marketers are principally wholesale marketers so a retail reciprocity provision does not provide a proper incentive to "open up" retail markets. </w:t>
      </w:r>
    </w:p>
    <w:p>
      <w:pPr>
        <w:pStyle w:val="Normal"/>
        <w:widowControl/>
        <w:jc w:val="both"/>
        <w:rPr>
          <w:sz w:val="24"/>
          <w:szCs w:val="24"/>
        </w:rPr>
      </w:pPr>
      <w:r>
        <w:rPr>
          <w:sz w:val="24"/>
          <w:szCs w:val="24"/>
        </w:rPr>
      </w:r>
    </w:p>
    <w:p>
      <w:pPr>
        <w:pStyle w:val="Normal"/>
        <w:widowControl/>
        <w:jc w:val="both"/>
        <w:rPr>
          <w:sz w:val="24"/>
          <w:szCs w:val="24"/>
          <w:u w:val="single"/>
        </w:rPr>
      </w:pPr>
      <w:r>
        <w:rPr>
          <w:b/>
          <w:bCs/>
          <w:sz w:val="24"/>
          <w:szCs w:val="24"/>
          <w:u w:val="single"/>
        </w:rPr>
        <w:t>4.  PUHCA Repeal</w:t>
      </w:r>
    </w:p>
    <w:p>
      <w:pPr>
        <w:pStyle w:val="Normal"/>
        <w:widowControl/>
        <w:jc w:val="both"/>
        <w:rPr>
          <w:sz w:val="24"/>
          <w:szCs w:val="24"/>
          <w:u w:val="single"/>
        </w:rPr>
      </w:pPr>
      <w:r>
        <w:rPr>
          <w:sz w:val="24"/>
          <w:szCs w:val="24"/>
          <w:u w:val="single"/>
        </w:rPr>
      </w:r>
    </w:p>
    <w:p>
      <w:pPr>
        <w:pStyle w:val="Normal"/>
        <w:widowControl/>
        <w:jc w:val="both"/>
        <w:rPr>
          <w:sz w:val="24"/>
          <w:szCs w:val="24"/>
        </w:rPr>
      </w:pPr>
      <w:r>
        <w:rPr>
          <w:sz w:val="24"/>
          <w:szCs w:val="24"/>
        </w:rPr>
        <w:tab/>
        <w:t xml:space="preserve">Enron supports PUHCA repeal.  However, the proposal in Section 511 would increase the regulation to which "exempt" holding companies, such as Enron, are subjected while virtually eliminating the pervasive regulation to which "registered" holding companies are subjected.  This anomaly should be corrected.  </w:t>
      </w:r>
    </w:p>
    <w:p>
      <w:pPr>
        <w:pStyle w:val="Normal"/>
        <w:widowControl/>
        <w:jc w:val="both"/>
        <w:rPr>
          <w:sz w:val="24"/>
          <w:szCs w:val="24"/>
        </w:rPr>
      </w:pPr>
      <w:r>
        <w:rPr>
          <w:sz w:val="24"/>
          <w:szCs w:val="24"/>
        </w:rPr>
      </w:r>
    </w:p>
    <w:p>
      <w:pPr>
        <w:pStyle w:val="Normal"/>
        <w:widowControl/>
        <w:jc w:val="both"/>
        <w:rPr>
          <w:sz w:val="24"/>
          <w:szCs w:val="24"/>
        </w:rPr>
      </w:pPr>
      <w:r>
        <w:rPr>
          <w:b/>
          <w:bCs/>
          <w:sz w:val="24"/>
          <w:szCs w:val="24"/>
          <w:u w:val="single"/>
        </w:rPr>
        <w:t>5.  Consumer Privacy and Metering</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Enron supports Section 302, which requires the FTC to adopt rules relating to preserving the privacy of consumer information.  As explained in detail in the attachment, Enron also urges the inclusion of provisions guaranteeing consumers the right to install metering facilities, or to select a competitive supplier to install metering, so that  consumers have the ability directly to determine the appropriate treatment of data concerning their own load.</w:t>
      </w:r>
    </w:p>
    <w:p>
      <w:pPr>
        <w:pStyle w:val="Normal"/>
        <w:widowControl/>
        <w:jc w:val="both"/>
        <w:rPr>
          <w:sz w:val="24"/>
          <w:szCs w:val="24"/>
        </w:rPr>
      </w:pPr>
      <w:r>
        <w:rPr>
          <w:sz w:val="24"/>
          <w:szCs w:val="24"/>
        </w:rPr>
      </w:r>
    </w:p>
    <w:p>
      <w:pPr>
        <w:pStyle w:val="Normal"/>
        <w:widowControl/>
        <w:jc w:val="both"/>
        <w:rPr>
          <w:b/>
          <w:bCs/>
          <w:sz w:val="24"/>
          <w:szCs w:val="24"/>
        </w:rPr>
      </w:pPr>
      <w:r>
        <w:rPr>
          <w:b/>
          <w:bCs/>
          <w:sz w:val="24"/>
          <w:szCs w:val="24"/>
          <w:u w:val="single"/>
        </w:rPr>
        <w:t>6.  Expansion of and Eminent Domain for Transmission Facilities</w:t>
      </w:r>
    </w:p>
    <w:p>
      <w:pPr>
        <w:pStyle w:val="Normal"/>
        <w:widowControl/>
        <w:jc w:val="both"/>
        <w:rPr>
          <w:b/>
          <w:bCs/>
          <w:sz w:val="24"/>
          <w:szCs w:val="24"/>
        </w:rPr>
      </w:pPr>
      <w:r>
        <w:rPr>
          <w:b/>
          <w:bCs/>
          <w:sz w:val="24"/>
          <w:szCs w:val="24"/>
        </w:rPr>
      </w:r>
    </w:p>
    <w:p>
      <w:pPr>
        <w:pStyle w:val="Normal"/>
        <w:widowControl/>
        <w:jc w:val="both"/>
        <w:rPr>
          <w:sz w:val="24"/>
          <w:szCs w:val="24"/>
        </w:rPr>
      </w:pPr>
      <w:r>
        <w:rPr>
          <w:sz w:val="24"/>
          <w:szCs w:val="24"/>
        </w:rPr>
        <w:tab/>
        <w:t>Enron supports giving FERC authority to certificate new interstate transmission facilities.  The authority should be modeled after FERC's authority to certificate new interstate natural gas transmission facilities under Section 7 of the Natural Gas Act.  The new authority would be a substitute for the proposed Section 105, which does not provide adequate authority to site much-needed new transmission lines.</w:t>
      </w:r>
    </w:p>
    <w:p>
      <w:pPr>
        <w:pStyle w:val="Normal"/>
        <w:widowControl/>
        <w:jc w:val="both"/>
        <w:rPr>
          <w:sz w:val="24"/>
          <w:szCs w:val="24"/>
        </w:rPr>
      </w:pPr>
      <w:r>
        <w:rPr>
          <w:sz w:val="24"/>
          <w:szCs w:val="24"/>
        </w:rPr>
      </w:r>
    </w:p>
    <w:p>
      <w:pPr>
        <w:pStyle w:val="Normal"/>
        <w:widowControl/>
        <w:jc w:val="both"/>
        <w:rPr>
          <w:b/>
          <w:bCs/>
          <w:sz w:val="24"/>
          <w:szCs w:val="24"/>
          <w:u w:val="single"/>
        </w:rPr>
      </w:pPr>
      <w:r>
        <w:rPr>
          <w:b/>
          <w:bCs/>
          <w:sz w:val="24"/>
          <w:szCs w:val="24"/>
          <w:u w:val="single"/>
        </w:rPr>
      </w:r>
    </w:p>
    <w:p>
      <w:pPr>
        <w:pStyle w:val="Normal"/>
        <w:widowControl/>
        <w:jc w:val="both"/>
        <w:rPr>
          <w:b/>
          <w:bCs/>
          <w:sz w:val="24"/>
          <w:szCs w:val="24"/>
          <w:u w:val="single"/>
        </w:rPr>
      </w:pPr>
      <w:r>
        <w:rPr>
          <w:b/>
          <w:bCs/>
          <w:sz w:val="24"/>
          <w:szCs w:val="24"/>
          <w:u w:val="single"/>
        </w:rPr>
      </w:r>
    </w:p>
    <w:p>
      <w:pPr>
        <w:pStyle w:val="Normal"/>
        <w:widowControl/>
        <w:jc w:val="both"/>
        <w:rPr>
          <w:b/>
          <w:bCs/>
          <w:sz w:val="24"/>
          <w:szCs w:val="24"/>
          <w:u w:val="single"/>
        </w:rPr>
      </w:pPr>
      <w:r>
        <w:rPr>
          <w:b/>
          <w:bCs/>
          <w:sz w:val="24"/>
          <w:szCs w:val="24"/>
          <w:u w:val="single"/>
        </w:rPr>
        <w:t>7.  Bonneville, TVA, and Other PMA's</w:t>
      </w:r>
    </w:p>
    <w:p>
      <w:pPr>
        <w:pStyle w:val="Normal"/>
        <w:widowControl/>
        <w:jc w:val="both"/>
        <w:rPr>
          <w:b/>
          <w:bCs/>
          <w:sz w:val="24"/>
          <w:szCs w:val="24"/>
          <w:u w:val="single"/>
        </w:rPr>
      </w:pPr>
      <w:r>
        <w:rPr>
          <w:b/>
          <w:bCs/>
          <w:sz w:val="24"/>
          <w:szCs w:val="24"/>
          <w:u w:val="single"/>
        </w:rPr>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both"/>
        <w:rPr>
          <w:b/>
          <w:bCs/>
          <w:sz w:val="24"/>
          <w:szCs w:val="24"/>
        </w:rPr>
      </w:pPr>
      <w:r>
        <w:rPr>
          <w:b/>
          <w:bCs/>
          <w:sz w:val="24"/>
          <w:szCs w:val="24"/>
        </w:rPr>
        <w:tab/>
      </w:r>
      <w:r>
        <w:rPr>
          <w:sz w:val="24"/>
          <w:szCs w:val="24"/>
        </w:rPr>
        <w:t xml:space="preserve">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administrations (PMA's).  The Discussion Draft does not address the TVA issues, so Enron is reserving comment as to specifics of TVA restructuring  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 (PMA’s).  The Discussion Draft does not address the TVA issues, so Enron is reserving comment as to the specifics of TVA restructuring.  </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szCs w:val="24"/>
        </w:rPr>
      </w:pPr>
      <w:r>
        <w:rPr>
          <w:b/>
          <w:bCs/>
          <w:sz w:val="24"/>
          <w:szCs w:val="24"/>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Title VI, Subtitle B, proposes to place BPA’s transmission function under the Federal Power Act subject to FERC's authority.  We support this effort but disagree with the many proposed exemptions to this jurisdiction.  These exemptions should be deleted because they are aimed at placating certain regional interests and thereby undermine the benefits of full FPA regulation for the majority of BPA transmission customers.  These exemptions are conspicuously absent from the draft Tennessee Valley Authority subtitle being circulated by Cong. Ed Bryant and Subtitle C, which addresses the other power marketing administrations. </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Enron opposes a surcharge on BPA’s transmission service to recover shortfalls in BPA’s power business line’s costs for two reasons.  First, the surcharge would force competitors of BPA’s power business to subsidize BPA’s power business line’s sales.  Second, the Bryant draft TVA subtitle includes no similar provision. Rather, the subtitle would have the FERC promulgate regulations to provide for stranded cost recovery  (as determined by the FERC) from any departing customer that caused the stranded costs to be incurred.  This is consistent with Order No. 888's requirements; the same principle should apply to BPA as well.  It would force BPA to submit any subsidies of its power business to public scrutiny before FERC under the same standards the FERC has imposed on investor-owned utilities.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u w:val="single"/>
        </w:rPr>
        <w:t>8.  Incentive Rates for Transmission Facilities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The Discussion Draft proposes to direct FERC to establish incentive rates for the removal of significant transmission constraints by RTOs.  This is not the only area where incentive rates may be appropriate.  A properly designed incentive rate structure should provide appropriate price signals for the removal of significant transmission constraints, construction of additional facilities to serve new load, and more efficient use of existing facilities.  In lieu of the proposed Section 106, Enron supports removing any ambiguity about FERC's authority to allow incentive rates under the just and reasonable standard of the Federal Power Act.</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single"/>
        </w:rPr>
      </w:pPr>
      <w:r>
        <w:rPr>
          <w:b/>
          <w:bCs/>
          <w:u w:val="single"/>
        </w:rPr>
        <w:t>9.  Divestiture of Generating Assets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single"/>
        </w:rPr>
      </w:pPr>
      <w:r>
        <w:rPr>
          <w:u w:val="single"/>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  The Barton Bill does not contain a "divestiture" provision, which the Administration Bill and several other electricity restructuring bills contained, which would give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 where market power cannot effectively be eliminated through less intrusive measures, such as denial of the authority to sell power at market based rates.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u w:val="single"/>
        </w:rPr>
      </w:pPr>
      <w:r>
        <w:rPr>
          <w:b/>
          <w:bCs/>
          <w:u w:val="single"/>
        </w:rPr>
        <w:t>10.  Interconnection Procedures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Section 542 provides useful new interconnection authority.  As explained in the attachment, it should be expanded to allow any "person" (as defined in the FPA) to apply for interconnection authority.  It should also allow FERC to order interconnection at the distribution level  for all types of facilities, not just "certain facilities" enumerated in the current draft. </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 * *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tab/>
        <w:t>These, and other, issues are discussed in greater detail in the Attachment.</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t>Attachment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1999-09-13T14:33:00Z</dcterms:created>
  <dc:creator>Vinson &amp; Elkins L.L.P.</dc:creator>
  <dc:description/>
  <dc:language>en-CA</dc:language>
  <cp:lastModifiedBy>anavin</cp:lastModifiedBy>
  <dcterms:modified xsi:type="dcterms:W3CDTF">1999-09-13T14:33:00Z</dcterms:modified>
  <cp:revision>1</cp:revision>
  <dc:subject/>
  <dc:title>ENRON COMMENTS ON CHAIRMAN BARTON'S</dc:title>
</cp:coreProperties>
</file>