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ind w:hanging="0" w:end="0"/>
        <w:jc w:val="center"/>
        <w:rPr>
          <w:b/>
          <w:u w:val="single"/>
        </w:rPr>
      </w:pPr>
      <w:r>
        <w:rPr>
          <w:b/>
          <w:u w:val="single"/>
        </w:rPr>
        <w:t>SDG&amp;E Advice Letter Summary</w:t>
      </w:r>
    </w:p>
    <w:p>
      <w:pPr>
        <w:pStyle w:val="Body"/>
        <w:widowControl/>
        <w:spacing w:before="0" w:after="0"/>
        <w:ind w:hanging="0" w:end="0"/>
        <w:jc w:val="center"/>
        <w:rPr>
          <w:b/>
          <w:u w:val="single"/>
        </w:rPr>
      </w:pPr>
      <w:r>
        <w:rPr>
          <w:b/>
          <w:u w:val="single"/>
        </w:rPr>
        <w:t>August 17, 2001</w:t>
      </w:r>
      <w:bookmarkStart w:id="0" w:name="zEndAddressee"/>
      <w:bookmarkEnd w:id="0"/>
    </w:p>
    <w:p>
      <w:pPr>
        <w:pStyle w:val="Body"/>
        <w:widowControl/>
        <w:spacing w:before="0" w:after="0"/>
        <w:ind w:hanging="0" w:end="0"/>
        <w:jc w:val="center"/>
        <w:rPr>
          <w:b/>
          <w:u w:val="single"/>
        </w:rPr>
      </w:pPr>
      <w:r>
        <w:rPr>
          <w:b/>
          <w:u w:val="single"/>
        </w:rPr>
      </w:r>
    </w:p>
    <w:p>
      <w:pPr>
        <w:pStyle w:val="Body"/>
        <w:widowControl/>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165"/>
        <w:gridCol w:w="298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Date Filed</w:t>
            </w:r>
          </w:p>
        </w:tc>
        <w:tc>
          <w:tcPr>
            <w:tcW w:w="21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Comments Due</w:t>
            </w:r>
          </w:p>
        </w:tc>
        <w:tc>
          <w:tcPr>
            <w:tcW w:w="298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1267-G</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7/31/01</w:t>
            </w:r>
          </w:p>
        </w:tc>
        <w:tc>
          <w:tcPr>
            <w:tcW w:w="21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8/20/01</w:t>
            </w:r>
          </w:p>
          <w:p>
            <w:pPr>
              <w:pStyle w:val="Body"/>
              <w:widowControl/>
              <w:spacing w:before="0" w:after="0"/>
              <w:ind w:hanging="0" w:end="0"/>
              <w:jc w:val="center"/>
              <w:rPr/>
            </w:pPr>
            <w:r>
              <w:rPr/>
            </w:r>
          </w:p>
        </w:tc>
        <w:tc>
          <w:tcPr>
            <w:tcW w:w="298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rPr>
            </w:pPr>
            <w:r>
              <w:rPr>
                <w:b/>
              </w:rPr>
              <w:t xml:space="preserve">Analysis:  </w:t>
            </w:r>
          </w:p>
          <w:p>
            <w:pPr>
              <w:pStyle w:val="Normal"/>
              <w:widowControl/>
              <w:tabs>
                <w:tab w:val="clear" w:pos="720"/>
                <w:tab w:val="left" w:pos="9180" w:leader="none"/>
              </w:tabs>
              <w:jc w:val="both"/>
              <w:rPr>
                <w:b/>
              </w:rPr>
            </w:pPr>
            <w:r>
              <w:rPr>
                <w:b/>
              </w:rPr>
            </w:r>
          </w:p>
          <w:p>
            <w:pPr>
              <w:pStyle w:val="Normal"/>
              <w:jc w:val="both"/>
              <w:rPr/>
            </w:pPr>
            <w:r>
              <w:rPr/>
              <w:t>The purpose of this filing is to request permission to deactivate SDG&amp;E’s Core Interstate Transition Cost Surcharge balancing account until such time as it is needed and to transfer any remaining balance to the Purchased Gas Account.  The CITCS records the difference between actual brokered capacity costs and the above market costs of SDG&amp;E’s firm capacity reservations on El Paso on a monthly basis.  However, it’s not currently needed because the reservation costs are no longer above market.  Therefore, the account can be deactivated until such time as the firm reservation costs become above market again.</w:t>
            </w:r>
          </w:p>
          <w:p>
            <w:pPr>
              <w:pStyle w:val="Normal"/>
              <w:widowControl/>
              <w:tabs>
                <w:tab w:val="clear" w:pos="720"/>
                <w:tab w:val="left" w:pos="9180" w:leader="none"/>
              </w:tabs>
              <w:jc w:val="both"/>
              <w:rPr/>
            </w:pPr>
            <w:r>
              <w:rPr/>
            </w:r>
          </w:p>
        </w:tc>
      </w:tr>
    </w:tbl>
    <w:p>
      <w:pPr>
        <w:pStyle w:val="Body"/>
        <w:widowControl/>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1308-E-A / 1242-G-A</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7/31/01</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8/20/01</w:t>
            </w:r>
          </w:p>
          <w:p>
            <w:pPr>
              <w:pStyle w:val="Body"/>
              <w:widowControl/>
              <w:spacing w:before="0" w:after="0"/>
              <w:ind w:hanging="0" w:end="0"/>
              <w:jc w:val="center"/>
              <w:rPr/>
            </w:pPr>
            <w:r>
              <w:rPr/>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rPr>
            </w:pPr>
            <w:r>
              <w:rPr>
                <w:b/>
              </w:rPr>
              <w:t xml:space="preserve">Analysis:  </w:t>
            </w:r>
          </w:p>
          <w:p>
            <w:pPr>
              <w:pStyle w:val="Normal"/>
              <w:widowControl/>
              <w:tabs>
                <w:tab w:val="clear" w:pos="720"/>
                <w:tab w:val="left" w:pos="9180" w:leader="none"/>
              </w:tabs>
              <w:jc w:val="both"/>
              <w:rPr>
                <w:b/>
              </w:rPr>
            </w:pPr>
            <w:r>
              <w:rPr>
                <w:b/>
              </w:rPr>
            </w:r>
          </w:p>
          <w:p>
            <w:pPr>
              <w:pStyle w:val="BodyText21"/>
              <w:widowControl/>
              <w:tabs>
                <w:tab w:val="clear" w:pos="720"/>
                <w:tab w:val="left" w:pos="9180" w:leader="none"/>
              </w:tabs>
              <w:rPr>
                <w:rFonts w:ascii="Times New Roman" w:hAnsi="Times New Roman" w:cs="Times New Roman"/>
                <w:u w:val="single"/>
              </w:rPr>
            </w:pPr>
            <w:r>
              <w:rPr>
                <w:rFonts w:cs="Times New Roman" w:ascii="Times New Roman" w:hAnsi="Times New Roman"/>
              </w:rPr>
              <w:t>The purpose of this supplemental filing is to revise the utility’s PBR Performance Report filed earlier to make a slight revision to the earnings sharing calculation.  SDG&amp;E’s actual ROR on rate base changes from 8.70% to 8.74%.</w:t>
            </w:r>
          </w:p>
          <w:p>
            <w:pPr>
              <w:pStyle w:val="Normal"/>
              <w:widowControl/>
              <w:tabs>
                <w:tab w:val="clear" w:pos="720"/>
                <w:tab w:val="left" w:pos="9180" w:leader="none"/>
              </w:tabs>
              <w:jc w:val="both"/>
              <w:rPr>
                <w:rFonts w:ascii="Times New Roman" w:hAnsi="Times New Roman" w:cs="Times New Roman"/>
                <w:u w:val="single"/>
              </w:rPr>
            </w:pPr>
            <w:r>
              <w:rPr>
                <w:rFonts w:cs="Times New Roman"/>
                <w:u w:val="single"/>
              </w:rPr>
            </w:r>
          </w:p>
        </w:tc>
      </w:tr>
    </w:tbl>
    <w:p>
      <w:pPr>
        <w:pStyle w:val="Body"/>
        <w:widowControl/>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1354-E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8/1/01</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8/21/01</w:t>
            </w:r>
          </w:p>
          <w:p>
            <w:pPr>
              <w:pStyle w:val="Body"/>
              <w:widowControl/>
              <w:spacing w:before="0" w:after="0"/>
              <w:ind w:hanging="0" w:end="0"/>
              <w:jc w:val="center"/>
              <w:rPr/>
            </w:pPr>
            <w:r>
              <w:rPr/>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rPr>
            </w:pPr>
            <w:r>
              <w:rPr>
                <w:b/>
              </w:rPr>
              <w:t xml:space="preserve">Analysis:  </w:t>
            </w:r>
          </w:p>
          <w:p>
            <w:pPr>
              <w:pStyle w:val="Normal"/>
              <w:widowControl/>
              <w:tabs>
                <w:tab w:val="clear" w:pos="720"/>
                <w:tab w:val="left" w:pos="9180" w:leader="none"/>
              </w:tabs>
              <w:jc w:val="both"/>
              <w:rPr>
                <w:b/>
              </w:rPr>
            </w:pPr>
            <w:r>
              <w:rPr>
                <w:b/>
              </w:rPr>
            </w:r>
          </w:p>
          <w:p>
            <w:pPr>
              <w:pStyle w:val="BodyText21"/>
              <w:widowControl/>
              <w:tabs>
                <w:tab w:val="clear" w:pos="720"/>
                <w:tab w:val="left" w:pos="9180" w:leader="none"/>
              </w:tabs>
              <w:rPr>
                <w:rFonts w:ascii="Times New Roman" w:hAnsi="Times New Roman" w:cs="Times New Roman"/>
              </w:rPr>
            </w:pPr>
            <w:r>
              <w:rPr>
                <w:rFonts w:cs="Times New Roman" w:ascii="Times New Roman" w:hAnsi="Times New Roman"/>
              </w:rPr>
              <w:t>The purpose of this filing is to add clarifying language to Electric Rule 20 explaining that the conversion of overhead to underground facilities requires the applicant for this service to pay the cost for the removal of facilities and poles.</w:t>
            </w:r>
          </w:p>
          <w:p>
            <w:pPr>
              <w:pStyle w:val="Normal"/>
              <w:widowControl/>
              <w:tabs>
                <w:tab w:val="clear" w:pos="720"/>
                <w:tab w:val="left" w:pos="9180" w:leader="none"/>
              </w:tabs>
              <w:jc w:val="both"/>
              <w:rPr>
                <w:rFonts w:ascii="Times New Roman" w:hAnsi="Times New Roman" w:cs="Times New Roman"/>
              </w:rPr>
            </w:pPr>
            <w:r>
              <w:rPr>
                <w:rFonts w:cs="Times New Roman"/>
              </w:rPr>
            </w:r>
          </w:p>
        </w:tc>
      </w:tr>
    </w:tbl>
    <w:p>
      <w:pPr>
        <w:pStyle w:val="Body"/>
        <w:widowControl/>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1355-E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8/2/01</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8/22/01</w:t>
            </w:r>
          </w:p>
          <w:p>
            <w:pPr>
              <w:pStyle w:val="Body"/>
              <w:widowControl/>
              <w:spacing w:before="0" w:after="0"/>
              <w:ind w:hanging="0" w:end="0"/>
              <w:jc w:val="center"/>
              <w:rPr/>
            </w:pPr>
            <w:r>
              <w:rPr/>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Should Be of Interest</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rPr>
            </w:pPr>
            <w:r>
              <w:rPr>
                <w:b/>
              </w:rPr>
              <w:t xml:space="preserve">Analysis:  </w:t>
            </w:r>
          </w:p>
          <w:p>
            <w:pPr>
              <w:pStyle w:val="Normal"/>
              <w:widowControl/>
              <w:tabs>
                <w:tab w:val="clear" w:pos="720"/>
                <w:tab w:val="left" w:pos="9180" w:leader="none"/>
              </w:tabs>
              <w:jc w:val="both"/>
              <w:rPr>
                <w:b/>
              </w:rPr>
            </w:pPr>
            <w:r>
              <w:rPr>
                <w:b/>
              </w:rPr>
            </w:r>
          </w:p>
          <w:p>
            <w:pPr>
              <w:pStyle w:val="BodyText21"/>
              <w:widowControl/>
              <w:tabs>
                <w:tab w:val="clear" w:pos="720"/>
                <w:tab w:val="left" w:pos="9180" w:leader="none"/>
              </w:tabs>
              <w:rPr>
                <w:rFonts w:ascii="Times New Roman" w:hAnsi="Times New Roman" w:cs="Times New Roman"/>
              </w:rPr>
            </w:pPr>
            <w:r>
              <w:rPr>
                <w:rFonts w:cs="Times New Roman" w:ascii="Times New Roman" w:hAnsi="Times New Roman"/>
              </w:rPr>
              <w:t>The purpose of this supplemental filing is to comply with Resolution E-3726, which approved earlier SDG&amp;E advice letters 1254-E and 1260-E-A.  Those advice letters were filed pursuant to AB 265, which capped eligible customer rates at 6.5 cents/kWh.  The Resolution approved those Als, with certain modifications:</w:t>
            </w:r>
          </w:p>
          <w:p>
            <w:pPr>
              <w:pStyle w:val="BodyText21"/>
              <w:widowControl/>
              <w:numPr>
                <w:ilvl w:val="0"/>
                <w:numId w:val="2"/>
              </w:numPr>
              <w:tabs>
                <w:tab w:val="clear" w:pos="720"/>
                <w:tab w:val="left" w:pos="9180" w:leader="none"/>
              </w:tabs>
              <w:rPr>
                <w:rFonts w:ascii="Times New Roman" w:hAnsi="Times New Roman" w:cs="Times New Roman"/>
              </w:rPr>
            </w:pPr>
            <w:r>
              <w:rPr>
                <w:rFonts w:cs="Times New Roman" w:ascii="Times New Roman" w:hAnsi="Times New Roman"/>
              </w:rPr>
              <w:t>AB 265 rate ceiling benefits will be extended on a month-by-month basis to commercial customers that do not meet the 9 out of 12 month AB 265 eligibility criteria, but which have had monthly demand below 100 kW since June 2000.</w:t>
            </w:r>
          </w:p>
          <w:p>
            <w:pPr>
              <w:pStyle w:val="BodyText21"/>
              <w:widowControl/>
              <w:numPr>
                <w:ilvl w:val="0"/>
                <w:numId w:val="2"/>
              </w:numPr>
              <w:tabs>
                <w:tab w:val="clear" w:pos="720"/>
                <w:tab w:val="left" w:pos="9180" w:leader="none"/>
              </w:tabs>
              <w:rPr>
                <w:rFonts w:ascii="Times New Roman" w:hAnsi="Times New Roman" w:cs="Times New Roman"/>
              </w:rPr>
            </w:pPr>
            <w:r>
              <w:rPr>
                <w:rFonts w:cs="Times New Roman" w:ascii="Times New Roman" w:hAnsi="Times New Roman"/>
              </w:rPr>
              <w:t>Customers that are not classified as AB 265 customers currently receive the same rate cap adopted by ABX1 43.  These customers are to be given 45 days to request inclusion under this expanded eligibility provision described in the prior bullet.</w:t>
            </w:r>
          </w:p>
          <w:p>
            <w:pPr>
              <w:pStyle w:val="BodyText21"/>
              <w:widowControl/>
              <w:numPr>
                <w:ilvl w:val="0"/>
                <w:numId w:val="2"/>
              </w:numPr>
              <w:tabs>
                <w:tab w:val="clear" w:pos="720"/>
                <w:tab w:val="left" w:pos="9180" w:leader="none"/>
              </w:tabs>
              <w:rPr>
                <w:rFonts w:ascii="Times New Roman" w:hAnsi="Times New Roman" w:cs="Times New Roman"/>
              </w:rPr>
            </w:pPr>
            <w:r>
              <w:rPr>
                <w:rFonts w:cs="Times New Roman" w:ascii="Times New Roman" w:hAnsi="Times New Roman"/>
              </w:rPr>
              <w:t>The inclusion will be retroactive to June 2000.</w:t>
            </w:r>
          </w:p>
          <w:p>
            <w:pPr>
              <w:pStyle w:val="BodyText21"/>
              <w:widowControl/>
              <w:numPr>
                <w:ilvl w:val="0"/>
                <w:numId w:val="2"/>
              </w:numPr>
              <w:tabs>
                <w:tab w:val="clear" w:pos="720"/>
                <w:tab w:val="left" w:pos="9180" w:leader="none"/>
              </w:tabs>
              <w:rPr>
                <w:rFonts w:ascii="Times New Roman" w:hAnsi="Times New Roman" w:cs="Times New Roman"/>
              </w:rPr>
            </w:pPr>
            <w:r>
              <w:rPr>
                <w:rFonts w:cs="Times New Roman" w:ascii="Times New Roman" w:hAnsi="Times New Roman"/>
              </w:rPr>
              <w:t>The credits will be equal to the difference between the actual energy rates paid by the customer in the given month and the applicable AB 265 rate, including any differences in CTC rates paid.</w:t>
            </w:r>
          </w:p>
          <w:p>
            <w:pPr>
              <w:pStyle w:val="BodyText21"/>
              <w:widowControl/>
              <w:numPr>
                <w:ilvl w:val="0"/>
                <w:numId w:val="2"/>
              </w:numPr>
              <w:tabs>
                <w:tab w:val="clear" w:pos="720"/>
                <w:tab w:val="left" w:pos="9180" w:leader="none"/>
              </w:tabs>
              <w:rPr>
                <w:rFonts w:ascii="Times New Roman" w:hAnsi="Times New Roman" w:cs="Times New Roman"/>
                <w:u w:val="single"/>
              </w:rPr>
            </w:pPr>
            <w:r>
              <w:rPr>
                <w:rFonts w:cs="Times New Roman" w:ascii="Times New Roman" w:hAnsi="Times New Roman"/>
              </w:rPr>
              <w:t xml:space="preserve">Customers not requesting inclusion will continue to receive only ABX1 43 frozen rates, and will not receive either prospective or retroactive credits for months when their consumption falls below 100 kW.  </w:t>
            </w:r>
            <w:r>
              <w:rPr>
                <w:rFonts w:cs="Times New Roman" w:ascii="Times New Roman" w:hAnsi="Times New Roman"/>
                <w:u w:val="single"/>
              </w:rPr>
              <w:t>They are also not liable for possible repayment of the AB 265 revenue shortfall.</w:t>
            </w:r>
          </w:p>
          <w:p>
            <w:pPr>
              <w:pStyle w:val="BodyText21"/>
              <w:widowControl/>
              <w:numPr>
                <w:ilvl w:val="0"/>
                <w:numId w:val="2"/>
              </w:numPr>
              <w:tabs>
                <w:tab w:val="clear" w:pos="720"/>
                <w:tab w:val="left" w:pos="9180" w:leader="none"/>
              </w:tabs>
              <w:rPr>
                <w:rFonts w:ascii="Times New Roman" w:hAnsi="Times New Roman" w:cs="Times New Roman"/>
              </w:rPr>
            </w:pPr>
            <w:r>
              <w:rPr>
                <w:rFonts w:cs="Times New Roman" w:ascii="Times New Roman" w:hAnsi="Times New Roman"/>
              </w:rPr>
              <w:t>A draft informational letter for customers is attached to the advice letter.</w:t>
            </w:r>
          </w:p>
          <w:p>
            <w:pPr>
              <w:pStyle w:val="BodyText21"/>
              <w:widowControl/>
              <w:numPr>
                <w:ilvl w:val="0"/>
                <w:numId w:val="2"/>
              </w:numPr>
              <w:tabs>
                <w:tab w:val="clear" w:pos="720"/>
                <w:tab w:val="left" w:pos="9180" w:leader="none"/>
              </w:tabs>
              <w:rPr>
                <w:rFonts w:ascii="Times New Roman" w:hAnsi="Times New Roman" w:cs="Times New Roman"/>
              </w:rPr>
            </w:pPr>
            <w:r>
              <w:rPr>
                <w:rFonts w:cs="Times New Roman" w:ascii="Times New Roman" w:hAnsi="Times New Roman"/>
              </w:rPr>
              <w:t xml:space="preserve">The definition of the term Energy Rate Ceiling is to be modified to state clearly that the </w:t>
            </w:r>
            <w:r>
              <w:rPr>
                <w:rFonts w:cs="Times New Roman" w:ascii="Times New Roman" w:hAnsi="Times New Roman"/>
                <w:u w:val="single"/>
              </w:rPr>
              <w:t>ERC does not apply to Direct Access customers</w:t>
            </w:r>
            <w:r>
              <w:rPr>
                <w:rFonts w:cs="Times New Roman" w:ascii="Times New Roman" w:hAnsi="Times New Roman"/>
              </w:rPr>
              <w:t>.</w:t>
            </w:r>
          </w:p>
          <w:p>
            <w:pPr>
              <w:pStyle w:val="BodyText21"/>
              <w:widowControl/>
              <w:numPr>
                <w:ilvl w:val="0"/>
                <w:numId w:val="2"/>
              </w:numPr>
              <w:tabs>
                <w:tab w:val="clear" w:pos="720"/>
                <w:tab w:val="left" w:pos="9180" w:leader="none"/>
              </w:tabs>
              <w:rPr>
                <w:rFonts w:ascii="Times New Roman" w:hAnsi="Times New Roman" w:cs="Times New Roman"/>
              </w:rPr>
            </w:pPr>
            <w:r>
              <w:rPr>
                <w:rFonts w:cs="Times New Roman" w:ascii="Times New Roman" w:hAnsi="Times New Roman"/>
              </w:rPr>
              <w:t>The advice letter gives a brief description of how SDG&amp;E proposes to implement the expanded eligibility provision in two phases.</w:t>
            </w:r>
          </w:p>
          <w:p>
            <w:pPr>
              <w:pStyle w:val="BodyText21"/>
              <w:widowControl/>
              <w:tabs>
                <w:tab w:val="clear" w:pos="720"/>
                <w:tab w:val="left" w:pos="9180" w:leader="none"/>
              </w:tabs>
              <w:rPr>
                <w:rFonts w:ascii="Times New Roman" w:hAnsi="Times New Roman" w:cs="Times New Roman"/>
                <w:b/>
                <w:bCs/>
              </w:rPr>
            </w:pPr>
            <w:r>
              <w:rPr>
                <w:rFonts w:cs="Times New Roman" w:ascii="Times New Roman" w:hAnsi="Times New Roman"/>
                <w:b/>
                <w:bCs/>
              </w:rPr>
              <w:t>We may want to send this to other AReM members for their information.</w:t>
            </w:r>
          </w:p>
          <w:p>
            <w:pPr>
              <w:pStyle w:val="BodyText21"/>
              <w:widowControl/>
              <w:tabs>
                <w:tab w:val="clear" w:pos="720"/>
                <w:tab w:val="left" w:pos="9180" w:leader="none"/>
              </w:tabs>
              <w:rPr>
                <w:rFonts w:ascii="Times New Roman" w:hAnsi="Times New Roman" w:cs="Times New Roman"/>
                <w:b/>
                <w:bCs/>
              </w:rPr>
            </w:pPr>
            <w:r>
              <w:rPr>
                <w:rFonts w:cs="Times New Roman" w:ascii="Times New Roman" w:hAnsi="Times New Roman"/>
                <w:b/>
                <w:bCs/>
              </w:rPr>
            </w:r>
          </w:p>
        </w:tc>
      </w:tr>
    </w:tbl>
    <w:p>
      <w:pPr>
        <w:pStyle w:val="Body"/>
        <w:widowControl/>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1327-E-A</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8/9/01</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8/29/01</w:t>
            </w:r>
          </w:p>
          <w:p>
            <w:pPr>
              <w:pStyle w:val="Body"/>
              <w:widowControl/>
              <w:spacing w:before="0" w:after="0"/>
              <w:ind w:hanging="0" w:end="0"/>
              <w:jc w:val="center"/>
              <w:rPr/>
            </w:pPr>
            <w:r>
              <w:rPr/>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May Be of Interest</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rPr>
            </w:pPr>
            <w:r>
              <w:rPr>
                <w:b/>
              </w:rPr>
              <w:t xml:space="preserve">Analysis:  </w:t>
            </w:r>
          </w:p>
          <w:p>
            <w:pPr>
              <w:pStyle w:val="Normal"/>
              <w:widowControl/>
              <w:tabs>
                <w:tab w:val="clear" w:pos="720"/>
                <w:tab w:val="left" w:pos="9180" w:leader="none"/>
              </w:tabs>
              <w:jc w:val="both"/>
              <w:rPr>
                <w:b/>
              </w:rPr>
            </w:pPr>
            <w:r>
              <w:rPr>
                <w:b/>
              </w:rPr>
            </w:r>
          </w:p>
          <w:p>
            <w:pPr>
              <w:pStyle w:val="BodyText21"/>
              <w:widowControl/>
              <w:tabs>
                <w:tab w:val="clear" w:pos="720"/>
                <w:tab w:val="left" w:pos="9180" w:leader="none"/>
              </w:tabs>
              <w:rPr>
                <w:rFonts w:ascii="Times New Roman" w:hAnsi="Times New Roman" w:cs="Times New Roman"/>
              </w:rPr>
            </w:pPr>
            <w:r>
              <w:rPr>
                <w:rFonts w:cs="Times New Roman" w:ascii="Times New Roman" w:hAnsi="Times New Roman"/>
              </w:rPr>
              <w:t>The purpose of this supplemental filing is to submit final tariffs to implement the net metering provisions adopted by ABX1 29.  This bill revised the definition of ESP to also include any other entity that provides electrical service.  It also revises the definition of an eligible customer-generator to also include certain commercial, industrial and agricultural customers of an ESP.  It also eliminated certain ESP reporting requirements relating tototal rated generating capacity used by eligible generators.</w:t>
            </w:r>
          </w:p>
          <w:p>
            <w:pPr>
              <w:pStyle w:val="Normal"/>
              <w:widowControl/>
              <w:tabs>
                <w:tab w:val="clear" w:pos="720"/>
                <w:tab w:val="left" w:pos="9180" w:leader="none"/>
              </w:tabs>
              <w:jc w:val="both"/>
              <w:rPr>
                <w:rFonts w:ascii="Times New Roman" w:hAnsi="Times New Roman" w:cs="Times New Roman"/>
              </w:rPr>
            </w:pPr>
            <w:r>
              <w:rPr>
                <w:rFonts w:cs="Times New Roman"/>
              </w:rPr>
            </w:r>
          </w:p>
        </w:tc>
      </w:tr>
    </w:tbl>
    <w:p>
      <w:pPr>
        <w:pStyle w:val="Body"/>
        <w:widowControl/>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805"/>
        <w:gridCol w:w="334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Date Filed</w:t>
            </w:r>
          </w:p>
        </w:tc>
        <w:tc>
          <w:tcPr>
            <w:tcW w:w="180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Comments Due</w:t>
            </w:r>
          </w:p>
        </w:tc>
        <w:tc>
          <w:tcPr>
            <w:tcW w:w="334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1357-E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8/15/01</w:t>
            </w:r>
          </w:p>
        </w:tc>
        <w:tc>
          <w:tcPr>
            <w:tcW w:w="180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[none specified]</w:t>
            </w:r>
          </w:p>
          <w:p>
            <w:pPr>
              <w:pStyle w:val="Body"/>
              <w:widowControl/>
              <w:spacing w:before="0" w:after="0"/>
              <w:ind w:hanging="0" w:end="0"/>
              <w:jc w:val="center"/>
              <w:rPr/>
            </w:pPr>
            <w:r>
              <w:rPr/>
            </w:r>
          </w:p>
        </w:tc>
        <w:tc>
          <w:tcPr>
            <w:tcW w:w="334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rPr>
            </w:pPr>
            <w:r>
              <w:rPr>
                <w:b/>
              </w:rPr>
              <w:t xml:space="preserve">Analysis:  </w:t>
            </w:r>
          </w:p>
          <w:p>
            <w:pPr>
              <w:pStyle w:val="Normal"/>
              <w:widowControl/>
              <w:tabs>
                <w:tab w:val="clear" w:pos="720"/>
                <w:tab w:val="left" w:pos="9180" w:leader="none"/>
              </w:tabs>
              <w:jc w:val="both"/>
              <w:rPr>
                <w:b/>
              </w:rPr>
            </w:pPr>
            <w:r>
              <w:rPr>
                <w:b/>
              </w:rPr>
            </w:r>
          </w:p>
          <w:p>
            <w:pPr>
              <w:pStyle w:val="BodyText21"/>
              <w:widowControl/>
              <w:tabs>
                <w:tab w:val="clear" w:pos="720"/>
                <w:tab w:val="left" w:pos="9180" w:leader="none"/>
              </w:tabs>
              <w:rPr>
                <w:rFonts w:ascii="Times New Roman" w:hAnsi="Times New Roman" w:cs="Times New Roman"/>
              </w:rPr>
            </w:pPr>
            <w:r>
              <w:rPr>
                <w:rFonts w:cs="Times New Roman" w:ascii="Times New Roman" w:hAnsi="Times New Roman"/>
              </w:rPr>
              <w:t>The purpose of this filing is to inform the Commission of the revised Fixed Transition Amount charges to service the Rate Reduction Bonds.  SDG&amp;E is required to file a True-Up Mechanism Advice Letter each year at least 15 days before the anniversary of the issuance of the Financing Order, which was issued on September 3, 1997.  The letter advises that no event of default has occurred and that no adjustments to the FTA mechanism are required at this time.</w:t>
            </w:r>
          </w:p>
          <w:p>
            <w:pPr>
              <w:pStyle w:val="Normal"/>
              <w:widowControl/>
              <w:tabs>
                <w:tab w:val="clear" w:pos="720"/>
                <w:tab w:val="left" w:pos="9180" w:leader="none"/>
              </w:tabs>
              <w:jc w:val="both"/>
              <w:rPr>
                <w:rFonts w:ascii="Times New Roman" w:hAnsi="Times New Roman" w:cs="Times New Roman"/>
              </w:rPr>
            </w:pPr>
            <w:r>
              <w:rPr>
                <w:rFonts w:cs="Times New Roman"/>
              </w:rPr>
            </w:r>
          </w:p>
        </w:tc>
      </w:tr>
    </w:tbl>
    <w:p>
      <w:pPr>
        <w:pStyle w:val="Body"/>
        <w:widowControl/>
        <w:spacing w:before="0" w:after="0"/>
        <w:ind w:hanging="0" w:end="0"/>
        <w:jc w:val="center"/>
        <w:rPr>
          <w:b/>
          <w:u w:val="single"/>
        </w:rPr>
      </w:pPr>
      <w:r>
        <w:rPr>
          <w:b/>
          <w:u w:val="single"/>
        </w:rPr>
      </w:r>
    </w:p>
    <w:sectPr>
      <w:headerReference w:type="default" r:id="rId2"/>
      <w:headerReference w:type="first" r:id="rId3"/>
      <w:footerReference w:type="default" r:id="rId4"/>
      <w:footerReference w:type="first" r:id="rId5"/>
      <w:type w:val="nextPage"/>
      <w:pgSz w:w="12240" w:h="15840"/>
      <w:pgMar w:left="1440" w:right="1440" w:gutter="0" w:header="576" w:top="1152" w:footer="288"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widowControl/>
            <w:snapToGrid w:val="false"/>
            <w:rPr/>
          </w:pPr>
          <w:r>
            <w:rPr/>
          </w:r>
        </w:p>
        <w:p>
          <w:pPr>
            <w:pStyle w:val="FooterTxt"/>
            <w:widowControl/>
            <w:rPr/>
          </w:pPr>
          <w:r>
            <w:rPr/>
          </w:r>
        </w:p>
      </w:tc>
      <w:tc>
        <w:tcPr>
          <w:tcW w:w="1987" w:type="dxa"/>
          <w:tcBorders/>
        </w:tcPr>
        <w:p>
          <w:pPr>
            <w:pStyle w:val="Normal"/>
            <w:widowControl/>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r>
            <w:rPr>
              <w:rStyle w:val="PageNumber"/>
              <w:sz w:val="24"/>
            </w:rPr>
            <w:t>.</w:t>
          </w:r>
        </w:p>
      </w:tc>
      <w:tc>
        <w:tcPr>
          <w:tcW w:w="3690" w:type="dxa"/>
          <w:tcBorders/>
        </w:tcPr>
        <w:p>
          <w:pPr>
            <w:pStyle w:val="Normal"/>
            <w:widowControl/>
            <w:snapToGrid w:val="false"/>
            <w:jc w:val="end"/>
            <w:rPr/>
          </w:pPr>
          <w:r>
            <w:rPr/>
          </w:r>
        </w:p>
      </w:tc>
    </w:tr>
  </w:tbl>
  <w:p>
    <w:pPr>
      <w:pStyle w:val="Footer"/>
      <w:widowContro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SDG&amp;E Advice Letter Summary</w:t>
    </w:r>
  </w:p>
  <w:p>
    <w:pPr>
      <w:pStyle w:val="Header"/>
      <w:widowControl/>
      <w:rPr/>
    </w:pPr>
    <w:r>
      <w:rPr/>
      <w:fldChar w:fldCharType="begin"/>
    </w:r>
    <w:r>
      <w:rPr/>
      <w:instrText xml:space="preserve"> DATE \@"MMMM\ d', 'yyyy" </w:instrText>
    </w:r>
    <w:r>
      <w:rPr/>
      <w:fldChar w:fldCharType="separate"/>
    </w:r>
    <w:r>
      <w:rPr/>
      <w:t>September 28, 2025</w:t>
    </w:r>
    <w:r>
      <w:rPr/>
      <w:fldChar w:fldCharType="end"/>
    </w:r>
  </w:p>
  <w:p>
    <w:pPr>
      <w:pStyle w:val="Header"/>
      <w:widowControl/>
      <w:rPr>
        <w:rStyle w:val="PageNumber"/>
        <w:sz w:val="24"/>
      </w:rPr>
    </w:pPr>
    <w:r>
      <w:rPr/>
    </w:r>
  </w:p>
  <w:p>
    <w:pPr>
      <w:pStyle w:val="Header"/>
      <w:widowControl/>
      <w:rPr>
        <w:rStyle w:val="PageNumber"/>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keepLines/>
      <w:numPr>
        <w:ilvl w:val="0"/>
        <w:numId w:val="1"/>
      </w:numPr>
      <w:jc w:val="center"/>
      <w:outlineLvl w:val="0"/>
    </w:pPr>
    <w:rPr>
      <w:b/>
    </w:rPr>
  </w:style>
  <w:style w:type="paragraph" w:styleId="Heading2">
    <w:name w:val="heading 2"/>
    <w:basedOn w:val="Normal"/>
    <w:next w:val="Normal"/>
    <w:qFormat/>
    <w:pPr>
      <w:numPr>
        <w:ilvl w:val="1"/>
        <w:numId w:val="1"/>
      </w:numPr>
      <w:ind w:hanging="720" w:start="1440" w:end="0"/>
      <w:outlineLvl w:val="1"/>
    </w:pPr>
    <w:rPr>
      <w:b/>
    </w:rPr>
  </w:style>
  <w:style w:type="paragraph" w:styleId="Heading3">
    <w:name w:val="heading 3"/>
    <w:basedOn w:val="Normal"/>
    <w:next w:val="Normal"/>
    <w:qFormat/>
    <w:pPr>
      <w:numPr>
        <w:ilvl w:val="2"/>
        <w:numId w:val="1"/>
      </w:numPr>
      <w:ind w:hanging="720" w:start="2160" w:end="0"/>
      <w:outlineLvl w:val="2"/>
    </w:pPr>
    <w:rPr>
      <w:b/>
    </w:rPr>
  </w:style>
  <w:style w:type="paragraph" w:styleId="Heading4">
    <w:name w:val="heading 4"/>
    <w:basedOn w:val="Normal"/>
    <w:next w:val="Normal"/>
    <w:qFormat/>
    <w:pPr>
      <w:numPr>
        <w:ilvl w:val="3"/>
        <w:numId w:val="1"/>
      </w:numPr>
      <w:ind w:hanging="720" w:start="2880" w:end="0"/>
      <w:outlineLvl w:val="3"/>
    </w:pPr>
    <w:rPr>
      <w:b/>
    </w:rPr>
  </w:style>
  <w:style w:type="paragraph" w:styleId="Heading5">
    <w:name w:val="heading 5"/>
    <w:basedOn w:val="Normal"/>
    <w:next w:val="Normal"/>
    <w:qFormat/>
    <w:pPr>
      <w:numPr>
        <w:ilvl w:val="4"/>
        <w:numId w:val="1"/>
      </w:numPr>
      <w:ind w:hanging="720" w:start="3600" w:end="0"/>
      <w:outlineLvl w:val="4"/>
    </w:pPr>
    <w:rPr>
      <w:b/>
    </w:rPr>
  </w:style>
  <w:style w:type="paragraph" w:styleId="Heading6">
    <w:name w:val="heading 6"/>
    <w:basedOn w:val="Normal"/>
    <w:next w:val="Normal"/>
    <w:qFormat/>
    <w:pPr>
      <w:numPr>
        <w:ilvl w:val="5"/>
        <w:numId w:val="1"/>
      </w:numPr>
      <w:ind w:hanging="720" w:start="4320" w:end="0"/>
      <w:outlineLvl w:val="5"/>
    </w:pPr>
    <w:rPr>
      <w:b/>
    </w:rPr>
  </w:style>
  <w:style w:type="paragraph" w:styleId="Heading7">
    <w:name w:val="heading 7"/>
    <w:basedOn w:val="Normal"/>
    <w:next w:val="Normal"/>
    <w:qFormat/>
    <w:pPr>
      <w:numPr>
        <w:ilvl w:val="6"/>
        <w:numId w:val="1"/>
      </w:numPr>
      <w:ind w:hanging="720" w:start="5040" w:end="0"/>
      <w:outlineLvl w:val="6"/>
    </w:pPr>
    <w:rPr>
      <w:b/>
    </w:rPr>
  </w:style>
  <w:style w:type="paragraph" w:styleId="Heading8">
    <w:name w:val="heading 8"/>
    <w:basedOn w:val="Normal"/>
    <w:next w:val="Normal"/>
    <w:qFormat/>
    <w:pPr>
      <w:numPr>
        <w:ilvl w:val="7"/>
        <w:numId w:val="1"/>
      </w:numPr>
      <w:ind w:hanging="720" w:start="5760" w:end="0"/>
      <w:outlineLvl w:val="7"/>
    </w:pPr>
    <w:rPr>
      <w:b/>
    </w:rPr>
  </w:style>
  <w:style w:type="paragraph" w:styleId="Heading9">
    <w:name w:val="heading 9"/>
    <w:basedOn w:val="Normal"/>
    <w:next w:val="Normal"/>
    <w:qFormat/>
    <w:pPr>
      <w:numPr>
        <w:ilvl w:val="8"/>
        <w:numId w:val="1"/>
      </w:numPr>
      <w:ind w:hanging="720" w:start="6480" w:end="0"/>
      <w:outlineLvl w:val="8"/>
    </w:pPr>
    <w:rPr>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z w:val="20"/>
    </w:rPr>
  </w:style>
  <w:style w:type="character" w:styleId="Bold">
    <w:name w:val="Bold"/>
    <w:basedOn w:val="DefaultParagraphFont"/>
    <w:qFormat/>
    <w:rPr>
      <w:b/>
      <w:sz w:val="20"/>
    </w:rPr>
  </w:style>
  <w:style w:type="character" w:styleId="BoldUnd">
    <w:name w:val="BoldUnd"/>
    <w:basedOn w:val="DefaultParagraphFont"/>
    <w:qFormat/>
    <w:rPr>
      <w:b/>
      <w:sz w:val="20"/>
      <w:u w:val="single"/>
    </w:rPr>
  </w:style>
  <w:style w:type="character" w:styleId="Underline">
    <w:name w:val="Underline"/>
    <w:basedOn w:val="DefaultParagraphFont"/>
    <w:qFormat/>
    <w:rPr>
      <w:sz w:val="20"/>
      <w:u w:val="single"/>
    </w:rPr>
  </w:style>
  <w:style w:type="character" w:styleId="FieldMark">
    <w:name w:val="FieldMark"/>
    <w:basedOn w:val="DefaultParagraphFont"/>
    <w:qFormat/>
    <w:rPr>
      <w:b/>
      <w:color w:val="0000FF"/>
      <w:sz w:val="20"/>
    </w:rPr>
  </w:style>
  <w:style w:type="character" w:styleId="OptionalParas">
    <w:name w:val="OptionalParas"/>
    <w:basedOn w:val="DefaultParagraphFont"/>
    <w:qFormat/>
    <w:rPr>
      <w:color w:val="0000FF"/>
      <w:sz w:val="20"/>
    </w:rPr>
  </w:style>
  <w:style w:type="character" w:styleId="Strong">
    <w:name w:val="Strong"/>
    <w:qFormat/>
    <w:rPr>
      <w:b/>
      <w:sz w:val="20"/>
    </w:rPr>
  </w:style>
  <w:style w:type="character" w:styleId="DocTitle">
    <w:name w:val="DocTitle"/>
    <w:basedOn w:val="DefaultParagraphFont"/>
    <w:qFormat/>
    <w:rPr>
      <w:b/>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2">
    <w:name w:val="Body Text 2"/>
    <w:basedOn w:val="Normal"/>
    <w:qFormat/>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pPr>
    <w:rPr/>
  </w:style>
  <w:style w:type="paragraph" w:styleId="IndentOneInch">
    <w:name w:val="IndentOneInch"/>
    <w:basedOn w:val="Body"/>
    <w:qFormat/>
    <w:pPr>
      <w:ind w:firstLine="720" w:start="1440" w:end="0"/>
    </w:pPr>
    <w:rPr/>
  </w:style>
  <w:style w:type="paragraph" w:styleId="IndentTwoInches">
    <w:name w:val="IndentTwoInches"/>
    <w:basedOn w:val="Body"/>
    <w:qFormat/>
    <w:pPr>
      <w:ind w:firstLine="720" w:start="2880" w:end="0"/>
    </w:pPr>
    <w:rPr/>
  </w:style>
  <w:style w:type="paragraph" w:styleId="TOC1">
    <w:name w:val="toc 1"/>
    <w:basedOn w:val="Normal"/>
    <w:next w:val="Normal"/>
    <w:pPr>
      <w:tabs>
        <w:tab w:val="left" w:pos="720" w:leader="none"/>
        <w:tab w:val="right" w:pos="9360" w:leader="dot"/>
      </w:tabs>
      <w:spacing w:before="240" w:after="0"/>
      <w:ind w:hanging="720" w:start="720" w:end="1440"/>
    </w:pPr>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Body1">
    <w:name w:val="Body1"/>
    <w:basedOn w:val="Normal"/>
    <w:qFormat/>
    <w:pPr>
      <w:spacing w:before="0" w:after="240"/>
      <w:ind w:firstLine="1440" w:start="0" w:end="0"/>
    </w:pPr>
    <w:rPr/>
  </w:style>
  <w:style w:type="paragraph" w:styleId="BodyText21">
    <w:name w:val="Body Text 21"/>
    <w:basedOn w:val="Normal"/>
    <w:qFormat/>
    <w:pPr>
      <w:jc w:val="both"/>
    </w:pPr>
    <w:rPr>
      <w:rFonts w:ascii="Arial" w:hAnsi="Arial" w:cs="Arial"/>
    </w:rPr>
  </w:style>
  <w:style w:type="paragraph" w:styleId="NormalWeb">
    <w:name w:val="Normal (Web)"/>
    <w:basedOn w:val="Normal"/>
    <w:qFormat/>
    <w:pPr>
      <w:widowControl/>
      <w:spacing w:before="100" w:after="100"/>
    </w:pPr>
    <w:rPr>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2001-08-17T17:17:00Z</dcterms:created>
  <dc:creator>Arter &amp; Hadden</dc:creator>
  <dc:description/>
  <dc:language>en-CA</dc:language>
  <cp:lastModifiedBy>Daniel W. Douglass</cp:lastModifiedBy>
  <cp:lastPrinted>2001-08-17T13:28:00Z</cp:lastPrinted>
  <dcterms:modified xsi:type="dcterms:W3CDTF">2001-08-17T17:59:00Z</dcterms:modified>
  <cp:revision>15</cp:revision>
  <dc:subject/>
  <dc:title>A</dc:title>
</cp:coreProperties>
</file>