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-215265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</w:t>
        <w:tab/>
        <w:t>Ken Lay, Rick Buy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/>
      </w:pPr>
      <w:r>
        <w:rPr>
          <w:color w:val="000000"/>
          <w:sz w:val="20"/>
          <w:szCs w:val="20"/>
        </w:rPr>
        <w:t>CC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Ken Lay, David Port, Greg Whalley,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  <w:t>Jeff Shankman, Mike McConnell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268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16,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15,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Global Markets – EOL Trading by Business Unit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$3.00 Million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$6.40 Million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autoSpaceDE w:val="false"/>
        <w:rPr/>
      </w:pPr>
      <w:r>
        <w:rPr>
          <w:b/>
          <w:bCs/>
          <w:color w:val="000000"/>
          <w:sz w:val="20"/>
          <w:szCs w:val="20"/>
        </w:rPr>
        <w:tab/>
        <w:tab/>
        <w:tab/>
      </w:r>
      <w:r>
        <w:rPr>
          <w:sz w:val="20"/>
          <w:szCs w:val="20"/>
        </w:rPr>
        <w:t>The Crude EOL VAR violation is due to the portfolio having a 6.5 million bbl short</w:t>
      </w:r>
    </w:p>
    <w:p>
      <w:pPr>
        <w:pStyle w:val="Normal"/>
        <w:autoSpaceDE w:val="false"/>
        <w:ind w:firstLine="720" w:start="1440" w:end="0"/>
        <w:rPr>
          <w:sz w:val="20"/>
          <w:szCs w:val="20"/>
        </w:rPr>
      </w:pPr>
      <w:r>
        <w:rPr>
          <w:sz w:val="20"/>
          <w:szCs w:val="20"/>
        </w:rPr>
        <w:t>position and the September Nymex contract decreased $.45/bbl.</w:t>
      </w:r>
    </w:p>
    <w:p>
      <w:pPr>
        <w:pStyle w:val="Normal"/>
        <w:autoSpaceDE w:val="false"/>
        <w:ind w:firstLine="720" w:start="1440" w:end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autoSpaceDE w:val="false"/>
        <w:ind w:firstLine="720" w:start="1440" w:end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Net Open Position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2.00 Million BBLS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  <w:t>(</w:t>
      </w:r>
      <w:r>
        <w:rPr>
          <w:color w:val="000000"/>
          <w:sz w:val="20"/>
          <w:szCs w:val="20"/>
        </w:rPr>
        <w:t>6.51) Million BBLS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BodyTextIndent"/>
        <w:rPr/>
      </w:pPr>
      <w:r>
        <w:rPr/>
        <w:t>Due to the $3 September 2001 price increase, both internal and external counter-</w:t>
      </w:r>
    </w:p>
    <w:p>
      <w:pPr>
        <w:pStyle w:val="BodyTextIndent"/>
        <w:rPr/>
      </w:pPr>
      <w:r>
        <w:rPr/>
        <w:t xml:space="preserve">parties have consistently bought from the EOL Crude portfolio, causing EOL to 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  <w:tab/>
        <w:tab/>
        <w:tab/>
        <w:t>be increasingly short.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/>
      </w:pPr>
      <w:r>
        <w:rPr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Maturity Gap Risk 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3.00 Million BBLS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  <w:t>(</w:t>
      </w:r>
      <w:r>
        <w:rPr>
          <w:color w:val="000000"/>
          <w:sz w:val="20"/>
          <w:szCs w:val="20"/>
        </w:rPr>
        <w:t>6.51) Million BBLS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BodyTextIndent"/>
        <w:rPr/>
      </w:pPr>
      <w:r>
        <w:rPr/>
        <w:t>Due to the $3 September 2001 price increase, both internal and external counter-</w:t>
      </w:r>
    </w:p>
    <w:p>
      <w:pPr>
        <w:pStyle w:val="BodyTextIndent"/>
        <w:rPr/>
      </w:pPr>
      <w:r>
        <w:rPr/>
        <w:t xml:space="preserve">parties have consistently bought from the EOL Crude portfolio, causing EOL to 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sz w:val="20"/>
        </w:rPr>
      </w:pPr>
      <w:r>
        <w:rPr>
          <w:sz w:val="20"/>
        </w:rPr>
        <w:tab/>
        <w:tab/>
        <w:tab/>
        <w:t>be increasingly short.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rFonts w:ascii="MS Sans Serif" w:hAnsi="MS Sans Serif" w:cs="MS Sans Serif"/>
          <w:sz w:val="20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0" w:start="2160" w:end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2001-08-16T20:23:00Z</dcterms:created>
  <dc:creator>kthibode</dc:creator>
  <dc:description/>
  <dc:language>en-CA</dc:language>
  <cp:lastModifiedBy>kthibode</cp:lastModifiedBy>
  <dcterms:modified xsi:type="dcterms:W3CDTF">2001-08-16T20:23:00Z</dcterms:modified>
  <cp:revision>2</cp:revision>
  <dc:subject/>
  <dc:title/>
</cp:coreProperties>
</file>