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Mike McConnell, Ted Murphy, David Port,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Cassandra Schultz, Jeff Shankman, Jeff Skilling,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>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15,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14,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Crude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VAR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$3</w:t>
      </w:r>
      <w:r>
        <w:rPr>
          <w:color w:val="000000"/>
          <w:sz w:val="20"/>
          <w:szCs w:val="20"/>
        </w:rPr>
        <w:t xml:space="preserve">.00 Million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sz w:val="20"/>
        </w:rPr>
        <w:tab/>
        <w:t>VAR</w:t>
      </w:r>
      <w:r>
        <w:rPr>
          <w:color w:val="000000"/>
          <w:sz w:val="20"/>
          <w:szCs w:val="20"/>
        </w:rPr>
        <w:t>:</w:t>
      </w:r>
      <w:r>
        <w:rPr>
          <w:sz w:val="20"/>
        </w:rPr>
        <w:tab/>
        <w:t>$7.35</w:t>
      </w:r>
      <w:r>
        <w:rPr>
          <w:color w:val="000000"/>
          <w:sz w:val="20"/>
          <w:szCs w:val="20"/>
        </w:rPr>
        <w:t xml:space="preserve">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autoSpaceDE w:val="false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cs="Arial" w:ascii="Arial" w:hAnsi="Arial"/>
          <w:b/>
          <w:bCs/>
          <w:color w:val="0000FF"/>
          <w:sz w:val="20"/>
          <w:szCs w:val="20"/>
        </w:rPr>
      </w:r>
    </w:p>
    <w:p>
      <w:pPr>
        <w:pStyle w:val="Normal"/>
        <w:autoSpaceDE w:val="false"/>
        <w:rPr/>
      </w:pPr>
      <w:r>
        <w:rPr>
          <w:sz w:val="20"/>
        </w:rPr>
        <w:tab/>
        <w:tab/>
        <w:tab/>
      </w:r>
      <w:r>
        <w:rPr>
          <w:sz w:val="20"/>
          <w:szCs w:val="20"/>
        </w:rPr>
        <w:t>The Crude EOL VAR violation is due to the portfolio having a 7.7 million bbl short</w:t>
      </w:r>
    </w:p>
    <w:p>
      <w:pPr>
        <w:pStyle w:val="Normal"/>
        <w:autoSpaceDE w:val="false"/>
        <w:ind w:firstLine="720" w:start="1440" w:end="0"/>
        <w:rPr>
          <w:sz w:val="20"/>
          <w:szCs w:val="20"/>
        </w:rPr>
      </w:pPr>
      <w:r>
        <w:rPr>
          <w:sz w:val="20"/>
          <w:szCs w:val="20"/>
        </w:rPr>
        <w:t>position and the September Nymex contract increased $.19/bbl.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BodyTextInden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ind w:start="2160" w:end="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t>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216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2001-08-15T19:56:00Z</dcterms:created>
  <dc:creator>kthibode</dc:creator>
  <dc:description/>
  <dc:language>en-CA</dc:language>
  <cp:lastModifiedBy>kthibode</cp:lastModifiedBy>
  <dcterms:modified xsi:type="dcterms:W3CDTF">2001-08-15T22:14:00Z</dcterms:modified>
  <cp:revision>3</cp:revision>
  <dc:subject/>
  <dc:title/>
</cp:coreProperties>
</file>