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FootnoteText"/>
        <w:keepLines w:val="false"/>
        <w:widowControl/>
        <w:overflowPunct w:val="true"/>
        <w:autoSpaceDE w:val="true"/>
        <w:textAlignment w:val="auto"/>
        <w:rPr>
          <w:szCs w:val="24"/>
        </w:rPr>
      </w:pPr>
      <w:r>
        <w:rPr>
          <w:szCs w:val="24"/>
        </w:rPr>
      </w:r>
    </w:p>
    <w:p>
      <w:pPr>
        <w:pStyle w:val="Normal"/>
        <w:rPr>
          <w:szCs w:val="24"/>
        </w:rPr>
      </w:pPr>
      <w:r>
        <w:rPr>
          <w:szCs w:val="24"/>
        </w:rPr>
      </w:r>
    </w:p>
    <w:p>
      <w:pPr>
        <w:pStyle w:val="Heading1"/>
        <w:ind w:hanging="0" w:start="0"/>
        <w:rPr/>
      </w:pPr>
      <w:r>
        <w:rPr/>
        <w:t xml:space="preserve">EMERGENCY MOTION OF THE ALLIANCE FOR RETAIL ENERGY MARKETS FOR PERMISSION TO FILE SUPPLEMENTAL REPLY COMMENTS CONCERNING THE IMPLEMENTATION OF AN </w:t>
      </w:r>
    </w:p>
    <w:p>
      <w:pPr>
        <w:pStyle w:val="Heading1"/>
        <w:ind w:hanging="0" w:start="0"/>
        <w:rPr/>
      </w:pPr>
      <w:r>
        <w:rPr/>
        <w:t>INTERIM DIRECT ACCESS CONTINUATION PROGRAM</w:t>
      </w:r>
    </w:p>
    <w:p>
      <w:pPr>
        <w:pStyle w:val="Normal"/>
        <w:jc w:val="center"/>
        <w:rPr>
          <w:b/>
          <w:bCs/>
        </w:rPr>
      </w:pPr>
      <w:r>
        <w:rPr>
          <w:b/>
          <w:bCs/>
        </w:rPr>
      </w:r>
    </w:p>
    <w:p>
      <w:pPr>
        <w:pStyle w:val="Normal"/>
        <w:ind w:firstLine="720" w:start="5040" w:end="0"/>
        <w:rPr>
          <w:b/>
          <w:bCs/>
        </w:rPr>
      </w:pPr>
      <w:r>
        <w:rPr>
          <w:b/>
          <w:bCs/>
        </w:rPr>
      </w:r>
    </w:p>
    <w:p>
      <w:pPr>
        <w:pStyle w:val="Normal"/>
        <w:ind w:firstLine="720" w:start="5040" w:end="0"/>
        <w:rPr/>
      </w:pPr>
      <w:r>
        <w:rPr/>
      </w:r>
    </w:p>
    <w:p>
      <w:pPr>
        <w:pStyle w:val="Normal"/>
        <w:ind w:firstLine="720" w:start="5040" w:end="0"/>
        <w:rPr/>
      </w:pPr>
      <w:r>
        <w:rPr/>
        <w:t>Daniel W. Douglass</w:t>
      </w:r>
    </w:p>
    <w:p>
      <w:pPr>
        <w:pStyle w:val="Normal"/>
        <w:ind w:firstLine="720" w:start="5040" w:end="0"/>
        <w:rPr/>
      </w:pPr>
      <w:r>
        <w:rPr/>
        <w:t>5959 Topanga Canyon Blvd.</w:t>
      </w:r>
    </w:p>
    <w:p>
      <w:pPr>
        <w:pStyle w:val="Normal"/>
        <w:ind w:firstLine="720" w:start="5040" w:end="0"/>
        <w:rPr/>
      </w:pPr>
      <w:r>
        <w:rPr/>
        <w:t>Suite 244</w:t>
      </w:r>
    </w:p>
    <w:p>
      <w:pPr>
        <w:pStyle w:val="Normal"/>
        <w:ind w:firstLine="720" w:start="5040" w:end="0"/>
        <w:rPr/>
      </w:pPr>
      <w:r>
        <w:rPr/>
        <w:t>Woodland Hills, CA 91367</w:t>
      </w:r>
    </w:p>
    <w:p>
      <w:pPr>
        <w:pStyle w:val="Normal"/>
        <w:ind w:firstLine="720" w:start="5040" w:end="0"/>
        <w:rPr/>
      </w:pPr>
      <w:r>
        <w:rPr/>
        <w:t>Telephone (818) 596-2201</w:t>
      </w:r>
    </w:p>
    <w:p>
      <w:pPr>
        <w:pStyle w:val="Normal"/>
        <w:ind w:firstLine="720" w:start="5040" w:end="0"/>
        <w:rPr/>
      </w:pPr>
      <w:r>
        <w:rPr/>
        <w:t>Facsimile (818) 346-6502</w:t>
      </w:r>
    </w:p>
    <w:p>
      <w:pPr>
        <w:pStyle w:val="Normal"/>
        <w:ind w:firstLine="720" w:start="1440" w:end="0"/>
        <w:rPr/>
      </w:pPr>
      <w:r>
        <w:rPr/>
      </w:r>
    </w:p>
    <w:p>
      <w:pPr>
        <w:pStyle w:val="Normal"/>
        <w:ind w:firstLine="720" w:start="5040" w:end="0"/>
        <w:rPr/>
      </w:pPr>
      <w:r>
        <w:rPr/>
        <w:t>Attorney for the</w:t>
      </w:r>
    </w:p>
    <w:p>
      <w:pPr>
        <w:pStyle w:val="Normal"/>
        <w:ind w:firstLine="720" w:start="5040" w:end="-180"/>
        <w:rPr/>
      </w:pPr>
      <w:r>
        <w:rPr/>
        <w:t xml:space="preserve">ALLIANCE FOR RETAIL </w:t>
      </w:r>
    </w:p>
    <w:p>
      <w:pPr>
        <w:pStyle w:val="Normal"/>
        <w:ind w:firstLine="720" w:start="5040" w:end="-180"/>
        <w:rPr/>
      </w:pPr>
      <w:r>
        <w:rPr/>
        <w:t>ENERGY MARKETS</w:t>
      </w:r>
    </w:p>
    <w:p>
      <w:pPr>
        <w:pStyle w:val="Normal"/>
        <w:ind w:hanging="5040" w:start="5040" w:end="-180"/>
        <w:rPr/>
      </w:pPr>
      <w:r>
        <w:rPr/>
      </w:r>
    </w:p>
    <w:p>
      <w:pPr>
        <w:pStyle w:val="Normal"/>
        <w:ind w:hanging="5040" w:start="5040" w:end="-180"/>
        <w:rPr/>
      </w:pPr>
      <w:r>
        <w:rPr/>
        <w:t>August 14,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3"/>
              <w:rPr/>
            </w:pPr>
            <w:r>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Heading1"/>
        <w:ind w:hanging="0" w:start="0"/>
        <w:rPr/>
      </w:pPr>
      <w:r>
        <w:rPr/>
      </w:r>
    </w:p>
    <w:p>
      <w:pPr>
        <w:pStyle w:val="Heading1"/>
        <w:ind w:hanging="0" w:start="0"/>
        <w:rPr/>
      </w:pPr>
      <w:r>
        <w:rPr/>
      </w:r>
    </w:p>
    <w:p>
      <w:pPr>
        <w:pStyle w:val="Heading1"/>
        <w:ind w:hanging="0" w:start="0"/>
        <w:rPr/>
      </w:pPr>
      <w:r>
        <w:rPr/>
        <w:t xml:space="preserve">EMERGENCY MOTION OF THE ALLIANCE FOR RETAIL ENERGY MARKETS FOR PERMISSION TO FILE SUPPLEMENTAL REPLY COMMENTS CONCERNING THE IMPLEMENTATION OF AN </w:t>
      </w:r>
    </w:p>
    <w:p>
      <w:pPr>
        <w:pStyle w:val="Heading1"/>
        <w:ind w:hanging="0" w:start="0"/>
        <w:rPr/>
      </w:pPr>
      <w:r>
        <w:rPr/>
        <w:t>INTERIM DIRECT ACCESS CONTINUATION PROGRAM</w:t>
      </w:r>
    </w:p>
    <w:p>
      <w:pPr>
        <w:pStyle w:val="Normal"/>
        <w:rPr/>
      </w:pPr>
      <w:r>
        <w:rPr/>
      </w:r>
    </w:p>
    <w:p>
      <w:pPr>
        <w:pStyle w:val="Normal"/>
        <w:jc w:val="center"/>
        <w:rPr>
          <w:b/>
          <w:bCs/>
        </w:rPr>
      </w:pPr>
      <w:r>
        <w:rPr>
          <w:b/>
          <w:bCs/>
        </w:rPr>
      </w:r>
    </w:p>
    <w:p>
      <w:pPr>
        <w:pStyle w:val="Normal"/>
        <w:spacing w:lineRule="auto" w:line="480"/>
        <w:ind w:firstLine="720" w:end="0"/>
        <w:jc w:val="both"/>
        <w:rPr/>
      </w:pPr>
      <w:r>
        <w:rPr/>
        <w:t xml:space="preserve">Pursuant to Rule 45 of the Commission’s Rules of Practice and Procedure, the Alliance for Retail Energy Markets </w:t>
      </w:r>
      <w:r>
        <w:rPr>
          <w:rStyle w:val="FootnoteCharacters"/>
          <w:rStyle w:val="FootnoteReference"/>
        </w:rPr>
        <w:footnoteReference w:id="2"/>
      </w:r>
      <w:r>
        <w:rPr/>
        <w:t xml:space="preserve"> hereby moves that the Commission authorize the filing of the attached supplemental reply comments concerning a proposal for implementation of an interim direct access continuation program.  </w:t>
      </w:r>
    </w:p>
    <w:p>
      <w:pPr>
        <w:pStyle w:val="Heading2"/>
        <w:rPr/>
      </w:pPr>
      <w:r>
        <w:rPr/>
        <w:t>A.  Request for Expedited Consideration</w:t>
      </w:r>
    </w:p>
    <w:p>
      <w:pPr>
        <w:pStyle w:val="Normal"/>
        <w:spacing w:lineRule="auto" w:line="480"/>
        <w:ind w:firstLine="720" w:end="0"/>
        <w:jc w:val="both"/>
        <w:rPr/>
      </w:pPr>
      <w:r>
        <w:rPr/>
        <w:t xml:space="preserve">Rule 81(f) permits the Commission to consider, on an emergency basis, “Requests for relief based on extraordinary conditions in which time is of the essence.”  AReM respectfully requests that this Motion be considered on such an expedited basis.  In light of the urgency indicated in the June 14, 2001, draft decision of ALJ Barnett (“Draft Decision”) and the alternate draft decision of Commissioner Bilas of the same date (“Alternate Draft Decision”), and in an effort to comply with the directives contained therein, AReM requests expedited review and approval of the direct access continuation program proposed by its supplemental comments in connection with the Commission’s consideration of the Draft Decision and the Alternate Draft Decision at its meeting scheduled for August 23, 2001.  </w:t>
      </w:r>
    </w:p>
    <w:p>
      <w:pPr>
        <w:pStyle w:val="Normal"/>
        <w:spacing w:lineRule="auto" w:line="480"/>
        <w:ind w:firstLine="720" w:end="0"/>
        <w:jc w:val="both"/>
        <w:rPr/>
      </w:pPr>
      <w:r>
        <w:rPr/>
        <w:t xml:space="preserve">AReM is electronically serving this Motion on all parties to this proceeding in an effort to expedite their awareness and consideration of this proposal.  Although Rule 45(f) provides that responses to written motions must be filed and served within 15 days of the date that a motion is served, AReM believes that any interested party could adequately respond to this proposal within one week.  AReM therefore further requests that the Commission shorten the response time to seven days, so that comments on AReM’s proposal could be filed by interested parties on August 21, 2001, prior to the Commission’s scheduled meeting two days later.  Alternatively, should the Commission wish to afford the full 15-day comment period permitted by Rule 45(f), AReM would suggest that action on the Draft Decision be deferred to the Commission’s scheduled meeting on September 6, 2001.  AReM further requests that the Commission waive the period provided for in Rule 77.7 for comments and reply comments on a draft decision in order that the decision become effective immediately. </w:t>
      </w:r>
      <w:r>
        <w:rPr>
          <w:rStyle w:val="FootnoteCharacters"/>
          <w:rStyle w:val="FootnoteReference"/>
        </w:rPr>
        <w:footnoteReference w:id="3"/>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standard"/>
        <w:spacing w:lineRule="auto" w:line="480"/>
        <w:jc w:val="both"/>
        <w:rPr>
          <w:rFonts w:ascii="Times New Roman" w:hAnsi="Times New Roman" w:cs="Times New Roman"/>
          <w:b/>
          <w:bCs/>
          <w:sz w:val="24"/>
        </w:rPr>
      </w:pPr>
      <w:r>
        <w:rPr>
          <w:rFonts w:cs="Times New Roman" w:ascii="Times New Roman" w:hAnsi="Times New Roman"/>
          <w:b/>
          <w:bCs/>
          <w:sz w:val="24"/>
        </w:rPr>
        <w:t>B.  Regulatory Background</w:t>
      </w:r>
    </w:p>
    <w:p>
      <w:pPr>
        <w:pStyle w:val="standard"/>
        <w:spacing w:lineRule="auto" w:line="480"/>
        <w:jc w:val="both"/>
        <w:rPr/>
      </w:pPr>
      <w:r>
        <w:rPr>
          <w:rFonts w:cs="Times New Roman" w:ascii="Times New Roman" w:hAnsi="Times New Roman"/>
          <w:sz w:val="24"/>
        </w:rPr>
        <w:t xml:space="preserve">Commissioner Bilas invited comments on his Alternate Draft Decision, which would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Memorandum on direct access and resolution of market dysfunction.  AReM and the Western Power Trading Forum (“WPTF”) filed joint comments on June 25, 2001, which commented that </w:t>
      </w:r>
      <w:r>
        <w:rPr>
          <w:rFonts w:cs="Times New Roman" w:ascii="Times New Roman" w:hAnsi="Times New Roman"/>
          <w:bCs/>
          <w:sz w:val="24"/>
        </w:rPr>
        <w:t xml:space="preserve">there are clearly ways to accommodate the concerns expressed in the Memorandum that fall short of the drastic step of suspending direct access completely.  AReM and WPTF then advocated that the Commission should issue a decision announcing its intention to address on an expedited basis the credit concerns affecting issuance of the DWR Power Purchase Revenue Bonds.  </w:t>
      </w:r>
    </w:p>
    <w:p>
      <w:pPr>
        <w:pStyle w:val="standard"/>
        <w:spacing w:lineRule="auto" w:line="480"/>
        <w:jc w:val="both"/>
        <w:rPr/>
      </w:pPr>
      <w:r>
        <w:rPr>
          <w:rFonts w:cs="Times New Roman" w:ascii="Times New Roman" w:hAnsi="Times New Roman"/>
          <w:bCs/>
          <w:sz w:val="24"/>
        </w:rPr>
        <w:t xml:space="preserve">Since those comments were filed on June 25 and the subsequent reply comments filed on June 27, AReM has been engaged in active discussion with various market participants to determine if there was a practical scenario for developing an interim direct access continuation program.  A fundamental prerequisite for these discussions was that any such program would need to meet the credit </w:t>
      </w:r>
      <w:r>
        <w:rPr>
          <w:rFonts w:cs="Times New Roman" w:ascii="Times New Roman" w:hAnsi="Times New Roman"/>
          <w:sz w:val="24"/>
        </w:rPr>
        <w:t xml:space="preserve">concerns of the State with regard to the pending issuance of revenue bonds to reimburse the State Treasury for funds expended by the State Department of Water Resources to purchase power.  After protracted discussions, AReM believes that such a program is possible, and has described it in detail in its supplemental comments that are filed herewith.  </w:t>
      </w:r>
    </w:p>
    <w:p>
      <w:pPr>
        <w:pStyle w:val="standard"/>
        <w:spacing w:lineRule="auto" w:line="480"/>
        <w:jc w:val="both"/>
        <w:rPr>
          <w:rFonts w:ascii="Times New Roman" w:hAnsi="Times New Roman" w:cs="Times New Roman"/>
          <w:sz w:val="24"/>
        </w:rPr>
      </w:pPr>
      <w:r>
        <w:rPr>
          <w:rFonts w:cs="Times New Roman" w:ascii="Times New Roman" w:hAnsi="Times New Roman"/>
          <w:sz w:val="24"/>
        </w:rPr>
        <w:t>The supplemental comments could not have been filed at an earlier date due to the fact that the discussions that led to the proposal described therein were only concluded in the past few days.  However, no party will be prejudiced or disadvantaged by the acceptance for filing of AReM’s supplemental comments, as an adequate period for the filing of reply comments will be provided, as noted above.  Most importantly, acceptance for filing of AReM’s supplemental comments will provide the Commission with the opportunity to review and consider a carefully crafted proposal which AReM believes meets both the needs of the State for credit certainty and the needs of California consumers to have the continued right of free choice in their selection of electricity providers.</w:t>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BodyTextIndent"/>
        <w:rPr>
          <w:b/>
        </w:rPr>
      </w:pPr>
      <w:r>
        <w:rPr>
          <w:b/>
        </w:rPr>
        <w:t>C.  Conclusion</w:t>
      </w:r>
    </w:p>
    <w:p>
      <w:pPr>
        <w:pStyle w:val="BodyTextIndent"/>
        <w:rPr>
          <w:bCs/>
        </w:rPr>
      </w:pPr>
      <w:r>
        <w:rPr>
          <w:bCs/>
        </w:rPr>
        <w:t>For the foregoing reasons, AReM respectfully requests that the Commission:</w:t>
      </w:r>
    </w:p>
    <w:p>
      <w:pPr>
        <w:pStyle w:val="Heading1"/>
        <w:numPr>
          <w:ilvl w:val="0"/>
          <w:numId w:val="2"/>
        </w:numPr>
        <w:tabs>
          <w:tab w:val="clear" w:pos="720"/>
        </w:tabs>
        <w:spacing w:lineRule="auto" w:line="480"/>
        <w:ind w:hanging="360" w:start="1080" w:end="0"/>
        <w:jc w:val="both"/>
        <w:rPr>
          <w:b w:val="false"/>
        </w:rPr>
      </w:pPr>
      <w:r>
        <w:rPr>
          <w:b w:val="false"/>
        </w:rPr>
        <w:t>Accept for filing the Supplemental Comments of the Alliance for Retail Energy Markets Concerning the Implementation of an Interim Direct Access Continuation Program;</w:t>
      </w:r>
    </w:p>
    <w:p>
      <w:pPr>
        <w:pStyle w:val="Heading1"/>
        <w:numPr>
          <w:ilvl w:val="0"/>
          <w:numId w:val="2"/>
        </w:numPr>
        <w:tabs>
          <w:tab w:val="clear" w:pos="720"/>
        </w:tabs>
        <w:spacing w:lineRule="auto" w:line="480"/>
        <w:ind w:hanging="360" w:start="1080" w:end="0"/>
        <w:jc w:val="both"/>
        <w:rPr>
          <w:b w:val="false"/>
        </w:rPr>
      </w:pPr>
      <w:r>
        <w:rPr>
          <w:b w:val="false"/>
          <w:bCs w:val="false"/>
        </w:rPr>
        <w:t>Shorten the time for comments in response to AReM’s supplemental comments to seven days, so that comments on could be filed by interested parties on August 20, 2001;</w:t>
      </w:r>
      <w:r>
        <w:rPr>
          <w:b w:val="false"/>
        </w:rPr>
        <w:t xml:space="preserve"> and </w:t>
      </w:r>
    </w:p>
    <w:p>
      <w:pPr>
        <w:pStyle w:val="BodyTextIndent"/>
        <w:ind w:hanging="360" w:start="1080" w:end="0"/>
        <w:jc w:val="both"/>
        <w:rPr/>
      </w:pPr>
      <w:r>
        <w:rPr/>
        <w:t>3.</w:t>
        <w:tab/>
        <w:t>Provide such other relief, as the Commission may deem proper.</w:t>
      </w:r>
    </w:p>
    <w:p>
      <w:pPr>
        <w:pStyle w:val="Normal"/>
        <w:tabs>
          <w:tab w:val="clear" w:pos="720"/>
          <w:tab w:val="left" w:pos="-720" w:leader="none"/>
        </w:tabs>
        <w:suppressAutoHyphens w:val="true"/>
        <w:ind w:start="720" w:end="0"/>
        <w:jc w:val="both"/>
        <w:rPr>
          <w:spacing w:val="-3"/>
        </w:rPr>
      </w:pPr>
      <w:r>
        <w:rPr>
          <w:spacing w:val="-3"/>
        </w:rPr>
        <w:tab/>
        <w:tab/>
        <w:tab/>
        <w:tab/>
        <w:t>Respectfully submitted,</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________________________________</w:t>
      </w:r>
    </w:p>
    <w:p>
      <w:pPr>
        <w:pStyle w:val="Normal"/>
        <w:ind w:start="3531"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3531"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 xml:space="preserve">Counsel for </w:t>
      </w:r>
    </w:p>
    <w:p>
      <w:pPr>
        <w:pStyle w:val="Normal"/>
        <w:tabs>
          <w:tab w:val="clear" w:pos="720"/>
          <w:tab w:val="left" w:pos="-720" w:leader="none"/>
        </w:tabs>
        <w:suppressAutoHyphens w:val="true"/>
        <w:jc w:val="both"/>
        <w:rPr>
          <w:spacing w:val="-3"/>
        </w:rPr>
      </w:pPr>
      <w:r>
        <w:rPr>
          <w:spacing w:val="-3"/>
        </w:rPr>
        <w:tab/>
        <w:tab/>
        <w:tab/>
        <w:tab/>
        <w:tab/>
        <w:t>ALLIANCE FOR RETAIL ENERGY MARKETS</w:t>
      </w:r>
    </w:p>
    <w:p>
      <w:pPr>
        <w:pStyle w:val="Normal"/>
        <w:tabs>
          <w:tab w:val="clear" w:pos="720"/>
          <w:tab w:val="left" w:pos="-1440" w:leader="none"/>
          <w:tab w:val="left" w:pos="-720" w:leader="none"/>
        </w:tabs>
        <w:rPr>
          <w:spacing w:val="-3"/>
        </w:rPr>
      </w:pPr>
      <w:r>
        <w:rPr>
          <w:spacing w:val="-3"/>
        </w:rPr>
        <w:tab/>
        <w:tab/>
        <w:tab/>
        <w:tab/>
        <w:tab/>
        <w:tab/>
      </w:r>
    </w:p>
    <w:p>
      <w:pPr>
        <w:pStyle w:val="Normal"/>
        <w:tabs>
          <w:tab w:val="clear" w:pos="720"/>
          <w:tab w:val="left" w:pos="-1440" w:leader="none"/>
          <w:tab w:val="left" w:pos="-720" w:leader="none"/>
        </w:tabs>
        <w:rPr>
          <w:spacing w:val="-3"/>
        </w:rPr>
      </w:pPr>
      <w:r>
        <w:rPr>
          <w:spacing w:val="-3"/>
        </w:rPr>
      </w:r>
    </w:p>
    <w:p>
      <w:pPr>
        <w:pStyle w:val="FootnoteText"/>
        <w:keepLines w:val="false"/>
        <w:widowControl/>
        <w:tabs>
          <w:tab w:val="clear" w:pos="720"/>
          <w:tab w:val="left" w:pos="-1440" w:leader="none"/>
          <w:tab w:val="left" w:pos="-720" w:leader="none"/>
        </w:tabs>
        <w:overflowPunct w:val="true"/>
        <w:autoSpaceDE w:val="true"/>
        <w:textAlignment w:val="auto"/>
        <w:rPr>
          <w:spacing w:val="-3"/>
          <w:szCs w:val="24"/>
        </w:rPr>
      </w:pPr>
      <w:r>
        <w:rPr>
          <w:spacing w:val="-3"/>
          <w:szCs w:val="24"/>
        </w:rPr>
      </w:r>
    </w:p>
    <w:p>
      <w:pPr>
        <w:pStyle w:val="Normal"/>
        <w:tabs>
          <w:tab w:val="clear" w:pos="720"/>
          <w:tab w:val="left" w:pos="-1440" w:leader="none"/>
          <w:tab w:val="left" w:pos="-720" w:leader="none"/>
        </w:tabs>
        <w:rPr>
          <w:spacing w:val="-3"/>
          <w:szCs w:val="24"/>
        </w:rPr>
      </w:pPr>
      <w:r>
        <w:rPr>
          <w:spacing w:val="-3"/>
          <w:szCs w:val="24"/>
        </w:rPr>
      </w:r>
    </w:p>
    <w:p>
      <w:pPr>
        <w:pStyle w:val="Normal"/>
        <w:spacing w:before="0" w:after="240"/>
        <w:rPr/>
      </w:pPr>
      <w:r>
        <w:rPr/>
        <w:t>August 14,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Heading1"/>
        <w:ind w:hanging="0" w:start="0"/>
        <w:jc w:val="both"/>
        <w:rPr/>
      </w:pPr>
      <w:r>
        <w:rPr/>
        <w:tab/>
      </w:r>
      <w:r>
        <w:rPr>
          <w:b w:val="false"/>
          <w:bCs w:val="false"/>
        </w:rPr>
        <w:t>I hereby certify that I have this day served a copy of the Emergency Motion of the Alliance for Retail Energy Markets for Permission to File Supplemental Reply Comments Concerning the Implementation of an Interim Direct Access Continuation Program on all parties of record in the above captioned proceedings by both mailing a properly addressed copy by first-class mail with postage prepaid to each party and by serving an electronic copy on their email addresses of record.</w:t>
      </w:r>
    </w:p>
    <w:p>
      <w:pPr>
        <w:pStyle w:val="Normal"/>
        <w:suppressAutoHyphens w:val="true"/>
        <w:ind w:firstLine="720" w:end="0"/>
        <w:jc w:val="both"/>
        <w:rPr>
          <w:b/>
          <w:bCs/>
        </w:rPr>
      </w:pPr>
      <w:r>
        <w:rPr>
          <w:b/>
          <w:bCs/>
        </w:rPr>
      </w:r>
    </w:p>
    <w:p>
      <w:pPr>
        <w:pStyle w:val="Normal"/>
        <w:suppressAutoHyphens w:val="true"/>
        <w:ind w:firstLine="720" w:end="0"/>
        <w:jc w:val="both"/>
        <w:rPr/>
      </w:pPr>
      <w:r>
        <w:rPr/>
        <w:t>Executed on August 14, 2001, at Woodland Hills,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p>
      <w:pPr>
        <w:pStyle w:val="Normal"/>
        <w:spacing w:lineRule="auto" w:line="480"/>
        <w:ind w:firstLine="720" w:end="0"/>
        <w:jc w:val="both"/>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widowControl/>
        <w:spacing w:lineRule="auto" w:line="240"/>
        <w:ind w:firstLine="720" w:end="0"/>
        <w:jc w:val="both"/>
        <w:rPr/>
      </w:pPr>
      <w:r>
        <w:rPr>
          <w:rStyle w:val="FootnoteCharacters"/>
        </w:rPr>
        <w:footnoteRef/>
      </w:r>
      <w:r>
        <w:rPr>
          <w:sz w:val="20"/>
        </w:rPr>
        <w:t xml:space="preserve"> </w:t>
      </w:r>
      <w:r>
        <w:rPr>
          <w:sz w:val="20"/>
        </w:rPr>
        <w:t>The members of AReM serve most California customers who have chosen a competitive electric provider.  AReM’s members include AES NewEnergy, Inc.; American Utility Network; Commonwealth Energy Corp.; Enron Energy Services, Inc.; Green Mountain Energy Company; The New Power Company; Shell Energy Services; and Strategic Energy, L.L.C</w:t>
      </w:r>
      <w:r>
        <w:rPr>
          <w:color w:val="FF0000"/>
          <w:sz w:val="20"/>
        </w:rPr>
        <w:t xml:space="preserve">. </w:t>
      </w:r>
    </w:p>
  </w:footnote>
  <w:footnote w:id="3">
    <w:p>
      <w:pPr>
        <w:pStyle w:val="FootnoteText"/>
        <w:rPr/>
      </w:pPr>
      <w:r>
        <w:rPr>
          <w:rStyle w:val="FootnoteCharacters"/>
        </w:rPr>
        <w:footnoteRef/>
      </w:r>
      <w:r>
        <w:rPr/>
        <w:t xml:space="preserve"> </w:t>
      </w:r>
      <w:r>
        <w:rPr>
          <w:sz w:val="20"/>
        </w:rPr>
        <w:t>Rule 77.7(9)(f) provides that the Commission may waive the period for review and comment in an unforeseen emergency situation declared pursuant to Rule 81.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both"/>
      <w:outlineLvl w:val="1"/>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 w:hAnsi="Helvetica" w:cs="Helvetica"/>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3">
    <w:name w:val="Body Text 3"/>
    <w:basedOn w:val="Normal"/>
    <w:qFormat/>
    <w:pPr>
      <w:tabs>
        <w:tab w:val="clear" w:pos="720"/>
        <w:tab w:val="left" w:pos="1440" w:leader="none"/>
        <w:tab w:val="left" w:pos="3600" w:leader="none"/>
      </w:tabs>
    </w:pPr>
    <w:rPr>
      <w:sz w:val="22"/>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2001-08-14T13:08:00Z</dcterms:created>
  <dc:creator>Daniel W. Douglass</dc:creator>
  <dc:description/>
  <dc:language>en-CA</dc:language>
  <cp:lastModifiedBy>smara</cp:lastModifiedBy>
  <dcterms:modified xsi:type="dcterms:W3CDTF">2001-08-14T13:08:00Z</dcterms:modified>
  <cp:revision>2</cp:revision>
  <dc:subject/>
  <dc:title>BEFORE THE PUBLIC UTILITIES COMMISSION</dc:title>
</cp:coreProperties>
</file>