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13,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2.0   Million Barrels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(7.2) Million Barrels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BodyTextIndent"/>
        <w:rPr/>
      </w:pPr>
      <w:r>
        <w:rPr/>
        <w:t>be increasingly short.</w:t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BodyTextIndent"/>
        <w:rPr/>
      </w:pPr>
      <w:r>
        <w:rPr/>
        <w:t xml:space="preserve"> </w:t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2001-08-14T13:29:00Z</dcterms:created>
  <dc:creator>kthibode</dc:creator>
  <dc:description/>
  <dc:language>en-CA</dc:language>
  <cp:lastModifiedBy>kthibode</cp:lastModifiedBy>
  <dcterms:modified xsi:type="dcterms:W3CDTF">2001-08-14T13:29:00Z</dcterms:modified>
  <cp:revision>2</cp:revision>
  <dc:subject/>
  <dc:title/>
</cp:coreProperties>
</file>