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right" w:pos="10080" w:leader="none"/>
        </w:tabs>
        <w:autoSpaceDE w:val="false"/>
        <w:rPr>
          <w:b/>
          <w:bCs/>
          <w:color w:val="000000"/>
          <w:sz w:val="30"/>
          <w:szCs w:val="30"/>
        </w:rPr>
      </w:pPr>
      <w: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13335</wp:posOffset>
            </wp:positionH>
            <wp:positionV relativeFrom="paragraph">
              <wp:posOffset>-264160</wp:posOffset>
            </wp:positionV>
            <wp:extent cx="941705" cy="961390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961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</w:rPr>
        <w:t>Interoffice Memorandum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</w:tabs>
        <w:autoSpaceDE w:val="false"/>
        <w:spacing w:before="1767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To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Rick Buy, Mike McConnell, Ted Murphy, David Port, </w:t>
      </w:r>
    </w:p>
    <w:p>
      <w:pPr>
        <w:pStyle w:val="Normal"/>
        <w:widowControl w:val="false"/>
        <w:tabs>
          <w:tab w:val="clear" w:pos="720"/>
          <w:tab w:val="left" w:pos="960" w:leader="none"/>
        </w:tabs>
        <w:autoSpaceDE w:val="false"/>
        <w:rPr/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Cassandra Schultz, Jeff Shankman, Jeff Skilling,</w:t>
      </w:r>
    </w:p>
    <w:p>
      <w:pPr>
        <w:pStyle w:val="Normal"/>
        <w:widowControl w:val="false"/>
        <w:tabs>
          <w:tab w:val="clear" w:pos="720"/>
          <w:tab w:val="left" w:pos="960" w:leader="none"/>
        </w:tabs>
        <w:autoSpaceDE w:val="false"/>
        <w:rPr>
          <w:color w:val="000000"/>
          <w:sz w:val="22"/>
          <w:szCs w:val="22"/>
        </w:rPr>
      </w:pPr>
      <w:r>
        <w:rPr>
          <w:color w:val="000000"/>
          <w:sz w:val="20"/>
          <w:szCs w:val="20"/>
        </w:rPr>
        <w:tab/>
        <w:t>Greg Whalley, File Copy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spacing w:before="86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From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Chris Abel / Kenneth Thibodeaux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Department: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Risk Management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spacing w:before="13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Subject: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Limit Violation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Date: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August 13, 2001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b/>
          <w:bCs/>
          <w:color w:val="000000"/>
          <w:sz w:val="82"/>
          <w:szCs w:val="82"/>
        </w:rPr>
      </w:pPr>
      <w:r>
        <w:rPr>
          <w:b/>
          <w:bCs/>
          <w:color w:val="000000"/>
          <w:sz w:val="72"/>
          <w:szCs w:val="72"/>
        </w:rPr>
        <w:t>—————————————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Please note below the occurrence of the following limit violation as of the close of business August 10, 2001.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spacing w:before="373" w:after="0"/>
        <w:rPr>
          <w:b/>
          <w:bCs/>
          <w:color w:val="000000"/>
          <w:sz w:val="25"/>
          <w:szCs w:val="25"/>
          <w:u w:val="single"/>
        </w:rPr>
      </w:pPr>
      <w:r>
        <w:rPr>
          <w:b/>
          <w:bCs/>
          <w:color w:val="000000"/>
          <w:sz w:val="20"/>
          <w:szCs w:val="20"/>
          <w:u w:val="single"/>
        </w:rPr>
        <w:t>Enron Global Markets – EOL Crude Trading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19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Violation:</w:t>
      </w:r>
      <w:r>
        <w:rPr>
          <w:rFonts w:cs="MS Sans Serif" w:ascii="MS Sans Serif" w:hAnsi="MS Sans Serif"/>
          <w:sz w:val="20"/>
        </w:rPr>
        <w:tab/>
      </w:r>
      <w:r>
        <w:rPr>
          <w:sz w:val="20"/>
        </w:rPr>
        <w:t>VAR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88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Limit:</w:t>
      </w:r>
      <w:r>
        <w:rPr>
          <w:rFonts w:cs="MS Sans Serif" w:ascii="MS Sans Serif" w:hAnsi="MS Sans Serif"/>
          <w:sz w:val="20"/>
        </w:rPr>
        <w:tab/>
      </w:r>
      <w:r>
        <w:rPr>
          <w:sz w:val="20"/>
        </w:rPr>
        <w:t>$3</w:t>
      </w:r>
      <w:r>
        <w:rPr>
          <w:color w:val="000000"/>
          <w:sz w:val="20"/>
          <w:szCs w:val="20"/>
        </w:rPr>
        <w:t xml:space="preserve">.00 Million 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sz w:val="20"/>
        </w:rPr>
        <w:tab/>
        <w:t>VAR</w:t>
      </w:r>
      <w:r>
        <w:rPr>
          <w:color w:val="000000"/>
          <w:sz w:val="20"/>
          <w:szCs w:val="20"/>
        </w:rPr>
        <w:t>:</w:t>
      </w:r>
      <w:r>
        <w:rPr>
          <w:sz w:val="20"/>
        </w:rPr>
        <w:tab/>
        <w:t>$6.38</w:t>
      </w:r>
      <w:r>
        <w:rPr>
          <w:color w:val="000000"/>
          <w:sz w:val="20"/>
          <w:szCs w:val="20"/>
        </w:rPr>
        <w:t xml:space="preserve"> Million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53" w:after="0"/>
        <w:rPr/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Explanation:</w:t>
      </w:r>
    </w:p>
    <w:p>
      <w:pPr>
        <w:pStyle w:val="Normal"/>
        <w:autoSpaceDE w:val="false"/>
        <w:rPr>
          <w:rFonts w:ascii="Arial" w:hAnsi="Arial" w:cs="Arial"/>
          <w:b/>
          <w:bCs/>
          <w:color w:val="0000FF"/>
          <w:sz w:val="20"/>
          <w:szCs w:val="20"/>
        </w:rPr>
      </w:pPr>
      <w:r>
        <w:rPr>
          <w:rFonts w:cs="Arial" w:ascii="Arial" w:hAnsi="Arial"/>
          <w:b/>
          <w:bCs/>
          <w:color w:val="0000FF"/>
          <w:sz w:val="20"/>
          <w:szCs w:val="20"/>
        </w:rPr>
      </w:r>
    </w:p>
    <w:p>
      <w:pPr>
        <w:pStyle w:val="Normal"/>
        <w:autoSpaceDE w:val="false"/>
        <w:rPr/>
      </w:pPr>
      <w:r>
        <w:rPr>
          <w:sz w:val="20"/>
        </w:rPr>
        <w:tab/>
        <w:tab/>
        <w:tab/>
      </w:r>
      <w:r>
        <w:rPr>
          <w:sz w:val="20"/>
          <w:szCs w:val="20"/>
        </w:rPr>
        <w:t>The Crude EOL VAR violation is due to the portfolio having a 7.9 million bbl short</w:t>
      </w:r>
    </w:p>
    <w:p>
      <w:pPr>
        <w:pStyle w:val="Normal"/>
        <w:autoSpaceDE w:val="false"/>
        <w:ind w:firstLine="720" w:start="1440" w:end="0"/>
        <w:rPr>
          <w:sz w:val="20"/>
          <w:szCs w:val="20"/>
        </w:rPr>
      </w:pPr>
      <w:r>
        <w:rPr>
          <w:sz w:val="20"/>
          <w:szCs w:val="20"/>
        </w:rPr>
        <w:t>position and the September Nymex contract increased $.10/bbl.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73" w:after="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 </w:t>
      </w:r>
    </w:p>
    <w:p>
      <w:pPr>
        <w:pStyle w:val="BodyTextInden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ind w:start="2160" w:end="0"/>
        <w:rPr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  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53" w:after="0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418" w:after="0"/>
        <w:rPr>
          <w:b/>
          <w:bCs/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RAC Comments: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373" w:after="0"/>
        <w:rPr>
          <w:b/>
          <w:bCs/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Recommended Course of Action:</w:t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/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Increase 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Decrease 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No Action</w:t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0"/>
          <w:szCs w:val="20"/>
        </w:rPr>
        <w:t>Acknowledgements: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0" w:leader="none"/>
          <w:tab w:val="left" w:pos="4680" w:leader="none"/>
          <w:tab w:val="right" w:pos="10080" w:leader="none"/>
        </w:tabs>
        <w:autoSpaceDE w:val="false"/>
        <w:spacing w:before="73" w:after="0"/>
        <w:rPr>
          <w:b/>
          <w:bCs/>
          <w:color w:val="000000"/>
          <w:sz w:val="39"/>
          <w:szCs w:val="39"/>
        </w:rPr>
      </w:pPr>
      <w:r>
        <w:rPr>
          <w:color w:val="000000"/>
          <w:sz w:val="20"/>
          <w:szCs w:val="20"/>
        </w:rPr>
        <w:t xml:space="preserve">Office of the Chair  </w:t>
      </w:r>
      <w:r>
        <w:rPr>
          <w:b/>
          <w:bCs/>
          <w:color w:val="000000"/>
          <w:sz w:val="32"/>
          <w:szCs w:val="32"/>
        </w:rPr>
        <w:t>———————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Risk Assessment and Control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32"/>
          <w:szCs w:val="32"/>
        </w:rPr>
        <w:t>—————————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3225" w:leader="none"/>
          <w:tab w:val="center" w:pos="6360" w:leader="none"/>
          <w:tab w:val="right" w:pos="10080" w:leader="none"/>
        </w:tabs>
        <w:autoSpaceDE w:val="false"/>
        <w:spacing w:before="116" w:after="0"/>
        <w:rPr/>
      </w:pPr>
      <w:r>
        <w:rPr>
          <w:b/>
          <w:bCs/>
          <w:color w:val="000000"/>
          <w:sz w:val="16"/>
          <w:szCs w:val="16"/>
        </w:rPr>
        <w:t>Respect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Integrity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Communication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Excellence</w:t>
      </w:r>
    </w:p>
    <w:sectPr>
      <w:type w:val="nextPage"/>
      <w:pgSz w:w="12240" w:h="15840"/>
      <w:pgMar w:left="720" w:right="636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MS Sans Serif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autoSpaceDE w:val="false"/>
      <w:ind w:hanging="0" w:start="2160" w:end="0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2001-08-13T11:02:00Z</dcterms:created>
  <dc:creator>kthibode</dc:creator>
  <dc:description/>
  <dc:language>en-CA</dc:language>
  <cp:lastModifiedBy>kthibode</cp:lastModifiedBy>
  <dcterms:modified xsi:type="dcterms:W3CDTF">2001-08-13T17:28:00Z</dcterms:modified>
  <cp:revision>4</cp:revision>
  <dc:subject/>
  <dc:title/>
</cp:coreProperties>
</file>