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ind w:start="0" w:end="0"/>
        <w:rPr>
          <w:rFonts w:ascii="Times New Roman" w:hAnsi="Times New Roman" w:cs="Times New Roman"/>
        </w:rPr>
      </w:pPr>
      <w:r>
        <w:rPr>
          <w:rFonts w:cs="Times New Roman" w:ascii="Times New Roman" w:hAnsi="Times New Roman"/>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677795" cy="547370"/>
                <wp:effectExtent l="0" t="0" r="0" b="0"/>
                <wp:wrapTopAndBottom/>
                <wp:docPr id="1" name="Frame1"/>
                <a:graphic xmlns:a="http://schemas.openxmlformats.org/drawingml/2006/main">
                  <a:graphicData uri="http://schemas.microsoft.com/office/word/2010/wordprocessingShape">
                    <wps:wsp>
                      <wps:cNvSpPr txBox="1"/>
                      <wps:spPr>
                        <a:xfrm>
                          <a:off x="0" y="0"/>
                          <a:ext cx="2677795" cy="547370"/>
                        </a:xfrm>
                        <a:prstGeom prst="rect"/>
                        <a:solidFill>
                          <a:srgbClr val="FFFFFF">
                            <a:alpha val="0"/>
                          </a:srgbClr>
                        </a:solidFill>
                        <a:ln w="9525">
                          <a:solidFill>
                            <a:srgbClr val="000000"/>
                          </a:solidFill>
                        </a:ln>
                      </wps:spPr>
                      <wps:txbx>
                        <w:txbxContent>
                          <w:p>
                            <w:pPr>
                              <w:pStyle w:val="CompanyName"/>
                              <w:rPr/>
                            </w:pPr>
                            <w:r>
                              <w:rPr/>
                              <w:t>Wright &amp; Talisman, P.C.</w:t>
                            </w:r>
                          </w:p>
                        </w:txbxContent>
                      </wps:txbx>
                      <wps:bodyPr anchor="t" lIns="114300" tIns="114300" rIns="114300" bIns="114300">
                        <a:noAutofit/>
                      </wps:bodyPr>
                    </wps:wsp>
                  </a:graphicData>
                </a:graphic>
              </wp:anchor>
            </w:drawing>
          </mc:Choice>
          <mc:Fallback>
            <w:pict>
              <v:rect fillcolor="#FFFFFF" strokecolor="#000000" strokeweight="0pt" style="position:absolute;rotation:-0;width:210.85pt;height:43.1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Wright &amp; Talisman, P.C.</w:t>
                      </w:r>
                    </w:p>
                  </w:txbxContent>
                </v:textbox>
                <w10:wrap type="topAndBottom"/>
              </v:rect>
            </w:pict>
          </mc:Fallback>
        </mc:AlternateContent>
      </w:r>
    </w:p>
    <w:p>
      <w:pPr>
        <w:pStyle w:val="Normal"/>
        <w:rPr>
          <w:rFonts w:ascii="Times New Roman" w:hAnsi="Times New Roman" w:cs="Times New Roman"/>
        </w:rPr>
      </w:pPr>
      <w:r>
        <w:rPr>
          <w:rFonts w:cs="Times New Roman"/>
        </w:rPr>
      </w:r>
    </w:p>
    <w:p>
      <w:pPr>
        <w:pStyle w:val="Normal"/>
        <w:rPr/>
      </w:pPr>
      <w:r>
        <w:rPr/>
        <w:t>To:</w:t>
        <w:tab/>
        <w:tab/>
        <w:t>WSPP Contracting Committee</w:t>
      </w:r>
    </w:p>
    <w:p>
      <w:pPr>
        <w:pStyle w:val="Header"/>
        <w:tabs>
          <w:tab w:val="clear" w:pos="4320"/>
          <w:tab w:val="clear" w:pos="8640"/>
        </w:tabs>
        <w:rPr/>
      </w:pPr>
      <w:r>
        <w:rPr/>
      </w:r>
    </w:p>
    <w:p>
      <w:pPr>
        <w:pStyle w:val="Normal"/>
        <w:rPr/>
      </w:pPr>
      <w:r>
        <w:rPr/>
        <w:t>From:</w:t>
        <w:tab/>
        <w:tab/>
        <w:t>Michael E. Small, General Counsel to WSPP</w:t>
      </w:r>
    </w:p>
    <w:p>
      <w:pPr>
        <w:pStyle w:val="Normal"/>
        <w:rPr/>
      </w:pPr>
      <w:r>
        <w:rPr/>
      </w:r>
    </w:p>
    <w:p>
      <w:pPr>
        <w:pStyle w:val="Normal"/>
        <w:rPr/>
      </w:pPr>
      <w:r>
        <w:rPr/>
        <w:t>Date:</w:t>
        <w:tab/>
        <w:tab/>
        <w:t>July 30, 2001</w:t>
      </w:r>
    </w:p>
    <w:p>
      <w:pPr>
        <w:pStyle w:val="Normal"/>
        <w:rPr/>
      </w:pPr>
      <w:r>
        <w:rPr/>
      </w:r>
    </w:p>
    <w:p>
      <w:pPr>
        <w:pStyle w:val="Normal"/>
        <w:rPr/>
      </w:pPr>
      <w:r>
        <w:rPr/>
        <w:t>Re:</w:t>
        <w:tab/>
        <w:tab/>
        <w:t>Agenda for August 10 Contracting Committee Meeting, 8:00 a.m. – 2:00 p.m.</w:t>
      </w:r>
    </w:p>
    <w:p>
      <w:pPr>
        <w:pStyle w:val="Normal"/>
        <w:pBdr>
          <w:bottom w:val="single" w:sz="12" w:space="1" w:color="000000"/>
        </w:pBdr>
        <w:rPr/>
      </w:pPr>
      <w:r>
        <w:rPr/>
      </w:r>
    </w:p>
    <w:p>
      <w:pPr>
        <w:pStyle w:val="Normal"/>
        <w:rPr/>
      </w:pPr>
      <w:r>
        <w:rPr/>
      </w:r>
    </w:p>
    <w:p>
      <w:pPr>
        <w:pStyle w:val="Normal"/>
        <w:rPr/>
      </w:pPr>
      <w:r>
        <w:rPr/>
        <w:tab/>
        <w:t xml:space="preserve">Enclosed is an agenda together with documents to be considered.  At the last meeting, it was agreed that comments on the credit agreements, netting agreement, floating pricing language would be sent to me </w:t>
      </w:r>
      <w:r>
        <w:rPr>
          <w:u w:val="single"/>
        </w:rPr>
        <w:t>before</w:t>
      </w:r>
      <w:r>
        <w:rPr/>
        <w:t xml:space="preserve"> the meeting.  I have received few comments (two to be exact).  I want to have documents/language to send to the Operating Committee.  Please e-mail me your comments, which I will then forward on to others.</w:t>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965" w:bottom="1296"/>
          <w:pgNumType w:fmt="decimal"/>
          <w:formProt w:val="false"/>
          <w:titlePg/>
          <w:textDirection w:val="lrTb"/>
          <w:docGrid w:type="default" w:linePitch="360" w:charSpace="0"/>
        </w:sectPr>
        <w:pStyle w:val="Normal"/>
        <w:rPr/>
      </w:pPr>
      <w:r>
        <w:rPr/>
      </w:r>
    </w:p>
    <w:p>
      <w:pPr>
        <w:pStyle w:val="Normal"/>
        <w:jc w:val="center"/>
        <w:rPr>
          <w:b/>
        </w:rPr>
      </w:pPr>
      <w:r>
        <w:rPr>
          <w:b/>
        </w:rPr>
        <w:t>AGENDA FOR</w:t>
      </w:r>
    </w:p>
    <w:p>
      <w:pPr>
        <w:pStyle w:val="Normal"/>
        <w:jc w:val="center"/>
        <w:rPr>
          <w:b/>
        </w:rPr>
      </w:pPr>
      <w:r>
        <w:rPr>
          <w:b/>
        </w:rPr>
        <w:t>AUGUST 10, 2001</w:t>
      </w:r>
    </w:p>
    <w:p>
      <w:pPr>
        <w:pStyle w:val="Normal"/>
        <w:jc w:val="center"/>
        <w:rPr>
          <w:b/>
        </w:rPr>
      </w:pPr>
      <w:r>
        <w:rPr>
          <w:b/>
        </w:rPr>
        <w:t>WSPP CONTRACTING MEETING</w:t>
      </w:r>
    </w:p>
    <w:p>
      <w:pPr>
        <w:pStyle w:val="Normal"/>
        <w:jc w:val="center"/>
        <w:rPr/>
      </w:pPr>
      <w:r>
        <w:rPr/>
      </w:r>
    </w:p>
    <w:p>
      <w:pPr>
        <w:pStyle w:val="Normal"/>
        <w:jc w:val="center"/>
        <w:rPr/>
      </w:pPr>
      <w:r>
        <w:rPr/>
      </w:r>
    </w:p>
    <w:p>
      <w:pPr>
        <w:pStyle w:val="Normal"/>
        <w:jc w:val="center"/>
        <w:rPr/>
      </w:pPr>
      <w:r>
        <w:rPr/>
      </w:r>
    </w:p>
    <w:p>
      <w:pPr>
        <w:pStyle w:val="Normal"/>
        <w:rPr/>
      </w:pPr>
      <w:r>
        <w:rPr/>
        <w:t>(1)</w:t>
        <w:tab/>
        <w:t>FERC actions</w:t>
      </w:r>
    </w:p>
    <w:p>
      <w:pPr>
        <w:pStyle w:val="Normal"/>
        <w:rPr/>
      </w:pPr>
      <w:r>
        <w:rPr/>
      </w:r>
    </w:p>
    <w:p>
      <w:pPr>
        <w:pStyle w:val="Normal"/>
        <w:rPr/>
      </w:pPr>
      <w:r>
        <w:rPr/>
        <w:tab/>
        <w:t>a.</w:t>
        <w:tab/>
        <w:t>WSPP changes</w:t>
      </w:r>
    </w:p>
    <w:p>
      <w:pPr>
        <w:pStyle w:val="Normal"/>
        <w:rPr/>
      </w:pPr>
      <w:r>
        <w:rPr/>
        <w:tab/>
        <w:t>b.</w:t>
        <w:tab/>
        <w:t>Relevant orders</w:t>
      </w:r>
    </w:p>
    <w:p>
      <w:pPr>
        <w:pStyle w:val="Normal"/>
        <w:rPr/>
      </w:pPr>
      <w:r>
        <w:rPr/>
      </w:r>
    </w:p>
    <w:p>
      <w:pPr>
        <w:pStyle w:val="Normal"/>
        <w:rPr/>
      </w:pPr>
      <w:r>
        <w:rPr/>
        <w:t>(2)</w:t>
        <w:tab/>
        <w:t>Product issues</w:t>
      </w:r>
    </w:p>
    <w:p>
      <w:pPr>
        <w:pStyle w:val="Normal"/>
        <w:rPr/>
      </w:pPr>
      <w:r>
        <w:rPr/>
      </w:r>
    </w:p>
    <w:p>
      <w:pPr>
        <w:pStyle w:val="Normal"/>
        <w:rPr/>
      </w:pPr>
      <w:r>
        <w:rPr/>
        <w:tab/>
        <w:t>a.</w:t>
        <w:tab/>
        <w:t>Cal ISO definition</w:t>
      </w:r>
    </w:p>
    <w:p>
      <w:pPr>
        <w:pStyle w:val="Normal"/>
        <w:rPr/>
      </w:pPr>
      <w:r>
        <w:rPr/>
        <w:tab/>
        <w:tab/>
        <w:t>Attachment 1</w:t>
      </w:r>
    </w:p>
    <w:p>
      <w:pPr>
        <w:pStyle w:val="Normal"/>
        <w:rPr/>
      </w:pPr>
      <w:r>
        <w:rPr/>
        <w:tab/>
        <w:t>b.</w:t>
        <w:tab/>
        <w:t>Reach Through language</w:t>
      </w:r>
    </w:p>
    <w:p>
      <w:pPr>
        <w:pStyle w:val="Normal"/>
        <w:rPr/>
      </w:pPr>
      <w:r>
        <w:rPr/>
        <w:tab/>
        <w:tab/>
        <w:t>Attachment 2</w:t>
      </w:r>
    </w:p>
    <w:p>
      <w:pPr>
        <w:pStyle w:val="Normal"/>
        <w:rPr/>
      </w:pPr>
      <w:r>
        <w:rPr/>
      </w:r>
    </w:p>
    <w:p>
      <w:pPr>
        <w:pStyle w:val="Normal"/>
        <w:rPr/>
      </w:pPr>
      <w:r>
        <w:rPr/>
        <w:t>(3)</w:t>
        <w:tab/>
        <w:t>Offset/Netting Revisions (§§ 22, 28)</w:t>
      </w:r>
    </w:p>
    <w:p>
      <w:pPr>
        <w:pStyle w:val="Normal"/>
        <w:rPr/>
      </w:pPr>
      <w:r>
        <w:rPr/>
        <w:tab/>
        <w:t>Attachment 3</w:t>
      </w:r>
    </w:p>
    <w:p>
      <w:pPr>
        <w:pStyle w:val="Normal"/>
        <w:rPr/>
      </w:pPr>
      <w:r>
        <w:rPr/>
      </w:r>
    </w:p>
    <w:p>
      <w:pPr>
        <w:pStyle w:val="Normal"/>
        <w:rPr/>
      </w:pPr>
      <w:r>
        <w:rPr/>
        <w:t>(4)</w:t>
        <w:tab/>
        <w:t>Force Majeure (§ 10)</w:t>
      </w:r>
    </w:p>
    <w:p>
      <w:pPr>
        <w:pStyle w:val="Normal"/>
        <w:rPr/>
      </w:pPr>
      <w:r>
        <w:rPr/>
        <w:tab/>
        <w:t>Attachment 4</w:t>
      </w:r>
    </w:p>
    <w:p>
      <w:pPr>
        <w:pStyle w:val="Normal"/>
        <w:rPr/>
      </w:pPr>
      <w:r>
        <w:rPr/>
      </w:r>
    </w:p>
    <w:p>
      <w:pPr>
        <w:pStyle w:val="Normal"/>
        <w:rPr/>
      </w:pPr>
      <w:r>
        <w:rPr/>
        <w:t>(5)</w:t>
        <w:tab/>
        <w:t>Credit Support – For consideration as form credit support agreements</w:t>
      </w:r>
    </w:p>
    <w:p>
      <w:pPr>
        <w:pStyle w:val="Normal"/>
        <w:ind w:start="720" w:end="0"/>
        <w:rPr/>
      </w:pPr>
      <w:r>
        <w:rPr/>
        <w:t>Attachment 5 (General Collateral which could use accounts, receivables, and other assets)</w:t>
      </w:r>
    </w:p>
    <w:p>
      <w:pPr>
        <w:pStyle w:val="Normal"/>
        <w:ind w:start="720" w:end="0"/>
        <w:rPr/>
      </w:pPr>
      <w:r>
        <w:rPr/>
        <w:t>Attachment 6 (Margin agreement)</w:t>
      </w:r>
    </w:p>
    <w:p>
      <w:pPr>
        <w:pStyle w:val="Normal"/>
        <w:ind w:start="720" w:end="0"/>
        <w:rPr/>
      </w:pPr>
      <w:r>
        <w:rPr/>
      </w:r>
    </w:p>
    <w:p>
      <w:pPr>
        <w:pStyle w:val="Normal"/>
        <w:ind w:start="720" w:end="0"/>
        <w:rPr/>
      </w:pPr>
      <w:r>
        <w:rPr/>
        <w:t>Is there a need for both as some customers may not wish to submit large amounts of cash?</w:t>
      </w:r>
    </w:p>
    <w:p>
      <w:pPr>
        <w:pStyle w:val="Normal"/>
        <w:ind w:start="720" w:end="0"/>
        <w:rPr/>
      </w:pPr>
      <w:r>
        <w:rPr/>
      </w:r>
    </w:p>
    <w:p>
      <w:pPr>
        <w:pStyle w:val="Normal"/>
        <w:rPr/>
      </w:pPr>
      <w:r>
        <w:rPr/>
        <w:t>(6)</w:t>
        <w:tab/>
        <w:t>Confirmation Revision (§ 32)</w:t>
      </w:r>
    </w:p>
    <w:p>
      <w:pPr>
        <w:pStyle w:val="Normal"/>
        <w:rPr/>
      </w:pPr>
      <w:r>
        <w:rPr/>
        <w:tab/>
        <w:t>Attachment 7</w:t>
      </w:r>
    </w:p>
    <w:p>
      <w:pPr>
        <w:pStyle w:val="Normal"/>
        <w:rPr/>
      </w:pPr>
      <w:r>
        <w:rPr/>
      </w:r>
    </w:p>
    <w:p>
      <w:pPr>
        <w:pStyle w:val="Normal"/>
        <w:rPr/>
      </w:pPr>
      <w:r>
        <w:rPr/>
        <w:t>(7)</w:t>
        <w:tab/>
        <w:t>Reorganized WSPP Agreement</w:t>
      </w:r>
    </w:p>
    <w:p>
      <w:pPr>
        <w:pStyle w:val="Normal"/>
        <w:rPr/>
      </w:pPr>
      <w:r>
        <w:rPr/>
        <w:tab/>
        <w:t>Attachment 8 – Table of Contents with cross-references</w:t>
      </w:r>
    </w:p>
    <w:p>
      <w:pPr>
        <w:pStyle w:val="Normal"/>
        <w:rPr/>
      </w:pPr>
      <w:r>
        <w:rPr/>
      </w:r>
    </w:p>
    <w:p>
      <w:pPr>
        <w:pStyle w:val="Normal"/>
        <w:rPr/>
      </w:pPr>
      <w:r>
        <w:rPr/>
        <w:t>(8)</w:t>
        <w:tab/>
        <w:t>Floating Price Language</w:t>
      </w:r>
    </w:p>
    <w:p>
      <w:pPr>
        <w:pStyle w:val="Normal"/>
        <w:rPr/>
      </w:pPr>
      <w:r>
        <w:rPr/>
        <w:tab/>
        <w:t>Attachment 9</w:t>
      </w:r>
    </w:p>
    <w:p>
      <w:pPr>
        <w:pStyle w:val="Normal"/>
        <w:rPr/>
      </w:pPr>
      <w:r>
        <w:rPr/>
      </w:r>
    </w:p>
    <w:p>
      <w:pPr>
        <w:pStyle w:val="Normal"/>
        <w:rPr/>
      </w:pPr>
      <w:r>
        <w:rPr/>
        <w:t>(9)</w:t>
        <w:tab/>
        <w:t>Umbrella Netting Agreement</w:t>
      </w:r>
    </w:p>
    <w:p>
      <w:pPr>
        <w:pStyle w:val="Normal"/>
        <w:rPr/>
      </w:pPr>
      <w:r>
        <w:rPr/>
        <w:tab/>
        <w:t>Attachment 10</w:t>
      </w:r>
    </w:p>
    <w:p>
      <w:pPr>
        <w:pStyle w:val="Normal"/>
        <w:rPr/>
      </w:pPr>
      <w:r>
        <w:rPr/>
      </w:r>
      <w:r>
        <w:br w:type="page"/>
      </w:r>
    </w:p>
    <w:p>
      <w:pPr>
        <w:pStyle w:val="Normal"/>
        <w:rPr/>
      </w:pPr>
      <w:r>
        <w:rPr/>
        <w:t>(10)</w:t>
        <w:tab/>
        <w:t>Indemnification/Suspension in the event of non-performance</w:t>
      </w:r>
    </w:p>
    <w:p>
      <w:pPr>
        <w:pStyle w:val="Normal"/>
        <w:rPr/>
      </w:pPr>
      <w:r>
        <w:rPr/>
        <w:tab/>
        <w:t>Attachment 11</w:t>
      </w:r>
    </w:p>
    <w:p>
      <w:pPr>
        <w:pStyle w:val="Normal"/>
        <w:rPr/>
      </w:pPr>
      <w:r>
        <w:rPr/>
      </w:r>
    </w:p>
    <w:p>
      <w:pPr>
        <w:pStyle w:val="Normal"/>
        <w:rPr/>
      </w:pPr>
      <w:r>
        <w:rPr/>
        <w:t>(11)</w:t>
        <w:tab/>
        <w:t>Paperless transaction confirmations</w:t>
      </w:r>
    </w:p>
    <w:p>
      <w:pPr>
        <w:pStyle w:val="Normal"/>
        <w:rPr/>
      </w:pPr>
      <w:r>
        <w:rPr/>
        <w:tab/>
        <w:t>Attachment 12</w:t>
      </w:r>
    </w:p>
    <w:p>
      <w:pPr>
        <w:pStyle w:val="Normal"/>
        <w:rPr/>
      </w:pPr>
      <w:r>
        <w:rPr/>
      </w:r>
    </w:p>
    <w:p>
      <w:pPr>
        <w:pStyle w:val="Normal"/>
        <w:rPr/>
      </w:pPr>
      <w:r>
        <w:rPr/>
      </w:r>
    </w:p>
    <w:p>
      <w:pPr>
        <w:pStyle w:val="Normal"/>
        <w:rPr/>
      </w:pPr>
      <w:r>
        <w:rPr/>
      </w:r>
    </w:p>
    <w:p>
      <w:pPr>
        <w:pStyle w:val="Normal"/>
        <w:rPr/>
      </w:pPr>
      <w:r>
        <w:rPr/>
      </w:r>
    </w:p>
    <w:p>
      <w:pPr>
        <w:pStyle w:val="Normal"/>
        <w:rPr>
          <w:sz w:val="20"/>
        </w:rPr>
      </w:pPr>
      <w:r>
        <w:rPr>
          <w:sz w:val="20"/>
        </w:rPr>
        <w:t>wspp/wspp 8-10-01 meeting/8-10-01 meeting memo</w:t>
      </w:r>
    </w:p>
    <w:p>
      <w:pPr>
        <w:pStyle w:val="Normal"/>
        <w:rPr>
          <w:sz w:val="20"/>
        </w:rPr>
      </w:pPr>
      <w:r>
        <w:rPr>
          <w:sz w:val="20"/>
        </w:rPr>
      </w:r>
    </w:p>
    <w:sectPr>
      <w:footerReference w:type="default" r:id="rId4"/>
      <w:footerReference w:type="first" r:id="rId5"/>
      <w:type w:val="nextPage"/>
      <w:pgSz w:w="12240" w:h="15840"/>
      <w:pgMar w:left="1440" w:right="1440" w:gutter="0" w:header="0" w:top="1440" w:footer="965"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lineRule="atLeast" w:line="180" w:before="60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lineRule="atLeast" w:line="180" w:before="60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lang w:eastAsia="en-US"/>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lang w:eastAsia="en-U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lang w:eastAsia="en-U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lang w:eastAsia="en-U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lang w:eastAsia="en-U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PageNumber">
    <w:name w:val="page number"/>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jc w:val="both"/>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lang w:eastAsia="en-US"/>
    </w:rPr>
  </w:style>
  <w:style w:type="paragraph" w:styleId="TOC1">
    <w:name w:val="toc 1"/>
    <w:basedOn w:val="Normal"/>
    <w:next w:val="Normal"/>
    <w:pPr>
      <w:keepNext w:val="true"/>
      <w:keepLines/>
      <w:spacing w:before="0" w:after="240"/>
      <w:jc w:val="center"/>
    </w:pPr>
    <w:rPr>
      <w:b/>
      <w:caps/>
    </w:rPr>
  </w:style>
  <w:style w:type="paragraph" w:styleId="TOC2">
    <w:name w:val="toc 2"/>
    <w:basedOn w:val="Normal"/>
    <w:next w:val="Normal"/>
    <w:pPr>
      <w:keepNext w:val="true"/>
      <w:keepLines/>
      <w:spacing w:before="0" w:after="240"/>
      <w:ind w:hanging="720" w:start="720" w:end="0"/>
    </w:pPr>
    <w:rPr>
      <w:b/>
    </w:rPr>
  </w:style>
  <w:style w:type="paragraph" w:styleId="TOC3">
    <w:name w:val="toc 3"/>
    <w:basedOn w:val="Normal"/>
    <w:next w:val="Normal"/>
    <w:pPr>
      <w:keepNext w:val="true"/>
      <w:keepLines/>
      <w:spacing w:before="0" w:after="240"/>
      <w:ind w:hanging="720" w:start="1440" w:end="0"/>
    </w:pPr>
    <w:rPr>
      <w:b/>
    </w:rPr>
  </w:style>
  <w:style w:type="paragraph" w:styleId="TOC4">
    <w:name w:val="toc 4"/>
    <w:basedOn w:val="Normal"/>
    <w:next w:val="Normal"/>
    <w:pPr>
      <w:keepNext w:val="true"/>
      <w:keepLines/>
      <w:spacing w:before="0" w:after="240"/>
      <w:ind w:hanging="720" w:start="2160" w:end="0"/>
    </w:pPr>
    <w:rPr>
      <w:b/>
    </w:rPr>
  </w:style>
  <w:style w:type="paragraph" w:styleId="TOC5">
    <w:name w:val="toc 5"/>
    <w:basedOn w:val="Normal"/>
    <w:next w:val="Normal"/>
    <w:pPr>
      <w:keepNext w:val="true"/>
      <w:keepLines/>
      <w:spacing w:before="0" w:after="240"/>
      <w:ind w:hanging="720" w:start="2880" w:end="0"/>
    </w:pPr>
    <w:rPr>
      <w:b/>
    </w:rPr>
  </w:style>
  <w:style w:type="paragraph" w:styleId="TOC6">
    <w:name w:val="toc 6"/>
    <w:basedOn w:val="Normal"/>
    <w:next w:val="Normal"/>
    <w:pPr>
      <w:keepNext w:val="true"/>
      <w:keepLines/>
      <w:spacing w:before="0" w:after="240"/>
      <w:ind w:hanging="720" w:start="3600" w:end="0"/>
    </w:pPr>
    <w:rPr>
      <w:b/>
    </w:rPr>
  </w:style>
  <w:style w:type="paragraph" w:styleId="TOC7">
    <w:name w:val="toc 7"/>
    <w:basedOn w:val="Normal"/>
    <w:next w:val="Normal"/>
    <w:pPr>
      <w:keepNext w:val="true"/>
      <w:keepLines/>
      <w:spacing w:before="0" w:after="240"/>
      <w:ind w:hanging="720" w:start="4320" w:end="0"/>
    </w:pPr>
    <w:rPr>
      <w:b/>
    </w:rPr>
  </w:style>
  <w:style w:type="paragraph" w:styleId="TOC8">
    <w:name w:val="toc 8"/>
    <w:basedOn w:val="Normal"/>
    <w:next w:val="Normal"/>
    <w:pPr>
      <w:keepNext w:val="true"/>
      <w:keepLines/>
      <w:spacing w:before="0" w:after="240"/>
      <w:ind w:hanging="720" w:start="5040" w:end="0"/>
    </w:pPr>
    <w:rPr>
      <w:b/>
    </w:rPr>
  </w:style>
  <w:style w:type="paragraph" w:styleId="TOC9">
    <w:name w:val="toc 9"/>
    <w:basedOn w:val="Normal"/>
    <w:next w:val="Normal"/>
    <w:pPr>
      <w:keepNext w:val="true"/>
      <w:keepLines/>
      <w:spacing w:before="0" w:after="240"/>
      <w:ind w:hanging="720" w:start="5760" w:end="0"/>
    </w:pPr>
    <w:rPr>
      <w:b/>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DocumentLabel">
    <w:name w:val="Document Label"/>
    <w:basedOn w:val="Normal"/>
    <w:next w:val="Normal"/>
    <w:qFormat/>
    <w:pPr>
      <w:keepNext w:val="true"/>
      <w:keepLines/>
      <w:spacing w:lineRule="atLeast" w:line="240" w:before="400" w:after="120"/>
      <w:ind w:hanging="0" w:start="-840" w:end="0"/>
      <w:jc w:val="start"/>
    </w:pPr>
    <w:rPr>
      <w:rFonts w:ascii="Arial Black" w:hAnsi="Arial Black" w:cs="Arial Black"/>
      <w:spacing w:val="-5"/>
      <w:kern w:val="2"/>
      <w:sz w:val="96"/>
    </w:rPr>
  </w:style>
  <w:style w:type="paragraph" w:styleId="Footer">
    <w:name w:val="footer"/>
    <w:basedOn w:val="Normal"/>
    <w:pPr>
      <w:keepLines/>
      <w:tabs>
        <w:tab w:val="clear" w:pos="720"/>
        <w:tab w:val="center" w:pos="4320" w:leader="none"/>
        <w:tab w:val="right" w:pos="8640" w:leader="none"/>
      </w:tabs>
      <w:spacing w:lineRule="atLeast" w:line="180" w:before="600" w:after="0"/>
    </w:pPr>
    <w:rPr>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jc w:val="start"/>
    </w:pPr>
    <w:rPr>
      <w:rFonts w:ascii="Arial Black" w:hAnsi="Arial Black" w:cs="Arial Black"/>
      <w:spacing w:val="-15"/>
      <w:position w:val="-2"/>
      <w:sz w:val="3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Interoffice Memo.dot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2001-07-30T10:01:00Z</dcterms:created>
  <dc:creator>Winona Howard</dc:creator>
  <dc:description/>
  <dc:language>en-CA</dc:language>
  <cp:lastModifiedBy>Winona Howard</cp:lastModifiedBy>
  <cp:lastPrinted>2001-07-30T13:59:00Z</cp:lastPrinted>
  <dcterms:modified xsi:type="dcterms:W3CDTF">2001-07-30T15:29:00Z</dcterms:modified>
  <cp:revision>4</cp:revision>
  <dc:subject/>
  <dc:title>Wright &amp; Talisman, P</dc:title>
</cp:coreProperties>
</file>