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p>
      <w:pPr>
        <w:pStyle w:val="Normal"/>
        <w:rPr/>
      </w:pPr>
      <w:r>
        <w:rPr/>
      </w:r>
    </w:p>
    <w:p>
      <w:pPr>
        <w:pStyle w:val="Heading1"/>
        <w:ind w:hanging="0" w:start="0"/>
        <w:rPr/>
      </w:pPr>
      <w:r>
        <w:rPr/>
        <w:t>Response to Comments on Restructuring Roundtable Amendment to S. 2098</w:t>
      </w:r>
    </w:p>
    <w:p>
      <w:pPr>
        <w:pStyle w:val="Normal"/>
        <w:rPr>
          <w:sz w:val="28"/>
        </w:rPr>
      </w:pPr>
      <w:r>
        <w:rPr>
          <w:sz w:val="28"/>
        </w:rPr>
      </w:r>
    </w:p>
    <w:p>
      <w:pPr>
        <w:pStyle w:val="Normal"/>
        <w:numPr>
          <w:ilvl w:val="0"/>
          <w:numId w:val="2"/>
        </w:numPr>
        <w:rPr>
          <w:b/>
          <w:sz w:val="28"/>
        </w:rPr>
      </w:pPr>
      <w:r>
        <w:rPr>
          <w:b/>
          <w:sz w:val="28"/>
        </w:rPr>
        <w:t>p. 1, “The right of the States to regulate public utility service to end use customers is deeply ingrained in American jurisprudence.  Indeed, the regulation of public utilities goes to the very heart of a State’s basic police power.  See Arkansas Elec. Coop. V. Arkansas Public Service Comm’n, 461 U.S. 375 (1983).”</w:t>
      </w:r>
      <w:r>
        <w:rPr>
          <w:sz w:val="28"/>
        </w:rPr>
        <w:t xml:space="preserve">   </w:t>
      </w:r>
      <w:r>
        <w:rPr>
          <w:b/>
          <w:sz w:val="28"/>
        </w:rPr>
        <w:t>“In reality, the Roundtable Amendment overturns almost 75 years of legal and regulatory precedent….”</w:t>
      </w:r>
    </w:p>
    <w:p>
      <w:pPr>
        <w:pStyle w:val="Normal"/>
        <w:rPr>
          <w:b/>
          <w:sz w:val="28"/>
        </w:rPr>
      </w:pPr>
      <w:r>
        <w:rPr>
          <w:b/>
          <w:sz w:val="28"/>
        </w:rPr>
      </w:r>
    </w:p>
    <w:p>
      <w:pPr>
        <w:pStyle w:val="Normal"/>
        <w:rPr/>
      </w:pPr>
      <w:r>
        <w:rPr>
          <w:sz w:val="28"/>
        </w:rPr>
        <w:t xml:space="preserve">Response:  The Comments have it backwards.  The </w:t>
      </w:r>
      <w:r>
        <w:rPr>
          <w:sz w:val="28"/>
          <w:u w:val="single"/>
        </w:rPr>
        <w:t>Arkansas Coop.</w:t>
      </w:r>
      <w:r>
        <w:rPr>
          <w:sz w:val="28"/>
        </w:rPr>
        <w:t xml:space="preserve"> case is premised on the Supreme Court’s 1927 </w:t>
      </w:r>
      <w:r>
        <w:rPr>
          <w:sz w:val="28"/>
          <w:u w:val="single"/>
        </w:rPr>
        <w:t>Attleboro</w:t>
      </w:r>
      <w:r>
        <w:rPr>
          <w:sz w:val="28"/>
        </w:rPr>
        <w:t xml:space="preserve"> decision, which held that the Commerce Clause of the U.S. Constitution prohibited the Rhode Island Public Utilities Commission from regulating the rates at which a Rhode Island utility could sell power to a Massachusetts distributor.  Thus, rather than granting states the authority to regulate all aspects of utility activities, almost 75 years of legal precedent establish that the U.S. Constitution </w:t>
      </w:r>
      <w:r>
        <w:rPr>
          <w:i/>
          <w:sz w:val="28"/>
        </w:rPr>
        <w:t>prohibits</w:t>
      </w:r>
      <w:r>
        <w:rPr>
          <w:sz w:val="28"/>
        </w:rPr>
        <w:t xml:space="preserve"> states from regulating the interstate commerce portion of electric service, even though the distribution function remains the exclusive province of local regulators.  </w:t>
      </w:r>
    </w:p>
    <w:p>
      <w:pPr>
        <w:pStyle w:val="Normal"/>
        <w:rPr>
          <w:sz w:val="28"/>
        </w:rPr>
      </w:pPr>
      <w:r>
        <w:rPr>
          <w:sz w:val="28"/>
        </w:rPr>
      </w:r>
    </w:p>
    <w:p>
      <w:pPr>
        <w:pStyle w:val="Normal"/>
        <w:rPr/>
      </w:pPr>
      <w:r>
        <w:rPr>
          <w:sz w:val="28"/>
        </w:rPr>
        <w:t xml:space="preserve">Ironically,  the Comments fail to mention the sentence which follows the “police power of the States” paraphrased by the Comments from the </w:t>
      </w:r>
      <w:r>
        <w:rPr>
          <w:sz w:val="28"/>
          <w:u w:val="single"/>
        </w:rPr>
        <w:t>Arkansas Coop.</w:t>
      </w:r>
      <w:r>
        <w:rPr>
          <w:sz w:val="28"/>
        </w:rPr>
        <w:t xml:space="preserve"> case.  That sentence emphasizes the risk that state regulation can interfere with “broader national interests”:</w:t>
      </w:r>
    </w:p>
    <w:p>
      <w:pPr>
        <w:pStyle w:val="Normal"/>
        <w:rPr>
          <w:sz w:val="28"/>
        </w:rPr>
      </w:pPr>
      <w:r>
        <w:rPr>
          <w:sz w:val="28"/>
        </w:rPr>
      </w:r>
    </w:p>
    <w:p>
      <w:pPr>
        <w:pStyle w:val="Normal"/>
        <w:rPr/>
      </w:pPr>
      <w:r>
        <w:rPr>
          <w:sz w:val="28"/>
        </w:rPr>
        <w:t>“</w:t>
      </w:r>
      <w:r>
        <w:rPr>
          <w:sz w:val="28"/>
        </w:rPr>
        <w:t>On the one hand, the regulation of utilities is one of the most important of the functions traditionally associated with the police power of the States</w:t>
      </w:r>
      <w:r>
        <w:rPr>
          <w:b/>
          <w:i/>
          <w:sz w:val="28"/>
        </w:rPr>
        <w:t>.  On the other hand, the production and transmission of energy is an activity particularly likely to affect more than one State, and its effect on interstate commerce is often significant enough that uncontrolled regulation by the States can patently interfere with broader national interests.”</w:t>
      </w:r>
      <w:r>
        <w:rPr>
          <w:sz w:val="28"/>
        </w:rPr>
        <w:t xml:space="preserve"> (</w:t>
      </w:r>
      <w:r>
        <w:rPr>
          <w:sz w:val="28"/>
          <w:u w:val="single"/>
        </w:rPr>
        <w:t>Arkansas Coop</w:t>
      </w:r>
      <w:r>
        <w:rPr>
          <w:sz w:val="28"/>
        </w:rPr>
        <w:t>., 461 U.S. at 377) (citations omitted).  Thus, far from overturning long-standing legal precedent, establishing an expanded federal role in the regulation of that portion of electric service that involves transmission in interstate commerce is consistent with the bifurcated regulation of the electric power industry that the Supreme Court found, in 1927, to be mandated by the Commerce Clause of the U.S. Constitution.</w:t>
      </w:r>
    </w:p>
    <w:p>
      <w:pPr>
        <w:pStyle w:val="Normal"/>
        <w:rPr>
          <w:sz w:val="28"/>
        </w:rPr>
      </w:pPr>
      <w:r>
        <w:rPr>
          <w:sz w:val="28"/>
        </w:rPr>
      </w:r>
    </w:p>
    <w:p>
      <w:pPr>
        <w:pStyle w:val="Normal"/>
        <w:numPr>
          <w:ilvl w:val="0"/>
          <w:numId w:val="2"/>
        </w:numPr>
        <w:rPr>
          <w:b/>
          <w:sz w:val="28"/>
        </w:rPr>
      </w:pPr>
      <w:r>
        <w:rPr>
          <w:b/>
          <w:sz w:val="28"/>
        </w:rPr>
        <w:t xml:space="preserve">p. 1 “Although the transmission system is now being used to accommodate a growing wholesale market, transmission facilities remain predominately regulated at the State level….By exercising ratemaking authority over the rates for this bundled retail service, the States are able to pursue their own policies and objectives.  The proposed amendment would remove the States’ authority over the transmission component of retail rates and thereby significantly impair their ability to use retail ratemaking to attain policy goals.”  </w:t>
      </w:r>
    </w:p>
    <w:p>
      <w:pPr>
        <w:pStyle w:val="Normal"/>
        <w:rPr>
          <w:b/>
          <w:sz w:val="28"/>
        </w:rPr>
      </w:pPr>
      <w:r>
        <w:rPr>
          <w:b/>
          <w:sz w:val="28"/>
        </w:rPr>
      </w:r>
    </w:p>
    <w:p>
      <w:pPr>
        <w:pStyle w:val="Normal"/>
        <w:rPr/>
      </w:pPr>
      <w:r>
        <w:rPr>
          <w:sz w:val="28"/>
        </w:rPr>
        <w:t xml:space="preserve">Response:  As the Supreme Court recognized in the </w:t>
      </w:r>
      <w:r>
        <w:rPr>
          <w:sz w:val="28"/>
          <w:u w:val="single"/>
        </w:rPr>
        <w:t>Ark. Coop.</w:t>
      </w:r>
      <w:r>
        <w:rPr>
          <w:sz w:val="28"/>
        </w:rPr>
        <w:t xml:space="preserve"> decision cited by the Comments, uncontrolled regulation by individual States can “patently interfere with broader national interests,” especially with respect to electric power transmission, which relies on interstate power grids which do not honor state boundaries.  As described in the Summary of the Roundtable Transmission Amendment, balkanization of the grid stifles competition and interferes with efforts to expand the grid to meet regional needs.  Thus, transferring this aspect of regulation to the federal level is appropriate policy and is consistent with long-established limitations on States’ regulatory authority.</w:t>
      </w:r>
    </w:p>
    <w:p>
      <w:pPr>
        <w:pStyle w:val="Normal"/>
        <w:rPr>
          <w:sz w:val="28"/>
        </w:rPr>
      </w:pPr>
      <w:r>
        <w:rPr>
          <w:sz w:val="28"/>
        </w:rPr>
      </w:r>
    </w:p>
    <w:p>
      <w:pPr>
        <w:pStyle w:val="Normal"/>
        <w:numPr>
          <w:ilvl w:val="0"/>
          <w:numId w:val="2"/>
        </w:numPr>
        <w:rPr>
          <w:sz w:val="28"/>
        </w:rPr>
      </w:pPr>
      <w:r>
        <w:rPr>
          <w:b/>
          <w:sz w:val="28"/>
        </w:rPr>
        <w:t>p. 3  “The amendment also would require every utility to take service for all of its customers under a single rate approved by FERC.  This would mean that member utilities of a multi-state holding company would have to equalize transmission rates, which could result in a significant increase in the rates for transmission and delivered power in low-cost states.”</w:t>
      </w:r>
    </w:p>
    <w:p>
      <w:pPr>
        <w:pStyle w:val="Normal"/>
        <w:rPr>
          <w:b/>
          <w:sz w:val="28"/>
        </w:rPr>
      </w:pPr>
      <w:r>
        <w:rPr>
          <w:b/>
          <w:sz w:val="28"/>
        </w:rPr>
      </w:r>
    </w:p>
    <w:p>
      <w:pPr>
        <w:pStyle w:val="BodyText"/>
        <w:rPr/>
      </w:pPr>
      <w:r>
        <w:rPr/>
        <w:t>Response:  FERC’s policy regarding transmission rates for multi-state holding companies is to prohibit “pancaked” rates, in which multiple wheeling charges are assessed for transactions which traverse more than one utility subsidiary’s system.  However, to avoid cost-shifts from utilities with high transmission costs to those with lower costs, the FERC permits “license plate” rates, whereby the single rate charged is based on the rate of the utility where the power is delivered.  Nothing in the Roundtable Transmission Amendment would change that approach.</w:t>
      </w:r>
    </w:p>
    <w:p>
      <w:pPr>
        <w:pStyle w:val="Normal"/>
        <w:rPr>
          <w:b/>
          <w:sz w:val="28"/>
        </w:rPr>
      </w:pPr>
      <w:r>
        <w:rPr>
          <w:b/>
          <w:sz w:val="28"/>
        </w:rPr>
      </w:r>
    </w:p>
    <w:p>
      <w:pPr>
        <w:pStyle w:val="Normal"/>
        <w:rPr>
          <w:b/>
          <w:sz w:val="28"/>
        </w:rPr>
      </w:pPr>
      <w:r>
        <w:rPr>
          <w:b/>
          <w:sz w:val="28"/>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2000-06-01T14:37:00Z</dcterms:created>
  <dc:creator>Vinson &amp; Elkins L.L.P.</dc:creator>
  <dc:description/>
  <dc:language>en-CA</dc:language>
  <cp:lastModifiedBy>Vinson &amp; Elkins L.L.P.</cp:lastModifiedBy>
  <dcterms:modified xsi:type="dcterms:W3CDTF">2000-06-01T14:37:00Z</dcterms:modified>
  <cp:revision>2</cp:revision>
  <dc:subject/>
  <dc:title> </dc:title>
</cp:coreProperties>
</file>