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920" w:end="-1296"/>
        <w:rPr>
          <w:rFonts w:ascii="Arial" w:hAnsi="Arial" w:cs="Arial"/>
        </w:rPr>
      </w:pPr>
      <w:r>
        <w:rPr>
          <w:rFonts w:cs="Arial" w:ascii="Arial" w:hAnsi="Arial"/>
        </w:rPr>
      </w:r>
    </w:p>
    <w:p>
      <w:pPr>
        <w:sectPr>
          <w:headerReference w:type="default" r:id="rId2"/>
          <w:footerReference w:type="default" r:id="rId3"/>
          <w:type w:val="nextPage"/>
          <w:pgSz w:w="12240" w:h="15840"/>
          <w:pgMar w:left="2304" w:right="1526" w:gutter="0" w:header="720" w:top="776" w:footer="720" w:bottom="1440"/>
          <w:pgNumType w:fmt="decimal"/>
          <w:formProt w:val="false"/>
          <w:textDirection w:val="lrTb"/>
          <w:docGrid w:type="default" w:linePitch="360" w:charSpace="0"/>
        </w:sectPr>
      </w:pPr>
    </w:p>
    <w:p>
      <w:pPr>
        <w:pStyle w:val="Heading1"/>
        <w:tabs>
          <w:tab w:val="clear" w:pos="9360"/>
          <w:tab w:val="left" w:pos="6030" w:leader="none"/>
        </w:tabs>
        <w:rPr>
          <w:rFonts w:ascii="Arial" w:hAnsi="Arial" w:cs="Arial"/>
          <w:i/>
          <w:i/>
          <w:iCs/>
          <w:sz w:val="28"/>
          <w:u w:val="single"/>
        </w:rPr>
      </w:pPr>
      <w:r>
        <w:rPr>
          <w:rFonts w:cs="Arial" w:ascii="Arial" w:hAnsi="Arial"/>
          <w:i/>
          <w:iCs/>
          <w:sz w:val="28"/>
          <w:u w:val="single"/>
        </w:rPr>
        <w:t>DRAFT FOR DISCUSSION PURPOSES ONLY</w:t>
      </w:r>
    </w:p>
    <w:p>
      <w:pPr>
        <w:pStyle w:val="Normal"/>
        <w:rPr>
          <w:rFonts w:ascii="Arial" w:hAnsi="Arial" w:cs="Arial"/>
          <w:i/>
          <w:i/>
          <w:iCs/>
          <w:sz w:val="28"/>
          <w:u w:val="single"/>
        </w:rPr>
      </w:pPr>
      <w:r>
        <w:rPr>
          <w:rFonts w:cs="Arial" w:ascii="Arial" w:hAnsi="Arial"/>
          <w:i/>
          <w:iCs/>
          <w:sz w:val="28"/>
          <w:u w:val="single"/>
        </w:rPr>
      </w:r>
    </w:p>
    <w:p>
      <w:pPr>
        <w:pStyle w:val="Normal"/>
        <w:rPr/>
      </w:pPr>
      <w:r>
        <w:rPr/>
      </w:r>
    </w:p>
    <w:p>
      <w:pPr>
        <w:pStyle w:val="Normal"/>
        <w:rPr/>
      </w:pPr>
      <w:r>
        <w:rPr/>
      </w:r>
    </w:p>
    <w:p>
      <w:pPr>
        <w:pStyle w:val="Normal"/>
        <w:tabs>
          <w:tab w:val="clear" w:pos="720"/>
          <w:tab w:val="left" w:pos="90" w:leader="none"/>
        </w:tabs>
        <w:ind w:hanging="900" w:start="90" w:end="0"/>
        <w:rPr>
          <w:rFonts w:ascii="Arial" w:hAnsi="Arial" w:cs="Arial"/>
          <w:sz w:val="24"/>
        </w:rPr>
      </w:pPr>
      <w:r>
        <w:rPr>
          <w:rFonts w:cs="Arial" w:ascii="Arial" w:hAnsi="Arial"/>
          <w:sz w:val="18"/>
        </w:rPr>
        <w:t>Date</w:t>
      </w:r>
      <w:r>
        <w:rPr>
          <w:rFonts w:cs="Arial" w:ascii="Arial" w:hAnsi="Arial"/>
          <w:sz w:val="24"/>
        </w:rPr>
        <w:tab/>
      </w:r>
      <w:r>
        <w:fldChar w:fldCharType="begin"/>
      </w:r>
      <w:r>
        <w:rPr>
          <w:sz w:val="24"/>
          <w:rFonts w:cs="Arial" w:ascii="Arial" w:hAnsi="Arial"/>
        </w:rPr>
        <w:instrText xml:space="preserve"> FILLIN "Enter Date Here" \* MERGEFORMAT  \d "</w:instrText>
      </w:r>
      <w:r>
        <w:rPr>
          <w:rFonts w:cs="Arial" w:ascii="Arial" w:hAnsi="Arial"/>
          <w:sz w:val="24"/>
        </w:rPr>
      </w:r>
      <w:r>
        <w:rPr>
          <w:sz w:val="24"/>
          <w:rFonts w:cs="Arial" w:ascii="Arial" w:hAnsi="Arial"/>
        </w:rPr>
        <w:fldChar w:fldCharType="separate"/>
      </w:r>
      <w:r>
        <w:rPr>
          <w:rFonts w:cs="Arial" w:ascii="Arial" w:hAnsi="Arial"/>
          <w:sz w:val="24"/>
        </w:rPr>
        <w:t>November 19, 2001</w:t>
      </w:r>
      <w:r/>
      <w:r>
        <w:rPr>
          <w:sz w:val="24"/>
          <w:rFonts w:cs="Arial" w:ascii="Arial" w:hAnsi="Arial"/>
        </w:rPr>
        <w:fldChar w:fldCharType="end"/>
      </w:r>
      <w:r>
        <w:rPr>
          <w:rFonts w:cs="Arial" w:ascii="Arial" w:hAnsi="Arial"/>
          <w:sz w:val="24"/>
        </w:rPr>
      </w:r>
    </w:p>
    <w:p>
      <w:pPr>
        <w:pStyle w:val="Normal"/>
        <w:tabs>
          <w:tab w:val="clear" w:pos="720"/>
          <w:tab w:val="left" w:pos="90" w:leader="none"/>
        </w:tabs>
        <w:ind w:start="90" w:end="0"/>
        <w:rPr>
          <w:rFonts w:ascii="Arial" w:hAnsi="Arial" w:cs="Arial"/>
          <w:sz w:val="24"/>
        </w:rPr>
      </w:pPr>
      <w:r>
        <w:rPr>
          <w:rFonts w:cs="Arial" w:ascii="Arial" w:hAnsi="Arial"/>
          <w:sz w:val="24"/>
        </w:rPr>
      </w:r>
    </w:p>
    <w:p>
      <w:pPr>
        <w:pStyle w:val="Heading4"/>
        <w:ind w:hanging="900" w:start="90" w:end="0"/>
        <w:rPr>
          <w:sz w:val="24"/>
        </w:rPr>
      </w:pPr>
      <w:r>
        <w:rPr/>
        <w:t>Subject</w:t>
        <w:tab/>
      </w:r>
      <w:r>
        <w:rPr>
          <w:sz w:val="24"/>
        </w:rPr>
        <w:fldChar w:fldCharType="begin"/>
      </w:r>
      <w:r>
        <w:rPr>
          <w:sz w:val="24"/>
        </w:rPr>
        <w:instrText xml:space="preserve"> FILLIN "Enter The Subject"</w:instrText>
      </w:r>
      <w:r>
        <w:rPr>
          <w:sz w:val="24"/>
        </w:rPr>
        <w:fldChar w:fldCharType="separate"/>
      </w:r>
      <w:r>
        <w:rPr>
          <w:sz w:val="24"/>
        </w:rPr>
        <w:t>Into Product Definition and formation</w:t>
        <w:br/>
        <w:t>of Regional Transmission Organizations</w:t>
      </w:r>
      <w:r>
        <w:rPr>
          <w:sz w:val="24"/>
        </w:rPr>
        <w:fldChar w:fldCharType="end"/>
      </w:r>
    </w:p>
    <w:p>
      <w:pPr>
        <w:pStyle w:val="Normal"/>
        <w:tabs>
          <w:tab w:val="clear" w:pos="720"/>
          <w:tab w:val="left" w:pos="90" w:leader="none"/>
        </w:tabs>
        <w:ind w:start="90" w:end="0"/>
        <w:rPr>
          <w:rFonts w:ascii="Arial" w:hAnsi="Arial" w:cs="Arial"/>
          <w:b/>
          <w:sz w:val="24"/>
        </w:rPr>
      </w:pPr>
      <w:r>
        <w:rPr>
          <w:rFonts w:cs="Arial" w:ascii="Arial" w:hAnsi="Arial"/>
          <w:b/>
          <w:sz w:val="24"/>
        </w:rPr>
      </w:r>
    </w:p>
    <w:p>
      <w:pPr>
        <w:pStyle w:val="Normal"/>
        <w:tabs>
          <w:tab w:val="clear" w:pos="720"/>
          <w:tab w:val="left" w:pos="90" w:leader="none"/>
        </w:tabs>
        <w:ind w:start="90" w:end="0"/>
        <w:rPr>
          <w:rFonts w:ascii="Arial" w:hAnsi="Arial" w:cs="Arial"/>
          <w:b/>
          <w:sz w:val="24"/>
        </w:rPr>
      </w:pPr>
      <w:r>
        <w:rPr>
          <w:rFonts w:cs="Arial" w:ascii="Arial" w:hAnsi="Arial"/>
          <w:b/>
          <w:sz w:val="24"/>
        </w:rPr>
      </w:r>
    </w:p>
    <w:p>
      <w:pPr>
        <w:pStyle w:val="Normal"/>
        <w:tabs>
          <w:tab w:val="clear" w:pos="720"/>
          <w:tab w:val="left" w:pos="90" w:leader="none"/>
        </w:tabs>
        <w:ind w:hanging="900" w:start="90" w:end="0"/>
        <w:rPr>
          <w:rFonts w:ascii="Arial" w:hAnsi="Arial" w:cs="Arial"/>
          <w:sz w:val="24"/>
        </w:rPr>
      </w:pPr>
      <w:r>
        <w:rPr>
          <w:rFonts w:cs="Arial" w:ascii="Arial" w:hAnsi="Arial"/>
          <w:sz w:val="18"/>
        </w:rPr>
        <w:t>From</w:t>
        <w:tab/>
      </w:r>
      <w:r>
        <w:fldChar w:fldCharType="begin"/>
      </w:r>
      <w:r>
        <w:rPr>
          <w:sz w:val="24"/>
          <w:rFonts w:cs="Arial" w:ascii="Arial" w:hAnsi="Arial"/>
        </w:rPr>
        <w:instrText xml:space="preserve"> FILLIN "From?" \* MERGEFORMAT  \d "</w:instrText>
      </w:r>
      <w:r>
        <w:rPr>
          <w:rFonts w:cs="Arial" w:ascii="Arial" w:hAnsi="Arial"/>
          <w:sz w:val="24"/>
        </w:rPr>
      </w:r>
      <w:r>
        <w:rPr>
          <w:sz w:val="24"/>
          <w:rFonts w:cs="Arial" w:ascii="Arial" w:hAnsi="Arial"/>
        </w:rPr>
        <w:fldChar w:fldCharType="separate"/>
      </w:r>
      <w:r>
        <w:rPr>
          <w:rFonts w:cs="Arial" w:ascii="Arial" w:hAnsi="Arial"/>
          <w:sz w:val="24"/>
        </w:rPr>
        <w:t>F. M. Dutton</w:t>
      </w:r>
      <w:r/>
      <w:r>
        <w:rPr>
          <w:sz w:val="24"/>
          <w:rFonts w:cs="Arial" w:ascii="Arial" w:hAnsi="Arial"/>
        </w:rPr>
        <w:fldChar w:fldCharType="end"/>
      </w:r>
      <w:r>
        <w:rPr>
          <w:rFonts w:cs="Arial" w:ascii="Arial" w:hAnsi="Arial"/>
          <w:sz w:val="24"/>
        </w:rPr>
      </w:r>
    </w:p>
    <w:p>
      <w:pPr>
        <w:pStyle w:val="Normal"/>
        <w:tabs>
          <w:tab w:val="clear" w:pos="720"/>
          <w:tab w:val="left" w:pos="90" w:leader="none"/>
        </w:tabs>
        <w:ind w:start="90" w:end="0"/>
        <w:rPr>
          <w:rFonts w:ascii="Arial" w:hAnsi="Arial" w:cs="Arial"/>
          <w:sz w:val="24"/>
        </w:rPr>
      </w:pPr>
      <w:r>
        <w:rPr>
          <w:rFonts w:cs="Arial" w:ascii="Arial" w:hAnsi="Arial"/>
          <w:sz w:val="24"/>
        </w:rPr>
      </w:r>
    </w:p>
    <w:p>
      <w:pPr>
        <w:pStyle w:val="Normal"/>
        <w:tabs>
          <w:tab w:val="clear" w:pos="720"/>
          <w:tab w:val="left" w:pos="90" w:leader="none"/>
        </w:tabs>
        <w:ind w:hanging="900" w:start="90" w:end="0"/>
        <w:rPr>
          <w:rFonts w:ascii="Arial" w:hAnsi="Arial" w:cs="Arial"/>
          <w:sz w:val="24"/>
        </w:rPr>
      </w:pPr>
      <w:r>
        <w:rPr>
          <w:rFonts w:cs="Arial" w:ascii="Arial" w:hAnsi="Arial"/>
          <w:sz w:val="18"/>
        </w:rPr>
        <w:t>To</w:t>
        <w:tab/>
      </w:r>
      <w:r>
        <w:rPr>
          <w:rFonts w:cs="Arial" w:ascii="Arial" w:hAnsi="Arial"/>
          <w:sz w:val="24"/>
        </w:rPr>
        <w:fldChar w:fldCharType="begin"/>
      </w:r>
      <w:r>
        <w:rPr>
          <w:sz w:val="24"/>
          <w:rFonts w:cs="Arial" w:ascii="Arial" w:hAnsi="Arial"/>
        </w:rPr>
        <w:instrText xml:space="preserve"> FILLIN "To?"</w:instrText>
      </w:r>
      <w:r>
        <w:rPr>
          <w:sz w:val="24"/>
          <w:rFonts w:cs="Arial" w:ascii="Arial" w:hAnsi="Arial"/>
        </w:rPr>
        <w:fldChar w:fldCharType="separate"/>
      </w:r>
      <w:r>
        <w:rPr>
          <w:sz w:val="24"/>
          <w:rFonts w:cs="Arial" w:ascii="Arial" w:hAnsi="Arial"/>
        </w:rPr>
        <w:t>Edison Electric Institute Drafting Committee</w:t>
      </w:r>
      <w:r>
        <w:rPr>
          <w:sz w:val="24"/>
          <w:rFonts w:cs="Arial" w:ascii="Arial" w:hAnsi="Arial"/>
        </w:rPr>
        <w:fldChar w:fldCharType="end"/>
      </w:r>
    </w:p>
    <w:p>
      <w:pPr>
        <w:pStyle w:val="Normal"/>
        <w:tabs>
          <w:tab w:val="clear" w:pos="720"/>
          <w:tab w:val="left" w:pos="90" w:leader="none"/>
        </w:tabs>
        <w:ind w:start="90" w:end="0"/>
        <w:rPr>
          <w:rFonts w:ascii="Arial" w:hAnsi="Arial" w:cs="Arial"/>
          <w:sz w:val="24"/>
        </w:rPr>
      </w:pPr>
      <w:r>
        <w:rPr>
          <w:rFonts w:cs="Arial" w:ascii="Arial" w:hAnsi="Arial"/>
          <w:sz w:val="24"/>
        </w:rPr>
      </w:r>
    </w:p>
    <w:p>
      <w:pPr>
        <w:pStyle w:val="Normal"/>
        <w:tabs>
          <w:tab w:val="clear" w:pos="720"/>
          <w:tab w:val="left" w:pos="90" w:leader="none"/>
        </w:tabs>
        <w:ind w:start="90" w:end="0"/>
        <w:rPr>
          <w:rFonts w:ascii="Arial" w:hAnsi="Arial" w:cs="Arial"/>
          <w:sz w:val="24"/>
        </w:rPr>
      </w:pPr>
      <w:r>
        <w:rPr>
          <w:rFonts w:cs="Arial" w:ascii="Arial" w:hAnsi="Arial"/>
          <w:sz w:val="24"/>
        </w:rPr>
      </w:r>
    </w:p>
    <w:p>
      <w:pPr>
        <w:pStyle w:val="Normal"/>
        <w:tabs>
          <w:tab w:val="clear" w:pos="720"/>
          <w:tab w:val="left" w:pos="90" w:leader="none"/>
        </w:tabs>
        <w:ind w:start="90" w:end="0"/>
        <w:rPr>
          <w:rFonts w:ascii="Arial" w:hAnsi="Arial" w:cs="Arial"/>
          <w:sz w:val="24"/>
        </w:rPr>
      </w:pPr>
      <w:r>
        <w:rPr>
          <w:rFonts w:cs="Arial" w:ascii="Arial" w:hAnsi="Arial"/>
          <w:sz w:val="24"/>
        </w:rPr>
        <w:t xml:space="preserve">The EEI Drafting Committee is discussing the likely effect the formation of the Midwest Independent System Operator (MISO), the Alliance Regional Transmission Organization (ARTO), and the MISO and ARTO joint operations (“Super RTO”) will have on the commercial obligations under existing “Into Receiving Transmission Provider, Seller’s Daily Choice” transactions (“Into Product”) traded as defined in the EEI/NEMA Master Power Purchase &amp; Sale Agreement.  The product definition of the EEI/NEMA Agreement does not necessarily govern all existing transactions.  However, there is no other commonly accepted definition of an Into Product.  In addition to the Into Product, the EEI Drafting Committee intend to discuss how regional transmission organizations will likely affect the transmission obligations associated with other commonly traded products to a designated delivery point.  </w:t>
      </w:r>
    </w:p>
    <w:p>
      <w:pPr>
        <w:pStyle w:val="Normal"/>
        <w:tabs>
          <w:tab w:val="clear" w:pos="720"/>
          <w:tab w:val="left" w:pos="90" w:leader="none"/>
        </w:tabs>
        <w:ind w:start="90" w:end="0"/>
        <w:rPr>
          <w:rFonts w:ascii="Arial" w:hAnsi="Arial" w:cs="Arial"/>
          <w:sz w:val="24"/>
        </w:rPr>
      </w:pPr>
      <w:r>
        <w:rPr>
          <w:rFonts w:cs="Arial" w:ascii="Arial" w:hAnsi="Arial"/>
          <w:sz w:val="24"/>
        </w:rPr>
      </w:r>
    </w:p>
    <w:p>
      <w:pPr>
        <w:pStyle w:val="Normal"/>
        <w:tabs>
          <w:tab w:val="clear" w:pos="720"/>
          <w:tab w:val="left" w:pos="90" w:leader="none"/>
        </w:tabs>
        <w:ind w:start="90" w:end="0"/>
        <w:rPr>
          <w:rFonts w:ascii="Arial" w:hAnsi="Arial" w:cs="Arial"/>
          <w:sz w:val="24"/>
        </w:rPr>
      </w:pPr>
      <w:r>
        <w:rPr>
          <w:rFonts w:cs="Arial" w:ascii="Arial" w:hAnsi="Arial"/>
          <w:sz w:val="24"/>
        </w:rPr>
        <w:t>In addressing the transition to the regional transmission markets, I recommend that the EEI Drafting Committee develop and advocate a set of “Best Practices” principles to assist all market players achieve certainty and a liquid market, such as:</w:t>
      </w:r>
    </w:p>
    <w:p>
      <w:pPr>
        <w:pStyle w:val="Normal"/>
        <w:numPr>
          <w:ilvl w:val="0"/>
          <w:numId w:val="2"/>
        </w:numPr>
        <w:tabs>
          <w:tab w:val="clear" w:pos="720"/>
          <w:tab w:val="left" w:pos="90" w:leader="none"/>
        </w:tabs>
        <w:rPr>
          <w:rFonts w:ascii="Arial" w:hAnsi="Arial" w:cs="Arial"/>
          <w:sz w:val="24"/>
        </w:rPr>
      </w:pPr>
      <w:r>
        <w:rPr>
          <w:rFonts w:cs="Arial" w:ascii="Arial" w:hAnsi="Arial"/>
          <w:sz w:val="24"/>
        </w:rPr>
        <w:t>The formation of RTOs affects only the transmission environment affecting the obligations of the parties.</w:t>
      </w:r>
    </w:p>
    <w:p>
      <w:pPr>
        <w:pStyle w:val="Normal"/>
        <w:numPr>
          <w:ilvl w:val="0"/>
          <w:numId w:val="2"/>
        </w:numPr>
        <w:tabs>
          <w:tab w:val="clear" w:pos="720"/>
          <w:tab w:val="left" w:pos="90" w:leader="none"/>
        </w:tabs>
        <w:rPr>
          <w:rFonts w:ascii="Arial" w:hAnsi="Arial" w:cs="Arial"/>
          <w:sz w:val="24"/>
        </w:rPr>
      </w:pPr>
      <w:r>
        <w:rPr>
          <w:rFonts w:cs="Arial" w:ascii="Arial" w:hAnsi="Arial"/>
          <w:sz w:val="24"/>
        </w:rPr>
        <w:t>The formation of RTOs does not affect the legality, enforceability or binding nature of the existing Into Product transaction.</w:t>
      </w:r>
    </w:p>
    <w:p>
      <w:pPr>
        <w:pStyle w:val="Normal"/>
        <w:numPr>
          <w:ilvl w:val="0"/>
          <w:numId w:val="2"/>
        </w:numPr>
        <w:tabs>
          <w:tab w:val="clear" w:pos="720"/>
          <w:tab w:val="left" w:pos="90" w:leader="none"/>
        </w:tabs>
        <w:rPr>
          <w:rFonts w:ascii="Arial" w:hAnsi="Arial" w:cs="Arial"/>
          <w:sz w:val="24"/>
        </w:rPr>
      </w:pPr>
      <w:r>
        <w:rPr>
          <w:rFonts w:cs="Arial" w:ascii="Arial" w:hAnsi="Arial"/>
          <w:sz w:val="24"/>
        </w:rPr>
        <w:t>Maintain the rights, responsibilities and risk allocation as between Buyers and Sellers of the Into Product to the extent feasible within the RTO structure.</w:t>
      </w:r>
    </w:p>
    <w:p>
      <w:pPr>
        <w:pStyle w:val="Normal"/>
        <w:tabs>
          <w:tab w:val="clear" w:pos="720"/>
          <w:tab w:val="left" w:pos="90" w:leader="none"/>
        </w:tabs>
        <w:ind w:start="90" w:end="0"/>
        <w:rPr>
          <w:rFonts w:ascii="Arial" w:hAnsi="Arial" w:cs="Arial"/>
          <w:sz w:val="24"/>
        </w:rPr>
      </w:pPr>
      <w:r>
        <w:rPr>
          <w:rFonts w:cs="Arial" w:ascii="Arial" w:hAnsi="Arial"/>
          <w:sz w:val="24"/>
        </w:rPr>
      </w:r>
    </w:p>
    <w:p>
      <w:pPr>
        <w:sectPr>
          <w:type w:val="continuous"/>
          <w:pgSz w:w="12240" w:h="15840"/>
          <w:pgMar w:left="2304" w:right="1526" w:gutter="0" w:header="720" w:top="776" w:footer="720" w:bottom="1440"/>
          <w:formProt w:val="false"/>
          <w:textDirection w:val="lrTb"/>
          <w:docGrid w:type="default" w:linePitch="360" w:charSpace="0"/>
        </w:sectPr>
        <w:pStyle w:val="Normal"/>
        <w:tabs>
          <w:tab w:val="clear" w:pos="720"/>
          <w:tab w:val="left" w:pos="90" w:leader="none"/>
        </w:tabs>
        <w:ind w:start="90" w:end="0"/>
        <w:rPr>
          <w:rFonts w:ascii="Arial" w:hAnsi="Arial" w:cs="Arial"/>
          <w:sz w:val="24"/>
        </w:rPr>
      </w:pPr>
      <w:r>
        <w:rPr>
          <w:rFonts w:cs="Arial" w:ascii="Arial" w:hAnsi="Arial"/>
          <w:sz w:val="24"/>
        </w:rPr>
        <w:t>Attached is a proposed format for developing a straw man proposal based on the existing Into Cinergy Product transaction and how such transaction should be treated as of Day One under the MISO RTO.</w:t>
      </w:r>
      <w:r>
        <w:br w:type="page"/>
      </w:r>
    </w:p>
    <w:p>
      <w:pPr>
        <w:pStyle w:val="Normal"/>
        <w:tabs>
          <w:tab w:val="clear" w:pos="720"/>
          <w:tab w:val="left" w:pos="90" w:leader="none"/>
        </w:tabs>
        <w:ind w:start="90" w:end="0"/>
        <w:rPr>
          <w:rFonts w:ascii="Arial" w:hAnsi="Arial" w:cs="Arial"/>
          <w:sz w:val="24"/>
        </w:rPr>
      </w:pPr>
      <w:r>
        <w:rPr>
          <w:rFonts w:cs="Arial" w:ascii="Arial" w:hAnsi="Arial"/>
          <w:sz w:val="24"/>
        </w:rPr>
      </w:r>
    </w:p>
    <w:tbl>
      <w:tblPr>
        <w:tblW w:w="9488" w:type="dxa"/>
        <w:jc w:val="start"/>
        <w:tblInd w:w="90" w:type="dxa"/>
        <w:tblLayout w:type="fixed"/>
        <w:tblCellMar>
          <w:top w:w="0" w:type="dxa"/>
          <w:start w:w="108" w:type="dxa"/>
          <w:bottom w:w="0" w:type="dxa"/>
          <w:end w:w="108" w:type="dxa"/>
        </w:tblCellMar>
      </w:tblPr>
      <w:tblGrid>
        <w:gridCol w:w="1590"/>
        <w:gridCol w:w="53"/>
        <w:gridCol w:w="1537"/>
        <w:gridCol w:w="27"/>
        <w:gridCol w:w="1630"/>
        <w:gridCol w:w="1697"/>
        <w:gridCol w:w="1564"/>
        <w:gridCol w:w="1390"/>
      </w:tblGrid>
      <w:tr>
        <w:trPr/>
        <w:tc>
          <w:tcPr>
            <w:tcW w:w="9488"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Comparison of Into Cinergy Product and Day One of MISO RTO Transmission </w:t>
            </w:r>
          </w:p>
        </w:tc>
      </w:tr>
      <w:tr>
        <w:trPr>
          <w:trHeight w:val="410" w:hRule="atLeast"/>
        </w:trPr>
        <w:tc>
          <w:tcPr>
            <w:tcW w:w="483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Into Cinergy Product Obligations, Rights and Transmission Risk Allocation</w:t>
            </w:r>
          </w:p>
        </w:tc>
        <w:tc>
          <w:tcPr>
            <w:tcW w:w="46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MISO RTO Requirements on Day One (Start Up – Day 2 Operations)</w:t>
            </w:r>
          </w:p>
        </w:tc>
      </w:tr>
      <w:tr>
        <w:trPr>
          <w:trHeight w:val="410" w:hRule="atLeast"/>
        </w:trPr>
        <w:tc>
          <w:tcPr>
            <w:tcW w:w="15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Activity</w:t>
            </w:r>
          </w:p>
        </w:tc>
        <w:tc>
          <w:tcPr>
            <w:tcW w:w="15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65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Rationale:</w:t>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Delivery obligation</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To Designated Interface (DI) or from Control Area Generation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Receive at DI or Control Area Generation Bus bar</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Scheduling</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Day ahead by 11 AM CPT</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None</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Generation Source</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Seller’s choice from anywhere or within Cinergy </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No choice as to source of supply; </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Purchase of Transmission</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buys transmission from Source to DI; No transmission if use Cinergy generation source</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buys transmission from DI to ultimate sink or from Cinergy generation source to ultimate sink</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bl>
    <w:p>
      <w:pPr>
        <w:pStyle w:val="Normal"/>
        <w:rPr/>
      </w:pPr>
      <w:r>
        <w:rPr/>
      </w:r>
      <w:r>
        <w:br w:type="page"/>
      </w:r>
    </w:p>
    <w:p>
      <w:pPr>
        <w:pStyle w:val="Normal"/>
        <w:rPr/>
      </w:pPr>
      <w:r>
        <w:rPr/>
      </w:r>
    </w:p>
    <w:tbl>
      <w:tblPr>
        <w:tblW w:w="9488" w:type="dxa"/>
        <w:jc w:val="start"/>
        <w:tblInd w:w="90" w:type="dxa"/>
        <w:tblLayout w:type="fixed"/>
        <w:tblCellMar>
          <w:top w:w="0" w:type="dxa"/>
          <w:start w:w="108" w:type="dxa"/>
          <w:bottom w:w="0" w:type="dxa"/>
          <w:end w:w="108" w:type="dxa"/>
        </w:tblCellMar>
      </w:tblPr>
      <w:tblGrid>
        <w:gridCol w:w="1590"/>
        <w:gridCol w:w="53"/>
        <w:gridCol w:w="1602"/>
        <w:gridCol w:w="28"/>
        <w:gridCol w:w="1630"/>
        <w:gridCol w:w="1663"/>
        <w:gridCol w:w="1536"/>
        <w:gridCol w:w="1386"/>
      </w:tblGrid>
      <w:tr>
        <w:trPr/>
        <w:tc>
          <w:tcPr>
            <w:tcW w:w="9488"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Comparison of Into Cinergy Product and Day One of MISO RTO Transmission </w:t>
            </w:r>
          </w:p>
        </w:tc>
      </w:tr>
      <w:tr>
        <w:trPr>
          <w:trHeight w:val="410" w:hRule="atLeast"/>
        </w:trPr>
        <w:tc>
          <w:tcPr>
            <w:tcW w:w="4903"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Into Cinergy Product Obligations, Rights and Transmission Risk Allocation</w:t>
            </w:r>
          </w:p>
        </w:tc>
        <w:tc>
          <w:tcPr>
            <w:tcW w:w="4585"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MISO RTO Requirements on Day One (Start Up – 12/15/02)</w:t>
            </w:r>
          </w:p>
        </w:tc>
      </w:tr>
      <w:tr>
        <w:trPr>
          <w:trHeight w:val="410" w:hRule="atLeast"/>
        </w:trPr>
        <w:tc>
          <w:tcPr>
            <w:tcW w:w="15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Activity</w:t>
            </w:r>
          </w:p>
        </w:tc>
        <w:tc>
          <w:tcPr>
            <w:tcW w:w="165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65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6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5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3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Rationale:</w:t>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Use of Firm Transmission</w:t>
            </w:r>
          </w:p>
        </w:tc>
        <w:tc>
          <w:tcPr>
            <w:tcW w:w="163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Optional to Seller; If Seller’s firm transmission curtailed from GS to Cinergy, Seller re-supplies to Alternative Designated Interface (ADI) &amp; Seller pays for its transmission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Must be available to Buyer.  If Buyer’s firm transmission curtailed within Cinergy, Buyer receives at ADI &amp; Buyer pays for its transmission.  </w:t>
            </w:r>
          </w:p>
        </w:tc>
        <w:tc>
          <w:tcPr>
            <w:tcW w:w="16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Use of Non-firm Transmission </w:t>
            </w:r>
          </w:p>
        </w:tc>
        <w:tc>
          <w:tcPr>
            <w:tcW w:w="163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option. If transmission curtailed, Seller re-supplies to ADI and pays its and Buyer’s transmission.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can require Buyer to take non-firm @ Seller’s risk.  Buyer can elect non-firm @ Buyer’s risk and Seller has no re-supply obligation if transmission curtailed.</w:t>
            </w:r>
          </w:p>
        </w:tc>
        <w:tc>
          <w:tcPr>
            <w:tcW w:w="16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bl>
    <w:p>
      <w:pPr>
        <w:pStyle w:val="Normal"/>
        <w:rPr/>
      </w:pPr>
      <w:r>
        <w:br w:type="page"/>
      </w:r>
      <w:r>
        <w:rPr/>
      </w:r>
    </w:p>
    <w:tbl>
      <w:tblPr>
        <w:tblW w:w="9488" w:type="dxa"/>
        <w:jc w:val="start"/>
        <w:tblInd w:w="90" w:type="dxa"/>
        <w:tblLayout w:type="fixed"/>
        <w:tblCellMar>
          <w:top w:w="0" w:type="dxa"/>
          <w:start w:w="108" w:type="dxa"/>
          <w:bottom w:w="0" w:type="dxa"/>
          <w:end w:w="108" w:type="dxa"/>
        </w:tblCellMar>
      </w:tblPr>
      <w:tblGrid>
        <w:gridCol w:w="1590"/>
        <w:gridCol w:w="53"/>
        <w:gridCol w:w="1537"/>
        <w:gridCol w:w="27"/>
        <w:gridCol w:w="1630"/>
        <w:gridCol w:w="1697"/>
        <w:gridCol w:w="1564"/>
        <w:gridCol w:w="1390"/>
      </w:tblGrid>
      <w:tr>
        <w:trPr/>
        <w:tc>
          <w:tcPr>
            <w:tcW w:w="9488"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Comparison of Into Cinergy Product and Day One of MISO RTO Transmission </w:t>
            </w:r>
          </w:p>
        </w:tc>
      </w:tr>
      <w:tr>
        <w:trPr>
          <w:trHeight w:val="410" w:hRule="atLeast"/>
        </w:trPr>
        <w:tc>
          <w:tcPr>
            <w:tcW w:w="483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Into Cinergy Product Obligations, Rights and Transmission Risk Allocation</w:t>
            </w:r>
          </w:p>
        </w:tc>
        <w:tc>
          <w:tcPr>
            <w:tcW w:w="46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MISO RTO Requirements on Day One (Start Up – 12/15/02)</w:t>
            </w:r>
          </w:p>
        </w:tc>
      </w:tr>
      <w:tr>
        <w:trPr>
          <w:trHeight w:val="410" w:hRule="atLeast"/>
        </w:trPr>
        <w:tc>
          <w:tcPr>
            <w:tcW w:w="15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Activity</w:t>
            </w:r>
          </w:p>
        </w:tc>
        <w:tc>
          <w:tcPr>
            <w:tcW w:w="15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65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Rationale</w:t>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Transmission – Hourly Firm or Non Firm to ADI</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If day ahead firm transmission schedule sinking in Cinergy curtailed, Seller buys hourly non-firm transmission to another ADI or Cinergy generation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obtains transmission but Seller pays for such transmission</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Non-delivery to DI due to loss of GS</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Move to ADI or control area generation.  Seller pays for transmission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Receive from ADI or control area generation if transmission available</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bl>
    <w:p>
      <w:pPr>
        <w:pStyle w:val="Normal"/>
        <w:rPr/>
      </w:pPr>
      <w:r>
        <w:br w:type="page"/>
      </w:r>
      <w:r>
        <w:rPr/>
      </w:r>
    </w:p>
    <w:tbl>
      <w:tblPr>
        <w:tblW w:w="9488" w:type="dxa"/>
        <w:jc w:val="start"/>
        <w:tblInd w:w="90" w:type="dxa"/>
        <w:tblLayout w:type="fixed"/>
        <w:tblCellMar>
          <w:top w:w="0" w:type="dxa"/>
          <w:start w:w="108" w:type="dxa"/>
          <w:bottom w:w="0" w:type="dxa"/>
          <w:end w:w="108" w:type="dxa"/>
        </w:tblCellMar>
      </w:tblPr>
      <w:tblGrid>
        <w:gridCol w:w="1590"/>
        <w:gridCol w:w="53"/>
        <w:gridCol w:w="1537"/>
        <w:gridCol w:w="27"/>
        <w:gridCol w:w="1630"/>
        <w:gridCol w:w="1697"/>
        <w:gridCol w:w="1564"/>
        <w:gridCol w:w="1390"/>
      </w:tblGrid>
      <w:tr>
        <w:trPr/>
        <w:tc>
          <w:tcPr>
            <w:tcW w:w="9488"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Comparison of Into Cinergy Product and Day One of MISO RTO Transmission </w:t>
            </w:r>
          </w:p>
        </w:tc>
      </w:tr>
      <w:tr>
        <w:trPr>
          <w:trHeight w:val="410" w:hRule="atLeast"/>
        </w:trPr>
        <w:tc>
          <w:tcPr>
            <w:tcW w:w="483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Into Cinergy Product Obligations, Rights and Transmission Risk Allocation</w:t>
            </w:r>
          </w:p>
        </w:tc>
        <w:tc>
          <w:tcPr>
            <w:tcW w:w="46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MISO RTO Requirements on Day One (Start Up – 12/15/02)</w:t>
            </w:r>
          </w:p>
        </w:tc>
      </w:tr>
      <w:tr>
        <w:trPr>
          <w:trHeight w:val="410" w:hRule="atLeast"/>
        </w:trPr>
        <w:tc>
          <w:tcPr>
            <w:tcW w:w="15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Activity</w:t>
            </w:r>
          </w:p>
        </w:tc>
        <w:tc>
          <w:tcPr>
            <w:tcW w:w="15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65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Rationale</w:t>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&amp; Buyer Firm Transmission Curtailed To Cinergy</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re-supplies to ADI &amp; pays for its transmission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receives at ADI &amp; pays for its transmission</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elected non-firm transmission which was curtailed</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not obligated to re-supply</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Buyer risk of transmission curtailed &amp; pays LD </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bl>
    <w:p>
      <w:pPr>
        <w:pStyle w:val="Normal"/>
        <w:rPr/>
      </w:pPr>
      <w:r>
        <w:br w:type="page"/>
      </w:r>
      <w:r>
        <w:rPr/>
      </w:r>
    </w:p>
    <w:tbl>
      <w:tblPr>
        <w:tblW w:w="9488" w:type="dxa"/>
        <w:jc w:val="start"/>
        <w:tblInd w:w="90" w:type="dxa"/>
        <w:tblLayout w:type="fixed"/>
        <w:tblCellMar>
          <w:top w:w="0" w:type="dxa"/>
          <w:start w:w="108" w:type="dxa"/>
          <w:bottom w:w="0" w:type="dxa"/>
          <w:end w:w="108" w:type="dxa"/>
        </w:tblCellMar>
      </w:tblPr>
      <w:tblGrid>
        <w:gridCol w:w="1590"/>
        <w:gridCol w:w="53"/>
        <w:gridCol w:w="1537"/>
        <w:gridCol w:w="27"/>
        <w:gridCol w:w="1630"/>
        <w:gridCol w:w="1697"/>
        <w:gridCol w:w="1564"/>
        <w:gridCol w:w="1390"/>
      </w:tblGrid>
      <w:tr>
        <w:trPr/>
        <w:tc>
          <w:tcPr>
            <w:tcW w:w="9488"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Comparison of Into Cinergy Product and Day One of MISO RTO Transmission </w:t>
            </w:r>
          </w:p>
        </w:tc>
      </w:tr>
      <w:tr>
        <w:trPr>
          <w:trHeight w:val="410" w:hRule="atLeast"/>
        </w:trPr>
        <w:tc>
          <w:tcPr>
            <w:tcW w:w="483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Into Cinergy Product Obligations, Rights and Transmission Risk Allocation</w:t>
            </w:r>
          </w:p>
        </w:tc>
        <w:tc>
          <w:tcPr>
            <w:tcW w:w="46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MISO RTO Requirements on Day One (Start Up – 12/15/02)</w:t>
            </w:r>
          </w:p>
        </w:tc>
      </w:tr>
      <w:tr>
        <w:trPr>
          <w:trHeight w:val="410" w:hRule="atLeast"/>
        </w:trPr>
        <w:tc>
          <w:tcPr>
            <w:tcW w:w="15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Activity</w:t>
            </w:r>
          </w:p>
        </w:tc>
        <w:tc>
          <w:tcPr>
            <w:tcW w:w="15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65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Rationale</w:t>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Seller elected non-firm transmission to Cinergy, which is curtailed </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re-supplies to ADI &amp; pays for all transmission</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Buyer arranges transmission from ADI at Seller’s expense </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Transmission out of Cinergy curtailed</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has no obligation to re-supply</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liable for LD damages</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Force Majeure</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Only if no ADI &amp; no control area generation </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No transmission from ADI or bus bar in control area</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rHeight w:val="350" w:hRule="atLeast"/>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Ancillary Services </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supplies to ADI or at control area bus bar</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supplies from ADI or from bus bar to ultimate sink</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Supply of Energy Losses</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supplies to ADI or at control area bus bar</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supplies from ADI or from bus bar to ultimate sink</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Location Marginal Based Pricing/ Congestion Management Pricing</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 risk from GS to Cinergy</w:t>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 risk from Cinergy to ultimate sink</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Partial Path Transmission Service?</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p>
            <w:pPr>
              <w:pStyle w:val="Normal"/>
              <w:tabs>
                <w:tab w:val="clear" w:pos="720"/>
                <w:tab w:val="left" w:pos="90" w:leader="none"/>
              </w:tabs>
              <w:rPr>
                <w:rFonts w:ascii="Arial" w:hAnsi="Arial" w:cs="Arial"/>
                <w:sz w:val="24"/>
              </w:rPr>
            </w:pPr>
            <w:r>
              <w:rPr>
                <w:rFonts w:cs="Arial" w:ascii="Arial" w:hAnsi="Arial"/>
                <w:sz w:val="24"/>
              </w:rPr>
            </w:r>
          </w:p>
          <w:p>
            <w:pPr>
              <w:pStyle w:val="Normal"/>
              <w:tabs>
                <w:tab w:val="clear" w:pos="720"/>
                <w:tab w:val="left" w:pos="90" w:leader="none"/>
              </w:tabs>
              <w:rPr>
                <w:rFonts w:ascii="Arial" w:hAnsi="Arial" w:cs="Arial"/>
                <w:sz w:val="24"/>
              </w:rPr>
            </w:pPr>
            <w:r>
              <w:rPr>
                <w:rFonts w:cs="Arial" w:ascii="Arial" w:hAnsi="Arial"/>
                <w:sz w:val="24"/>
              </w:rPr>
            </w:r>
          </w:p>
          <w:p>
            <w:pPr>
              <w:pStyle w:val="Normal"/>
              <w:tabs>
                <w:tab w:val="clear" w:pos="720"/>
                <w:tab w:val="left" w:pos="90" w:leader="none"/>
              </w:tabs>
              <w:rPr>
                <w:rFonts w:ascii="Arial" w:hAnsi="Arial" w:cs="Arial"/>
                <w:sz w:val="24"/>
              </w:rPr>
            </w:pPr>
            <w:r>
              <w:rPr>
                <w:rFonts w:cs="Arial" w:ascii="Arial" w:hAnsi="Arial"/>
                <w:sz w:val="24"/>
              </w:rPr>
            </w:r>
          </w:p>
        </w:tc>
      </w:tr>
      <w:tr>
        <w:trPr/>
        <w:tc>
          <w:tcPr>
            <w:tcW w:w="9488" w:type="dxa"/>
            <w:gridSpan w:val="8"/>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 xml:space="preserve">Comparison of Into Cinergy Product and Day One of MISO RTO Transmission </w:t>
            </w:r>
          </w:p>
        </w:tc>
      </w:tr>
      <w:tr>
        <w:trPr>
          <w:trHeight w:val="410" w:hRule="atLeast"/>
        </w:trPr>
        <w:tc>
          <w:tcPr>
            <w:tcW w:w="4837"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Into Cinergy Product Obligations, Rights and Transmission Risk Allocation</w:t>
            </w:r>
          </w:p>
        </w:tc>
        <w:tc>
          <w:tcPr>
            <w:tcW w:w="46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MISO RTO Requirements on Day One (Start Up – 12/15/02)</w:t>
            </w:r>
          </w:p>
        </w:tc>
      </w:tr>
      <w:tr>
        <w:trPr>
          <w:trHeight w:val="410" w:hRule="atLeast"/>
        </w:trPr>
        <w:tc>
          <w:tcPr>
            <w:tcW w:w="15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Activity</w:t>
            </w:r>
          </w:p>
        </w:tc>
        <w:tc>
          <w:tcPr>
            <w:tcW w:w="159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65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Seller</w:t>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Buyer</w:t>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Rationale</w:t>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rPr>
                <w:rFonts w:ascii="Arial" w:hAnsi="Arial" w:cs="Arial"/>
                <w:sz w:val="24"/>
              </w:rPr>
            </w:pPr>
            <w:r>
              <w:rPr>
                <w:rFonts w:cs="Arial" w:ascii="Arial" w:hAnsi="Arial"/>
                <w:sz w:val="24"/>
              </w:rPr>
              <w:t>Non-firm Network Service</w:t>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r>
        <w:trPr/>
        <w:tc>
          <w:tcPr>
            <w:tcW w:w="16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6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6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5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c>
          <w:tcPr>
            <w:tcW w:w="1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0" w:leader="none"/>
              </w:tabs>
              <w:snapToGrid w:val="false"/>
              <w:rPr>
                <w:rFonts w:ascii="Arial" w:hAnsi="Arial" w:cs="Arial"/>
                <w:sz w:val="24"/>
              </w:rPr>
            </w:pPr>
            <w:r>
              <w:rPr>
                <w:rFonts w:cs="Arial" w:ascii="Arial" w:hAnsi="Arial"/>
                <w:sz w:val="24"/>
              </w:rPr>
            </w:r>
          </w:p>
        </w:tc>
      </w:tr>
    </w:tbl>
    <w:p>
      <w:pPr>
        <w:pStyle w:val="Normal"/>
        <w:tabs>
          <w:tab w:val="clear" w:pos="720"/>
          <w:tab w:val="left" w:pos="90" w:leader="none"/>
        </w:tabs>
        <w:ind w:start="90" w:end="0"/>
        <w:rPr>
          <w:rFonts w:ascii="Arial" w:hAnsi="Arial" w:cs="Arial"/>
          <w:sz w:val="24"/>
        </w:rPr>
      </w:pPr>
      <w:r>
        <w:rPr>
          <w:rFonts w:cs="Arial" w:ascii="Arial" w:hAnsi="Arial"/>
          <w:sz w:val="24"/>
        </w:rPr>
      </w:r>
    </w:p>
    <w:sectPr>
      <w:headerReference w:type="default" r:id="rId4"/>
      <w:footerReference w:type="default" r:id="rId5"/>
      <w:type w:val="nextPage"/>
      <w:pgSz w:w="12240" w:h="15840"/>
      <w:pgMar w:left="1440" w:right="1526" w:gutter="0" w:header="720" w:top="216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Roman">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90" w:leader="none"/>
      </w:tabs>
      <w:ind w:end="360"/>
      <w:jc w:val="center"/>
      <w:rPr>
        <w:rFonts w:ascii="Arial" w:hAnsi="Arial" w:cs="Arial"/>
        <w:i/>
        <w:i/>
        <w:sz w:val="24"/>
      </w:rPr>
    </w:pPr>
    <w:r>
      <w:rPr>
        <w:rFonts w:cs="Arial" w:ascii="Arial" w:hAnsi="Arial"/>
        <w:i/>
        <w:sz w:val="24"/>
      </w:rPr>
      <w:t>AEP Legal Department</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15.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8640"/>
        <w:tab w:val="center" w:pos="4320" w:leader="none"/>
        <w:tab w:val="right" w:pos="9090" w:leader="none"/>
      </w:tabs>
      <w:ind w:end="360"/>
      <w:rPr>
        <w:rFonts w:ascii="Arial" w:hAnsi="Arial" w:cs="Arial"/>
        <w:i/>
        <w:i/>
        <w:sz w:val="16"/>
      </w:rPr>
    </w:pPr>
    <w:r>
      <w:rPr>
        <w:rFonts w:cs="Arial" w:ascii="Arial" w:hAnsi="Arial"/>
        <w:i/>
        <w:sz w:val="16"/>
      </w:rPr>
      <w:t>Doc #87712.v3  Date: 11/19/2001   1:15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90" w:leader="none"/>
      </w:tabs>
      <w:ind w:start="-1260" w:end="360"/>
      <w:rPr>
        <w:rFonts w:ascii="Arial" w:hAnsi="Arial" w:cs="Arial"/>
      </w:rPr>
    </w:pPr>
    <w:r>
      <w:rPr>
        <w:rFonts w:cs="Arial" w:ascii="Arial" w:hAnsi="Arial"/>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8640"/>
        <w:tab w:val="center" w:pos="4320" w:leader="none"/>
        <w:tab w:val="right" w:pos="9090" w:leader="none"/>
      </w:tabs>
      <w:ind w:start="-1260" w:end="360"/>
      <w:rPr>
        <w:rFonts w:ascii="Arial" w:hAnsi="Arial" w:cs="Arial"/>
        <w:i/>
        <w:i/>
        <w:sz w:val="16"/>
      </w:rPr>
    </w:pPr>
    <w:r>
      <w:rPr>
        <w:rFonts w:cs="Arial" w:ascii="Arial" w:hAnsi="Arial"/>
        <w:i/>
        <w:sz w:val="16"/>
      </w:rPr>
      <w:t>Doc #87712.v3  Date: 11/19/2001   1:15 PM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lang w:val="en-CA" w:eastAsia="en-CA"/>
      </w:rPr>
    </w:pPr>
    <w:r>
      <w:rPr>
        <w:lang w:val="en-CA" w:eastAsia="en-CA"/>
      </w:rPr>
      <w:object w:dxaOrig="2940" w:dyaOrig="294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0pt;width:31.8pt;height:31.8pt;mso-wrap-distance-left:9.05pt;mso-wrap-distance-right:9.05pt;mso-position-horizontal-relative:text;mso-position-vertical-relative:text" filled="f" o:ole="">
          <v:imagedata r:id="rId2" o:title=""/>
          <w10:wrap type="topAndBottom"/>
        </v:shape>
        <o:OLEObject Type="Embed" ProgID="" ShapeID="ole_rId1" DrawAspect="Content" ObjectID="_1246439415" r:id="rId1"/>
      </w:object>
      <w:drawing>
        <wp:anchor behindDoc="0" distT="0" distB="0" distL="114935" distR="114935" simplePos="0" locked="0" layoutInCell="0" allowOverlap="1" relativeHeight="10">
          <wp:simplePos x="0" y="0"/>
          <wp:positionH relativeFrom="column">
            <wp:posOffset>3566160</wp:posOffset>
          </wp:positionH>
          <wp:positionV relativeFrom="paragraph">
            <wp:posOffset>635</wp:posOffset>
          </wp:positionV>
          <wp:extent cx="1828800" cy="696595"/>
          <wp:effectExtent l="0" t="0" r="0" b="0"/>
          <wp:wrapTopAndBottom/>
          <wp:docPr id="1" name="bw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horiz" descr="" title=""/>
                  <pic:cNvPicPr>
                    <a:picLocks noChangeAspect="1" noChangeArrowheads="1"/>
                  </pic:cNvPicPr>
                </pic:nvPicPr>
                <pic:blipFill>
                  <a:blip r:embed="rId3"/>
                  <a:srcRect l="-9" t="-23" r="-9" b="-23"/>
                  <a:stretch>
                    <a:fillRect/>
                  </a:stretch>
                </pic:blipFill>
                <pic:spPr bwMode="auto">
                  <a:xfrm>
                    <a:off x="0" y="0"/>
                    <a:ext cx="1828800" cy="696595"/>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 w:end="0"/>
      <w:rPr>
        <w:rFonts w:ascii="Arial" w:hAnsi="Arial" w:cs="Arial"/>
        <w:sz w:val="24"/>
      </w:rPr>
    </w:pPr>
    <w:r>
      <w:rPr>
        <w:rFonts w:cs="Arial" w:ascii="Arial" w:hAnsi="Arial"/>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9360" w:leader="none"/>
      </w:tabs>
      <w:ind w:hanging="0" w:start="0" w:end="-1296"/>
      <w:outlineLvl w:val="0"/>
    </w:pPr>
    <w:rPr>
      <w:b/>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4">
    <w:name w:val="heading 4"/>
    <w:basedOn w:val="Normal"/>
    <w:next w:val="Normal"/>
    <w:qFormat/>
    <w:pPr>
      <w:keepNext w:val="true"/>
      <w:numPr>
        <w:ilvl w:val="3"/>
        <w:numId w:val="1"/>
      </w:numPr>
      <w:tabs>
        <w:tab w:val="clear" w:pos="720"/>
        <w:tab w:val="left" w:pos="90" w:leader="none"/>
      </w:tabs>
      <w:ind w:hanging="0" w:start="-810" w:end="0"/>
      <w:outlineLvl w:val="3"/>
    </w:pPr>
    <w:rPr>
      <w:rFonts w:ascii="Arial" w:hAnsi="Arial" w:cs="Arial"/>
      <w:b/>
      <w:sz w:val="1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pPr>
    <w:rPr>
      <w:rFonts w:ascii="Times Roman;Times New Roman" w:hAnsi="Times Roman;Times New Roman" w:cs="Times Roman;Times New Roman"/>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Legal memo.dot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2001-11-19T15:45:00Z</dcterms:created>
  <dc:creator>F. M. Dutton</dc:creator>
  <dc:description/>
  <dc:language>en-CA</dc:language>
  <cp:lastModifiedBy>s999727</cp:lastModifiedBy>
  <cp:lastPrinted>2001-11-19T09:06:00Z</cp:lastPrinted>
  <dcterms:modified xsi:type="dcterms:W3CDTF">2001-11-19T16:24:00Z</dcterms:modified>
  <cp:revision>5</cp:revision>
  <dc:subject/>
  <dc:title> </dc:title>
</cp:coreProperties>
</file>