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320" w:leader="none"/>
        </w:tabs>
        <w:jc w:val="both"/>
        <w:rPr/>
      </w:pPr>
      <w:r>
        <w:rPr/>
        <w:tab/>
        <w:t>M E M O R A N D U M</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right" w:pos="8640" w:leader="none"/>
        </w:tabs>
        <w:ind w:hanging="3600" w:start="3600" w:end="0"/>
        <w:jc w:val="both"/>
        <w:rPr/>
      </w:pPr>
      <w:r>
        <w:rPr/>
        <w:t>TO:</w:t>
        <w:tab/>
        <w:tab/>
        <w:t>Christi Nicolay, Esq.</w:t>
      </w:r>
      <w:r>
        <w:rPr>
          <w:b/>
          <w:i/>
        </w:rPr>
        <w:tab/>
        <w:tab/>
        <w:t>BY FACSIMILE</w:t>
      </w:r>
    </w:p>
    <w:p>
      <w:pPr>
        <w:pStyle w:val="Normal"/>
        <w:widowControl/>
        <w:ind w:firstLine="1440" w:end="0"/>
        <w:jc w:val="both"/>
        <w:rPr/>
      </w:pPr>
      <w:r>
        <w:rPr/>
        <w:t>Director of Federal Regulatory Affairs,</w:t>
      </w:r>
    </w:p>
    <w:p>
      <w:pPr>
        <w:pStyle w:val="Normal"/>
        <w:widowControl/>
        <w:tabs>
          <w:tab w:val="clear" w:pos="720"/>
          <w:tab w:val="right" w:pos="8640" w:leader="none"/>
        </w:tabs>
        <w:ind w:firstLine="1440" w:end="0"/>
        <w:jc w:val="both"/>
        <w:rPr/>
      </w:pPr>
      <w:r>
        <w:rPr/>
        <w:t xml:space="preserve">    </w:t>
      </w:r>
      <w:r>
        <w:rPr/>
        <w:t>Power Trading Group</w:t>
      </w:r>
      <w:r>
        <w:rPr>
          <w:b/>
          <w:i/>
        </w:rPr>
        <w:tab/>
        <w:t>ATTORNEY/CLIENT</w:t>
      </w:r>
    </w:p>
    <w:p>
      <w:pPr>
        <w:pStyle w:val="Normal"/>
        <w:widowControl/>
        <w:tabs>
          <w:tab w:val="clear" w:pos="720"/>
          <w:tab w:val="right" w:pos="8640" w:leader="none"/>
        </w:tabs>
        <w:ind w:firstLine="1440" w:end="0"/>
        <w:jc w:val="both"/>
        <w:rPr/>
      </w:pPr>
      <w:r>
        <w:rPr/>
        <w:t>Enron Corp.</w:t>
      </w:r>
      <w:r>
        <w:rPr>
          <w:b/>
          <w:i/>
        </w:rPr>
        <w:tab/>
        <w:t xml:space="preserve"> PRIVILEGED COMMUNICATION</w:t>
      </w:r>
      <w:r>
        <w:rPr/>
        <w:t>;</w:t>
      </w:r>
    </w:p>
    <w:p>
      <w:pPr>
        <w:pStyle w:val="Normal"/>
        <w:widowControl/>
        <w:tabs>
          <w:tab w:val="clear" w:pos="720"/>
          <w:tab w:val="right" w:pos="8640" w:leader="none"/>
        </w:tabs>
        <w:jc w:val="both"/>
        <w:rPr/>
      </w:pPr>
      <w:r>
        <w:rPr/>
        <w:tab/>
      </w:r>
      <w:r>
        <w:rPr>
          <w:b/>
          <w:i/>
        </w:rPr>
        <w:t>ATTORNEY WORK PRODUCT</w:t>
      </w:r>
    </w:p>
    <w:p>
      <w:pPr>
        <w:pStyle w:val="Normal"/>
        <w:widowControl/>
        <w:tabs>
          <w:tab w:val="clear" w:pos="720"/>
          <w:tab w:val="left" w:pos="-1440" w:leader="none"/>
        </w:tabs>
        <w:ind w:hanging="1440" w:start="1440" w:end="0"/>
        <w:jc w:val="both"/>
        <w:rPr/>
      </w:pPr>
      <w:r>
        <w:rPr/>
        <w:t>FROM:</w:t>
        <w:tab/>
        <w:t>Charles H. Shoneman, Esq.</w:t>
      </w:r>
    </w:p>
    <w:p>
      <w:pPr>
        <w:pStyle w:val="Normal"/>
        <w:widowControl/>
        <w:ind w:firstLine="1440" w:end="0"/>
        <w:jc w:val="both"/>
        <w:rPr/>
      </w:pPr>
      <w:r>
        <w:rPr/>
        <w:t>Richard D. Horn, Esq.</w:t>
      </w:r>
    </w:p>
    <w:p>
      <w:pPr>
        <w:pStyle w:val="Normal"/>
        <w:widowControl/>
        <w:ind w:firstLine="1440" w:end="0"/>
        <w:jc w:val="both"/>
        <w:rPr/>
      </w:pPr>
      <w:r>
        <w:rPr/>
        <w:t>Sarah G. Novosel, Esq.</w:t>
      </w:r>
    </w:p>
    <w:p>
      <w:pPr>
        <w:pStyle w:val="Normal"/>
        <w:widowControl/>
        <w:ind w:firstLine="1440" w:end="0"/>
        <w:jc w:val="both"/>
        <w:rPr/>
      </w:pPr>
      <w:r>
        <w:rPr/>
        <w:t>Bracewell &amp; Patterson, L.L.P.</w:t>
      </w:r>
    </w:p>
    <w:p>
      <w:pPr>
        <w:pStyle w:val="Normal"/>
        <w:widowControl/>
        <w:ind w:firstLine="1440" w:end="0"/>
        <w:jc w:val="both"/>
        <w:rPr/>
      </w:pPr>
      <w:r>
        <w:rPr/>
      </w:r>
    </w:p>
    <w:p>
      <w:pPr>
        <w:pStyle w:val="Normal"/>
        <w:widowControl/>
        <w:tabs>
          <w:tab w:val="clear" w:pos="720"/>
          <w:tab w:val="left" w:pos="-1440" w:leader="none"/>
        </w:tabs>
        <w:ind w:hanging="1440" w:start="1440" w:end="0"/>
        <w:jc w:val="both"/>
        <w:rPr/>
      </w:pPr>
      <w:r>
        <w:rPr/>
        <w:t>DATE:</w:t>
        <w:tab/>
        <w:tab/>
        <w:t>December 19, 1997</w:t>
      </w:r>
    </w:p>
    <w:p>
      <w:pPr>
        <w:pStyle w:val="Normal"/>
        <w:widowControl/>
        <w:jc w:val="both"/>
        <w:rPr/>
      </w:pPr>
      <w:r>
        <w:rPr/>
      </w:r>
    </w:p>
    <w:p>
      <w:pPr>
        <w:pStyle w:val="Normal"/>
        <w:widowControl/>
        <w:tabs>
          <w:tab w:val="clear" w:pos="720"/>
          <w:tab w:val="left" w:pos="-1440" w:leader="none"/>
        </w:tabs>
        <w:ind w:hanging="1440" w:start="1440" w:end="0"/>
        <w:jc w:val="both"/>
        <w:rPr/>
      </w:pPr>
      <w:r>
        <w:rPr/>
        <w:t>RE:</w:t>
        <w:tab/>
        <w:tab/>
        <w:t>Reporting of Book Out Power Transactions in Connection with Annual Assessment of Charges under Part 382 of FERC</w:t>
      </w:r>
      <w:r>
        <w:rPr>
          <w:rFonts w:cs="WP TypographicSymbols" w:ascii="WP TypographicSymbols" w:hAnsi="WP TypographicSymbols"/>
        </w:rPr>
        <w:t>=</w:t>
      </w:r>
      <w:r>
        <w:rPr/>
        <w:t>s Regulations</w:t>
      </w:r>
    </w:p>
    <w:p>
      <w:pPr>
        <w:pStyle w:val="Normal"/>
        <w:widowControl/>
        <w:ind w:firstLine="1440" w:end="0"/>
        <w:jc w:val="both"/>
        <w:rPr/>
      </w:pPr>
      <w:r>
        <w:rPr/>
        <w:t>_____________________________________________________________</w:t>
      </w:r>
    </w:p>
    <w:p>
      <w:pPr>
        <w:pStyle w:val="Normal"/>
        <w:widowControl/>
        <w:ind w:firstLine="1440" w:end="0"/>
        <w:jc w:val="both"/>
        <w:rPr/>
      </w:pPr>
      <w:r>
        <w:rPr/>
      </w:r>
    </w:p>
    <w:p>
      <w:pPr>
        <w:pStyle w:val="Normal"/>
        <w:widowControl/>
        <w:jc w:val="both"/>
        <w:rPr/>
      </w:pPr>
      <w:r>
        <w:rPr/>
      </w:r>
    </w:p>
    <w:p>
      <w:pPr>
        <w:pStyle w:val="Level1"/>
        <w:widowControl/>
        <w:numPr>
          <w:ilvl w:val="0"/>
          <w:numId w:val="1"/>
        </w:numPr>
        <w:tabs>
          <w:tab w:val="left" w:pos="-1440" w:leader="none"/>
          <w:tab w:val="left" w:pos="720" w:leader="none"/>
        </w:tabs>
        <w:spacing w:lineRule="auto" w:line="480"/>
        <w:jc w:val="both"/>
        <w:rPr>
          <w:b w:val="false"/>
        </w:rPr>
      </w:pPr>
      <w:r>
        <w:rPr>
          <w:b w:val="false"/>
          <w:u w:val="single"/>
        </w:rPr>
        <w:t>INTRODUCTION</w:t>
      </w:r>
    </w:p>
    <w:p>
      <w:pPr>
        <w:pStyle w:val="Normal"/>
        <w:widowControl/>
        <w:ind w:firstLine="720" w:end="0"/>
        <w:jc w:val="both"/>
        <w:rPr/>
      </w:pPr>
      <w:r>
        <w:rPr/>
        <w:t xml:space="preserve">The Code of Federal Regulations, 18 C.F.R. </w:t>
      </w:r>
      <w:r>
        <w:rPr>
          <w:rFonts w:cs="WP TypographicSymbols" w:ascii="WP TypographicSymbols" w:hAnsi="WP TypographicSymbols"/>
        </w:rPr>
        <w:t>'</w:t>
      </w:r>
      <w:r>
        <w:rPr/>
        <w:t xml:space="preserve"> 382.101 </w:t>
      </w:r>
      <w:r>
        <w:rPr>
          <w:i/>
        </w:rPr>
        <w:t xml:space="preserve">et seq. </w:t>
      </w:r>
      <w:r>
        <w:rPr/>
        <w:t>(1997), codifies the procedures for the Federal Energy Regulatory Commission</w:t>
      </w:r>
      <w:r>
        <w:rPr>
          <w:rFonts w:cs="WP TypographicSymbols" w:ascii="WP TypographicSymbols" w:hAnsi="WP TypographicSymbols"/>
        </w:rPr>
        <w:t>=</w:t>
      </w:r>
      <w:r>
        <w:rPr/>
        <w:t>s (</w:t>
      </w:r>
      <w:r>
        <w:rPr>
          <w:rFonts w:cs="WP TypographicSymbols" w:ascii="WP TypographicSymbols" w:hAnsi="WP TypographicSymbols"/>
        </w:rPr>
        <w:t>A</w:t>
      </w:r>
      <w:r>
        <w:rPr/>
        <w:t>FERC</w:t>
      </w:r>
      <w:r>
        <w:rPr>
          <w:rFonts w:cs="WP TypographicSymbols" w:ascii="WP TypographicSymbols" w:hAnsi="WP TypographicSymbols"/>
        </w:rPr>
        <w:t>@</w:t>
      </w:r>
      <w:r>
        <w:rPr/>
        <w:t xml:space="preserve"> or </w:t>
      </w:r>
      <w:r>
        <w:rPr>
          <w:rFonts w:cs="WP TypographicSymbols" w:ascii="WP TypographicSymbols" w:hAnsi="WP TypographicSymbols"/>
        </w:rPr>
        <w:t>A</w:t>
      </w:r>
      <w:r>
        <w:rPr/>
        <w:t>Commission</w:t>
      </w:r>
      <w:r>
        <w:rPr>
          <w:rFonts w:cs="WP TypographicSymbols" w:ascii="WP TypographicSymbols" w:hAnsi="WP TypographicSymbols"/>
        </w:rPr>
        <w:t>@</w:t>
      </w:r>
      <w:r>
        <w:rPr/>
        <w:t xml:space="preserve">) assessment and collection of annual charges authorized by statute.  </w:t>
      </w:r>
      <w:r>
        <w:rPr>
          <w:i/>
        </w:rPr>
        <w:t>See</w:t>
      </w:r>
      <w:r>
        <w:rPr/>
        <w:t xml:space="preserve"> Omnibus Budget Reconciliation Act of 1986, 42 U.S.C. </w:t>
      </w:r>
      <w:r>
        <w:rPr>
          <w:rFonts w:cs="WP TypographicSymbols" w:ascii="WP TypographicSymbols" w:hAnsi="WP TypographicSymbols"/>
        </w:rPr>
        <w:t>'</w:t>
      </w:r>
      <w:r>
        <w:rPr/>
        <w:t> 7178 (1994).  The amount of this annual assessment is based upon the sales, transmission and exchange information supplied in connection with FERC Reporting Requirement No. 582 (</w:t>
      </w:r>
      <w:r>
        <w:rPr>
          <w:rFonts w:cs="WP TypographicSymbols" w:ascii="WP TypographicSymbols" w:hAnsi="WP TypographicSymbols"/>
        </w:rPr>
        <w:t>A</w:t>
      </w:r>
      <w:r>
        <w:rPr/>
        <w:t>Form No. 582</w:t>
      </w:r>
      <w:r>
        <w:rPr>
          <w:rFonts w:cs="WP TypographicSymbols" w:ascii="WP TypographicSymbols" w:hAnsi="WP TypographicSymbols"/>
        </w:rPr>
        <w:t>@</w:t>
      </w:r>
      <w:r>
        <w:rPr/>
        <w:t>).  We are advised that Enron Power Marketing, Inc. (</w:t>
      </w:r>
      <w:r>
        <w:rPr>
          <w:rFonts w:cs="WP TypographicSymbols" w:ascii="WP TypographicSymbols" w:hAnsi="WP TypographicSymbols"/>
        </w:rPr>
        <w:t>A</w:t>
      </w:r>
      <w:r>
        <w:rPr/>
        <w:t>EPMI</w:t>
      </w:r>
      <w:r>
        <w:rPr>
          <w:rFonts w:cs="WP TypographicSymbols" w:ascii="WP TypographicSymbols" w:hAnsi="WP TypographicSymbols"/>
        </w:rPr>
        <w:t>@</w:t>
      </w:r>
      <w:r>
        <w:rPr/>
        <w:t>) currently reports all purchase and sale transactions with traders, utilities and brokers, including: (i) transactions that result in physical delivery of power, and (ii) transactions that are booked out prior to physical delivery.  You have asked whether book out transactions, because they apparently do not involve the physical delivery of power, may properly be excluded from the calculation of annual costs.  Specifically, you have posed the following two questions:</w:t>
      </w:r>
    </w:p>
    <w:p>
      <w:pPr>
        <w:pStyle w:val="Normal"/>
        <w:widowControl/>
        <w:jc w:val="both"/>
        <w:rPr/>
      </w:pPr>
      <w:r>
        <w:rPr/>
      </w:r>
    </w:p>
    <w:p>
      <w:pPr>
        <w:sectPr>
          <w:type w:val="nextPage"/>
          <w:pgSz w:w="12240" w:h="15840"/>
          <w:pgMar w:left="1872" w:right="1728" w:gutter="0" w:header="0" w:top="1440" w:footer="0" w:bottom="864"/>
          <w:pgNumType w:fmt="decimal"/>
          <w:formProt w:val="false"/>
          <w:textDirection w:val="lrTb"/>
          <w:docGrid w:type="default" w:linePitch="360" w:charSpace="0"/>
        </w:sectPr>
      </w:pPr>
    </w:p>
    <w:p>
      <w:pPr>
        <w:pStyle w:val="Normal"/>
        <w:keepNext w:val="true"/>
        <w:keepLines/>
        <w:widowControl/>
        <w:tabs>
          <w:tab w:val="clear" w:pos="720"/>
          <w:tab w:val="left" w:pos="-1440" w:leader="none"/>
        </w:tabs>
        <w:ind w:hanging="720" w:start="1440" w:end="0"/>
        <w:jc w:val="both"/>
        <w:rPr/>
      </w:pPr>
      <w:r>
        <w:rPr/>
        <w:t>1.</w:t>
        <w:tab/>
        <w:t>What is the likelihood of success of filing an amended Form No. 582 to restate EPMI</w:t>
      </w:r>
      <w:r>
        <w:rPr>
          <w:rFonts w:cs="WP TypographicSymbols" w:ascii="WP TypographicSymbols" w:hAnsi="WP TypographicSymbols"/>
        </w:rPr>
        <w:t>=</w:t>
      </w:r>
      <w:r>
        <w:rPr/>
        <w:t>s reportable quantities, excluding quantities related to book out transactions?</w:t>
      </w:r>
    </w:p>
    <w:p>
      <w:pPr>
        <w:pStyle w:val="Normal"/>
        <w:keepNext w:val="true"/>
        <w:keepLines/>
        <w:widowControl/>
        <w:jc w:val="both"/>
        <w:rPr/>
      </w:pPr>
      <w:r>
        <w:rPr/>
      </w:r>
    </w:p>
    <w:p>
      <w:pPr>
        <w:pStyle w:val="Normal"/>
        <w:keepNext w:val="true"/>
        <w:keepLines/>
        <w:widowControl/>
        <w:tabs>
          <w:tab w:val="clear" w:pos="720"/>
          <w:tab w:val="left" w:pos="-1440" w:leader="none"/>
        </w:tabs>
        <w:ind w:hanging="720" w:start="1440" w:end="0"/>
        <w:jc w:val="both"/>
        <w:rPr/>
      </w:pPr>
      <w:r>
        <w:rPr/>
        <w:t>2.</w:t>
        <w:tab/>
        <w:t>What are the risks associated with the filing of an amended Form No. 582?</w:t>
      </w:r>
    </w:p>
    <w:p>
      <w:pPr>
        <w:pStyle w:val="Normal"/>
        <w:keepNext w:val="true"/>
        <w:keepLines/>
        <w:widowControl/>
        <w:jc w:val="both"/>
        <w:rPr/>
      </w:pPr>
      <w:r>
        <w:rPr/>
      </w:r>
    </w:p>
    <w:p>
      <w:pPr>
        <w:pStyle w:val="Level1"/>
        <w:keepNext w:val="true"/>
        <w:keepLines/>
        <w:widowControl/>
        <w:numPr>
          <w:ilvl w:val="0"/>
          <w:numId w:val="1"/>
        </w:numPr>
        <w:tabs>
          <w:tab w:val="left" w:pos="-1440" w:leader="none"/>
          <w:tab w:val="left" w:pos="720" w:leader="none"/>
        </w:tabs>
        <w:jc w:val="both"/>
        <w:rPr>
          <w:b w:val="false"/>
          <w:sz w:val="28"/>
        </w:rPr>
      </w:pPr>
      <w:r>
        <w:rPr>
          <w:b w:val="false"/>
          <w:u w:val="single"/>
        </w:rPr>
        <w:t>EXECUTIVE SUMMARY</w:t>
      </w:r>
    </w:p>
    <w:p>
      <w:pPr>
        <w:pStyle w:val="Normal"/>
        <w:keepLines/>
        <w:widowControl/>
        <w:jc w:val="both"/>
        <w:rPr>
          <w:b/>
          <w:sz w:val="28"/>
        </w:rPr>
      </w:pPr>
      <w:r>
        <w:rPr>
          <w:b/>
          <w:sz w:val="28"/>
        </w:rPr>
      </w:r>
    </w:p>
    <w:p>
      <w:pPr>
        <w:pStyle w:val="Normal"/>
        <w:widowControl/>
        <w:ind w:firstLine="720" w:end="0"/>
        <w:jc w:val="both"/>
        <w:rPr/>
      </w:pPr>
      <w:r>
        <w:rPr/>
        <w:t>Due, in all likelihood, to the relative novelty of many of the transactions now being undertaken in the electric power markets, we have found very little in the way of direct decisional authority or other sources of authoritative guidance on these questions.  Based upon our understanding of book outs, as you have explained them and as discussed below, we do not believe the Commission</w:t>
      </w:r>
      <w:r>
        <w:rPr>
          <w:rFonts w:cs="WP TypographicSymbols" w:ascii="WP TypographicSymbols" w:hAnsi="WP TypographicSymbols"/>
        </w:rPr>
        <w:t>=</w:t>
      </w:r>
      <w:r>
        <w:rPr/>
        <w:t>s annual fee regulations expressly indicate whether such transactions should be included in the pool of transactions on which annual charges are assessed. We have found one line of cases in which FERC touched on a similar question but declined to answer it.  For the reasons discussed below, we believe that EPMI can make credible arguments that book outs should not be subject to FERC</w:t>
      </w:r>
      <w:r>
        <w:rPr>
          <w:rFonts w:cs="WP TypographicSymbols" w:ascii="WP TypographicSymbols" w:hAnsi="WP TypographicSymbols"/>
        </w:rPr>
        <w:t>=</w:t>
      </w:r>
      <w:r>
        <w:rPr/>
        <w:t>s annual fees on the ground that they do not involve physical delivery or sale of power, but rather involve the transfer of consideration in satisfaction of offsetting contractual rights.  We would assess the likelihood of success in obtaining a refund or credit from filing an amended Form No. 582 as approximately 40%.</w:t>
      </w:r>
    </w:p>
    <w:p>
      <w:pPr>
        <w:pStyle w:val="Normal"/>
        <w:widowControl/>
        <w:jc w:val="both"/>
        <w:rPr/>
      </w:pPr>
      <w:r>
        <w:rPr/>
      </w:r>
    </w:p>
    <w:p>
      <w:pPr>
        <w:pStyle w:val="Normal"/>
        <w:widowControl/>
        <w:ind w:firstLine="720" w:end="0"/>
        <w:jc w:val="both"/>
        <w:rPr/>
      </w:pPr>
      <w:r>
        <w:rPr/>
        <w:t>In terms of the risk of filing, we believe that the type of filing contemplated by EPMI could potentially lead the Commission to assert jurisdiction over book outs.  Such jurisdiction would be premised on the concepts that book outs involve transactions in power sales contracts, and that FERC</w:t>
      </w:r>
      <w:r>
        <w:rPr>
          <w:rFonts w:cs="WP TypographicSymbols" w:ascii="WP TypographicSymbols" w:hAnsi="WP TypographicSymbols"/>
        </w:rPr>
        <w:t>=</w:t>
      </w:r>
      <w:r>
        <w:rPr/>
        <w:t>s jurisdiction under the Federal Power Act (</w:t>
      </w:r>
      <w:r>
        <w:rPr>
          <w:rFonts w:cs="WP TypographicSymbols" w:ascii="WP TypographicSymbols" w:hAnsi="WP TypographicSymbols"/>
        </w:rPr>
        <w:t>A</w:t>
      </w:r>
      <w:r>
        <w:rPr/>
        <w:t>FPA</w:t>
      </w:r>
      <w:r>
        <w:rPr>
          <w:rFonts w:cs="WP TypographicSymbols" w:ascii="WP TypographicSymbols" w:hAnsi="WP TypographicSymbols"/>
        </w:rPr>
        <w:t>@</w:t>
      </w:r>
      <w:r>
        <w:rPr/>
        <w:t xml:space="preserve">) includes authority over contracts as </w:t>
      </w:r>
      <w:r>
        <w:rPr>
          <w:rFonts w:cs="WP TypographicSymbols" w:ascii="WP TypographicSymbols" w:hAnsi="WP TypographicSymbols"/>
        </w:rPr>
        <w:t>A</w:t>
      </w:r>
      <w:r>
        <w:rPr/>
        <w:t>facilities.</w:t>
      </w:r>
      <w:r>
        <w:rPr>
          <w:rFonts w:cs="WP TypographicSymbols" w:ascii="WP TypographicSymbols" w:hAnsi="WP TypographicSymbols"/>
        </w:rPr>
        <w:t>@</w:t>
      </w:r>
      <w:r>
        <w:rPr/>
        <w:t xml:space="preserve">  Additionally, the Commission has not foreclosed the possibility that in the future it could address jurisdictional issues concerning options, swaps, forward contracts, and other risk management transactions (collectively, </w:t>
      </w:r>
      <w:r>
        <w:rPr>
          <w:rFonts w:cs="WP TypographicSymbols" w:ascii="WP TypographicSymbols" w:hAnsi="WP TypographicSymbols"/>
        </w:rPr>
        <w:t>A</w:t>
      </w:r>
      <w:r>
        <w:rPr/>
        <w:t>risk management transactions</w:t>
      </w:r>
      <w:r>
        <w:rPr>
          <w:rFonts w:cs="WP TypographicSymbols" w:ascii="WP TypographicSymbols" w:hAnsi="WP TypographicSymbols"/>
        </w:rPr>
        <w:t>@</w:t>
      </w:r>
      <w:r>
        <w:rPr/>
        <w:t>).  However, in light of applicable statutory and case law, and given the Commission</w:t>
      </w:r>
      <w:r>
        <w:rPr>
          <w:rFonts w:cs="WP TypographicSymbols" w:ascii="WP TypographicSymbols" w:hAnsi="WP TypographicSymbols"/>
        </w:rPr>
        <w:t>=</w:t>
      </w:r>
      <w:r>
        <w:rPr/>
        <w:t>s preference, as a matter of policy, for less or light-handed regulation and deference to the jurisdiction of other federal agencies, we believe that, even if the Commission elected to address the issue of risk management transactions, in the context of an amended filing by EPMI, the Commission would probably decide not to take a more restrictive or aggressive jurisdictional or regulatory approach to risk management transactions.  In the time available, we have not found other material risks associated with the filing.  In summary, we think there is approximately a 30% chance FERC could assert jurisdiction over book outs, but no greater than a 15% chance FERC might assert jurisdiction over risk management transactions.</w:t>
      </w:r>
    </w:p>
    <w:p>
      <w:pPr>
        <w:pStyle w:val="Normal"/>
        <w:widowControl/>
        <w:jc w:val="both"/>
        <w:rPr/>
      </w:pPr>
      <w:r>
        <w:rPr/>
      </w:r>
    </w:p>
    <w:p>
      <w:pPr>
        <w:sectPr>
          <w:type w:val="continuous"/>
          <w:pgSz w:w="12240" w:h="15840"/>
          <w:pgMar w:left="1872" w:right="1728" w:gutter="0" w:header="0" w:top="1440" w:footer="0" w:bottom="864"/>
          <w:formProt w:val="false"/>
          <w:textDirection w:val="lrTb"/>
          <w:docGrid w:type="default" w:linePitch="360" w:charSpace="0"/>
        </w:sectPr>
      </w:pPr>
    </w:p>
    <w:p>
      <w:pPr>
        <w:pStyle w:val="Level1"/>
        <w:keepNext w:val="true"/>
        <w:keepLines/>
        <w:widowControl/>
        <w:numPr>
          <w:ilvl w:val="0"/>
          <w:numId w:val="1"/>
        </w:numPr>
        <w:tabs>
          <w:tab w:val="left" w:pos="-1440" w:leader="none"/>
          <w:tab w:val="left" w:pos="720" w:leader="none"/>
        </w:tabs>
        <w:jc w:val="both"/>
        <w:rPr>
          <w:b w:val="false"/>
        </w:rPr>
      </w:pPr>
      <w:r>
        <w:rPr>
          <w:b w:val="false"/>
        </w:rPr>
        <w:t xml:space="preserve"> </w:t>
      </w:r>
      <w:r>
        <w:rPr>
          <w:b w:val="false"/>
          <w:u w:val="single"/>
        </w:rPr>
        <w:t>BACKGROUND</w:t>
      </w:r>
    </w:p>
    <w:p>
      <w:pPr>
        <w:pStyle w:val="Normal"/>
        <w:keepNext w:val="true"/>
        <w:keepLines/>
        <w:widowControl/>
        <w:jc w:val="both"/>
        <w:rPr>
          <w:b/>
        </w:rPr>
      </w:pPr>
      <w:r>
        <w:rPr>
          <w:b/>
        </w:rPr>
      </w:r>
    </w:p>
    <w:p>
      <w:pPr>
        <w:pStyle w:val="Level2"/>
        <w:keepNext w:val="true"/>
        <w:keepLines/>
        <w:widowControl/>
        <w:numPr>
          <w:ilvl w:val="1"/>
          <w:numId w:val="1"/>
        </w:numPr>
        <w:tabs>
          <w:tab w:val="left" w:pos="-1440" w:leader="none"/>
          <w:tab w:val="left" w:pos="1440" w:leader="none"/>
        </w:tabs>
        <w:jc w:val="both"/>
        <w:rPr>
          <w:b w:val="false"/>
        </w:rPr>
      </w:pPr>
      <w:r>
        <w:rPr>
          <w:b w:val="false"/>
        </w:rPr>
        <w:t>Commission Authority to Assess and Collect Annual Charges</w:t>
      </w:r>
    </w:p>
    <w:p>
      <w:pPr>
        <w:pStyle w:val="Normal"/>
        <w:keepNext w:val="true"/>
        <w:keepLines/>
        <w:widowControl/>
        <w:jc w:val="both"/>
        <w:rPr>
          <w:b/>
        </w:rPr>
      </w:pPr>
      <w:r>
        <w:rPr>
          <w:b/>
        </w:rPr>
      </w:r>
    </w:p>
    <w:p>
      <w:pPr>
        <w:pStyle w:val="Normal"/>
        <w:keepLines/>
        <w:widowControl/>
        <w:ind w:firstLine="720" w:end="0"/>
        <w:jc w:val="both"/>
        <w:rPr/>
      </w:pPr>
      <w:r>
        <w:rPr/>
        <w:t xml:space="preserve">The Commission possesses broad authority to </w:t>
      </w:r>
      <w:r>
        <w:rPr>
          <w:rFonts w:cs="WP TypographicSymbols" w:ascii="WP TypographicSymbols" w:hAnsi="WP TypographicSymbols"/>
        </w:rPr>
        <w:t>A</w:t>
      </w:r>
      <w:r>
        <w:rPr/>
        <w:t>assess and collect fees and annual charges in any fiscal year in amounts equal to all of the costs incurred by the Commission in that fiscal year</w:t>
      </w:r>
      <w:r>
        <w:rPr>
          <w:rFonts w:cs="WP TypographicSymbols" w:ascii="WP TypographicSymbols" w:hAnsi="WP TypographicSymbols"/>
        </w:rPr>
        <w:t>@</w:t>
      </w:r>
      <w:r>
        <w:rPr/>
        <w:t xml:space="preserve">; that authority is limited only by the requirement that its assessment methodology be </w:t>
      </w:r>
      <w:r>
        <w:rPr>
          <w:rFonts w:cs="WP TypographicSymbols" w:ascii="WP TypographicSymbols" w:hAnsi="WP TypographicSymbols"/>
        </w:rPr>
        <w:t>A</w:t>
      </w:r>
      <w:r>
        <w:rPr/>
        <w:t>fair and equitable.</w:t>
      </w:r>
      <w:r>
        <w:rPr>
          <w:rFonts w:cs="WP TypographicSymbols" w:ascii="WP TypographicSymbols" w:hAnsi="WP TypographicSymbols"/>
        </w:rPr>
        <w:t>@</w:t>
      </w:r>
      <w:r>
        <w:rPr/>
        <w:t xml:space="preserve">  </w:t>
      </w:r>
      <w:r>
        <w:rPr>
          <w:i/>
        </w:rPr>
        <w:t>See</w:t>
      </w:r>
      <w:r>
        <w:rPr/>
        <w:t xml:space="preserve"> 42 U.S.C. </w:t>
      </w:r>
      <w:r>
        <w:rPr>
          <w:rFonts w:cs="WP TypographicSymbols" w:ascii="WP TypographicSymbols" w:hAnsi="WP TypographicSymbols"/>
        </w:rPr>
        <w:t>'</w:t>
      </w:r>
      <w:r>
        <w:rPr/>
        <w:t> 7178(a)(1) and (b) (1994).  To implement its assessment authority, the Commission issued Order No. 472 in 1987.</w:t>
      </w:r>
      <w:r>
        <w:rPr>
          <w:rStyle w:val="FootnoteCharacters"/>
          <w:rStyle w:val="FootnoteReference"/>
          <w:vertAlign w:val="superscript"/>
        </w:rPr>
        <w:footnoteReference w:id="2"/>
      </w:r>
      <w:r>
        <w:rPr/>
        <w:t xml:space="preserve">  In that order, </w:t>
      </w:r>
      <w:r>
        <w:rPr>
          <w:i/>
        </w:rPr>
        <w:t>inter alia</w:t>
      </w:r>
      <w:r>
        <w:rPr/>
        <w:t>, the Commission asserted authority to determine which entities should pay the charges, and set forth its procedure for computing and allocating the charges.</w:t>
      </w:r>
    </w:p>
    <w:p>
      <w:pPr>
        <w:pStyle w:val="Normal"/>
        <w:widowControl/>
        <w:jc w:val="both"/>
        <w:rPr/>
      </w:pPr>
      <w:r>
        <w:rPr/>
      </w:r>
    </w:p>
    <w:p>
      <w:pPr>
        <w:pStyle w:val="Normal"/>
        <w:widowControl/>
        <w:ind w:firstLine="720" w:end="0"/>
        <w:jc w:val="both"/>
        <w:rPr/>
      </w:pPr>
      <w:r>
        <w:rPr/>
        <w:t xml:space="preserve">For purposes of the electric regulatory program, the Commission assesses fees against </w:t>
      </w:r>
      <w:r>
        <w:rPr>
          <w:rFonts w:cs="WP TypographicSymbols" w:ascii="WP TypographicSymbols" w:hAnsi="WP TypographicSymbols"/>
        </w:rPr>
        <w:t>A</w:t>
      </w:r>
      <w:r>
        <w:rPr/>
        <w:t>public utilities,</w:t>
      </w:r>
      <w:r>
        <w:rPr>
          <w:rFonts w:cs="WP TypographicSymbols" w:ascii="WP TypographicSymbols" w:hAnsi="WP TypographicSymbols"/>
        </w:rPr>
        <w:t>@</w:t>
      </w:r>
      <w:r>
        <w:rPr/>
        <w:t xml:space="preserve"> defined as </w:t>
      </w:r>
      <w:r>
        <w:rPr>
          <w:rFonts w:cs="WP TypographicSymbols" w:ascii="WP TypographicSymbols" w:hAnsi="WP TypographicSymbols"/>
        </w:rPr>
        <w:t>A</w:t>
      </w:r>
      <w:r>
        <w:rPr/>
        <w:t xml:space="preserve">any person who owns or operates facilities subject to the jurisdiction of the Commission under Parts II and III of the Federal Power Act, and who has rate schedule(s) on file with the Commission and who is not a </w:t>
      </w:r>
      <w:r>
        <w:rPr>
          <w:rFonts w:cs="WP TypographicSymbols" w:ascii="WP TypographicSymbols" w:hAnsi="WP TypographicSymbols"/>
        </w:rPr>
        <w:t>&gt;</w:t>
      </w:r>
      <w:r>
        <w:rPr/>
        <w:t>qualifying small power producer</w:t>
      </w:r>
      <w:r>
        <w:rPr>
          <w:rFonts w:cs="WP TypographicSymbols" w:ascii="WP TypographicSymbols" w:hAnsi="WP TypographicSymbols"/>
        </w:rPr>
        <w:t>=</w:t>
      </w:r>
      <w:r>
        <w:rPr/>
        <w:t xml:space="preserve"> or a </w:t>
      </w:r>
      <w:r>
        <w:rPr>
          <w:rFonts w:cs="WP TypographicSymbols" w:ascii="WP TypographicSymbols" w:hAnsi="WP TypographicSymbols"/>
        </w:rPr>
        <w:t>&gt;</w:t>
      </w:r>
      <w:r>
        <w:rPr/>
        <w:t>qualifying cogenerator</w:t>
      </w:r>
      <w:r>
        <w:rPr>
          <w:rFonts w:cs="WP TypographicSymbols" w:ascii="WP TypographicSymbols" w:hAnsi="WP TypographicSymbols"/>
        </w:rPr>
        <w:t>=</w:t>
      </w:r>
      <w:r>
        <w:rPr/>
        <w:t xml:space="preserve"> as those terms are defined in section 3 of the Federal Power Act . . . .</w:t>
      </w:r>
      <w:r>
        <w:rPr>
          <w:rFonts w:cs="WP TypographicSymbols" w:ascii="WP TypographicSymbols" w:hAnsi="WP TypographicSymbols"/>
        </w:rPr>
        <w:t>@</w:t>
      </w:r>
      <w:r>
        <w:rPr/>
        <w:t xml:space="preserve">  18 C.F.R. </w:t>
      </w:r>
      <w:r>
        <w:rPr>
          <w:rFonts w:cs="WP TypographicSymbols" w:ascii="WP TypographicSymbols" w:hAnsi="WP TypographicSymbols"/>
        </w:rPr>
        <w:t>'</w:t>
      </w:r>
      <w:r>
        <w:rPr/>
        <w:t> 382.102 (1997).</w:t>
      </w:r>
      <w:r>
        <w:rPr>
          <w:rStyle w:val="FootnoteCharacters"/>
          <w:rStyle w:val="FootnoteReference"/>
          <w:vertAlign w:val="superscript"/>
        </w:rPr>
        <w:footnoteReference w:id="3"/>
      </w:r>
      <w:r>
        <w:rPr/>
        <w:t xml:space="preserve">  Thus, because EPMI has a rate schedule on file with the Commission and owns jurisdictional facilities (</w:t>
      </w:r>
      <w:r>
        <w:rPr>
          <w:i/>
        </w:rPr>
        <w:t xml:space="preserve">i.e., </w:t>
      </w:r>
      <w:r>
        <w:rPr/>
        <w:t>its power sales contracts), it is considered a public utility for purposes of assessing and paying annual charges.</w:t>
      </w:r>
      <w:r>
        <w:rPr>
          <w:rStyle w:val="FootnoteCharacters"/>
          <w:rStyle w:val="FootnoteReference"/>
          <w:vertAlign w:val="superscript"/>
        </w:rPr>
        <w:footnoteReference w:id="4"/>
      </w:r>
    </w:p>
    <w:p>
      <w:pPr>
        <w:pStyle w:val="Normal"/>
        <w:widowControl/>
        <w:jc w:val="both"/>
        <w:rPr/>
      </w:pPr>
      <w:r>
        <w:rPr/>
      </w:r>
    </w:p>
    <w:p>
      <w:pPr>
        <w:sectPr>
          <w:footnotePr>
            <w:numFmt w:val="decimal"/>
          </w:footnotePr>
          <w:type w:val="continuous"/>
          <w:pgSz w:w="12240" w:h="15840"/>
          <w:pgMar w:left="1872" w:right="1728" w:gutter="0" w:header="0" w:top="1440" w:footer="0" w:bottom="864"/>
          <w:formProt w:val="false"/>
          <w:textDirection w:val="lrTb"/>
          <w:docGrid w:type="default" w:linePitch="360" w:charSpace="0"/>
        </w:sectPr>
      </w:pPr>
    </w:p>
    <w:p>
      <w:pPr>
        <w:pStyle w:val="Normal"/>
        <w:widowControl/>
        <w:ind w:firstLine="720" w:end="0"/>
        <w:jc w:val="both"/>
        <w:rPr/>
      </w:pPr>
      <w:r>
        <w:rPr/>
        <w:t>Because fees are assessed on a per-transaction basis,</w:t>
      </w:r>
      <w:r>
        <w:rPr>
          <w:rStyle w:val="FootnoteCharacters"/>
          <w:rStyle w:val="FootnoteReference"/>
          <w:vertAlign w:val="superscript"/>
        </w:rPr>
        <w:footnoteReference w:id="5"/>
      </w:r>
      <w:r>
        <w:rPr/>
        <w:t xml:space="preserve"> a separate charge is incurred each time a megawatt is transmitted, sold or exchanged.  To calculate annual charges, the  FERC must first determine the total costs of its electric regulatory program.  Then, by subtracting all electric regulatory filing fee collections, the FERC determines the total collectible electric regulatory program costs.  From the data submitted on Form No. 582, FERC determines the total volumes of long-term firm sales and transmission, and short-term sales and transmission and exchanges for all public utilities, including power marketers.  The FERC divides those volumes into its collectible program costs to arrive at a unit charge per megawatt-hour for each category of sales.  Finally, the FERC multiplies the sales amounts in each category for each public utility, including each power marketer, by the respective unit charge per megawatt-hour to determine the annual charges payable by each of these entities.  18 C.F.R. </w:t>
      </w:r>
      <w:r>
        <w:rPr>
          <w:rFonts w:cs="WP TypographicSymbols" w:ascii="WP TypographicSymbols" w:hAnsi="WP TypographicSymbols"/>
        </w:rPr>
        <w:t>'</w:t>
      </w:r>
      <w:r>
        <w:rPr/>
        <w:t> 382.201.</w:t>
      </w:r>
    </w:p>
    <w:p>
      <w:pPr>
        <w:pStyle w:val="Normal"/>
        <w:widowControl/>
        <w:jc w:val="both"/>
        <w:rPr/>
      </w:pPr>
      <w:r>
        <w:rPr/>
      </w:r>
    </w:p>
    <w:p>
      <w:pPr>
        <w:pStyle w:val="Level2"/>
        <w:keepNext w:val="true"/>
        <w:keepLines/>
        <w:widowControl/>
        <w:numPr>
          <w:ilvl w:val="1"/>
          <w:numId w:val="1"/>
        </w:numPr>
        <w:tabs>
          <w:tab w:val="left" w:pos="-1440" w:leader="none"/>
          <w:tab w:val="left" w:pos="1440" w:leader="none"/>
        </w:tabs>
        <w:jc w:val="both"/>
        <w:rPr>
          <w:b w:val="false"/>
        </w:rPr>
      </w:pPr>
      <w:r>
        <w:rPr>
          <w:b w:val="false"/>
        </w:rPr>
        <w:t>EPMI Book Out Transactions</w:t>
      </w:r>
    </w:p>
    <w:p>
      <w:pPr>
        <w:pStyle w:val="Normal"/>
        <w:keepNext w:val="true"/>
        <w:keepLines/>
        <w:widowControl/>
        <w:jc w:val="both"/>
        <w:rPr>
          <w:b/>
        </w:rPr>
      </w:pPr>
      <w:r>
        <w:rPr>
          <w:b/>
        </w:rPr>
      </w:r>
    </w:p>
    <w:p>
      <w:pPr>
        <w:pStyle w:val="Normal"/>
        <w:keepLines/>
        <w:widowControl/>
        <w:ind w:firstLine="720" w:end="0"/>
        <w:jc w:val="both"/>
        <w:rPr/>
      </w:pPr>
      <w:r>
        <w:rPr/>
        <w:t xml:space="preserve">EPMI currently engages in many power trades which are booked out before the time at which the power is due to be physically delivered.  As you have described it, in order for a book out to occur, two separate financial transactions must occur between the same two entities.  In a book out, power obligated for delivery from entity X to entity Y, and power obligated for delivery from entity Y to entity X, are reconciled, or offset, without the actual delivery of power.  These trades often occur over the counter, with or without an intermediary. The book out cancels the need actually to deliver power.  If the two transactions are for different prices, one party will pay the difference in what is called a book out settlement.  In essence, both parties to the book out decide to satisfy their contractual rights and obligations through financial means, rather than the physical delivery performance contemplated by the underlying contracts. </w:t>
      </w:r>
    </w:p>
    <w:p>
      <w:pPr>
        <w:pStyle w:val="Normal"/>
        <w:widowControl/>
        <w:jc w:val="both"/>
        <w:rPr/>
      </w:pPr>
      <w:r>
        <w:rPr/>
      </w:r>
    </w:p>
    <w:p>
      <w:pPr>
        <w:pStyle w:val="Normal"/>
        <w:widowControl/>
        <w:ind w:firstLine="720" w:end="0"/>
        <w:jc w:val="both"/>
        <w:rPr/>
      </w:pPr>
      <w:r>
        <w:rPr/>
        <w:t xml:space="preserve">Book out transactions are apparently different from futures contracts that were determined to be outside of FERC jurisdiction in </w:t>
      </w:r>
      <w:r>
        <w:rPr>
          <w:i/>
        </w:rPr>
        <w:t>New York Mercantile Exchange</w:t>
      </w:r>
      <w:r>
        <w:rPr/>
        <w:t xml:space="preserve">, 74 FERC </w:t>
      </w:r>
      <w:r>
        <w:rPr>
          <w:rFonts w:cs="WP TypographicSymbols" w:ascii="WP TypographicSymbols" w:hAnsi="WP TypographicSymbols"/>
        </w:rPr>
        <w:t>&amp;</w:t>
      </w:r>
      <w:r>
        <w:rPr/>
        <w:t xml:space="preserve"> 61,311 (1996) (</w:t>
      </w:r>
      <w:r>
        <w:rPr>
          <w:rFonts w:cs="WP TypographicSymbols" w:ascii="WP TypographicSymbols" w:hAnsi="WP TypographicSymbols"/>
        </w:rPr>
        <w:t>A</w:t>
      </w:r>
      <w:r>
        <w:rPr>
          <w:i/>
        </w:rPr>
        <w:t>NYMEX</w:t>
      </w:r>
      <w:r>
        <w:rPr>
          <w:rFonts w:cs="WP TypographicSymbols" w:ascii="WP TypographicSymbols" w:hAnsi="WP TypographicSymbols"/>
        </w:rPr>
        <w:t>@</w:t>
      </w:r>
      <w:r>
        <w:rPr/>
        <w:t xml:space="preserve">).  </w:t>
      </w:r>
      <w:r>
        <w:rPr>
          <w:i/>
        </w:rPr>
        <w:t>NYMEX</w:t>
      </w:r>
      <w:r>
        <w:rPr/>
        <w:t xml:space="preserve"> addressed whether futures contracts, approved by the Commodity Futures Trade Commission (</w:t>
      </w:r>
      <w:r>
        <w:rPr>
          <w:rFonts w:cs="WP TypographicSymbols" w:ascii="WP TypographicSymbols" w:hAnsi="WP TypographicSymbols"/>
        </w:rPr>
        <w:t>A</w:t>
      </w:r>
      <w:r>
        <w:rPr/>
        <w:t>CFTC</w:t>
      </w:r>
      <w:r>
        <w:rPr>
          <w:rFonts w:cs="WP TypographicSymbols" w:ascii="WP TypographicSymbols" w:hAnsi="WP TypographicSymbols"/>
        </w:rPr>
        <w:t>@</w:t>
      </w:r>
      <w:r>
        <w:rPr/>
        <w:t xml:space="preserve">) for trading on a contract market (the New York Mercantile Exchange), were within FERC jurisdiction under the definition of </w:t>
      </w:r>
      <w:r>
        <w:rPr>
          <w:rFonts w:cs="WP TypographicSymbols" w:ascii="WP TypographicSymbols" w:hAnsi="WP TypographicSymbols"/>
        </w:rPr>
        <w:t>A</w:t>
      </w:r>
      <w:r>
        <w:rPr/>
        <w:t>security</w:t>
      </w:r>
      <w:r>
        <w:rPr>
          <w:rFonts w:cs="WP TypographicSymbols" w:ascii="WP TypographicSymbols" w:hAnsi="WP TypographicSymbols"/>
        </w:rPr>
        <w:t>@</w:t>
      </w:r>
      <w:r>
        <w:rPr/>
        <w:t xml:space="preserve"> in the FPA.  In </w:t>
      </w:r>
      <w:r>
        <w:rPr>
          <w:i/>
        </w:rPr>
        <w:t>NYMEX</w:t>
      </w:r>
      <w:r>
        <w:rPr/>
        <w:t>, FERC determined that the language and legislative histories of the FPA and the Commodities Exchange Act (</w:t>
      </w:r>
      <w:r>
        <w:rPr>
          <w:rFonts w:cs="WP TypographicSymbols" w:ascii="WP TypographicSymbols" w:hAnsi="WP TypographicSymbols"/>
        </w:rPr>
        <w:t>A</w:t>
      </w:r>
      <w:r>
        <w:rPr/>
        <w:t>CEA</w:t>
      </w:r>
      <w:r>
        <w:rPr>
          <w:rFonts w:cs="WP TypographicSymbols" w:ascii="WP TypographicSymbols" w:hAnsi="WP TypographicSymbols"/>
        </w:rPr>
        <w:t>@</w:t>
      </w:r>
      <w:r>
        <w:rPr/>
        <w:t>), and, in particular, the CFTC</w:t>
      </w:r>
      <w:r>
        <w:rPr>
          <w:rFonts w:cs="WP TypographicSymbols" w:ascii="WP TypographicSymbols" w:hAnsi="WP TypographicSymbols"/>
        </w:rPr>
        <w:t>=</w:t>
      </w:r>
      <w:r>
        <w:rPr/>
        <w:t>s exclusive jurisdiction over the trading of futures contracts, exempted the trading of CFTC-approved futures from FERC jurisdiction.  The Commission did point out, however, that if the electric futures contract goes to delivery, the electric energy is in interstate commerce, and the seller is a public utility, then FERC has jurisdiction at the moment of delivery and a rate schedule should be on file.  In the absence of these three conditions, however, the contract does not fall within FERC jurisdiction.</w:t>
      </w:r>
    </w:p>
    <w:p>
      <w:pPr>
        <w:pStyle w:val="Normal"/>
        <w:widowControl/>
        <w:jc w:val="both"/>
        <w:rPr/>
      </w:pPr>
      <w:r>
        <w:rPr/>
      </w:r>
    </w:p>
    <w:p>
      <w:pPr>
        <w:sectPr>
          <w:footnotePr>
            <w:numFmt w:val="decimal"/>
          </w:footnotePr>
          <w:type w:val="continuous"/>
          <w:pgSz w:w="12240" w:h="15840"/>
          <w:pgMar w:left="1872" w:right="1728" w:gutter="0" w:header="0" w:top="1440" w:footer="0" w:bottom="864"/>
          <w:formProt w:val="false"/>
          <w:textDirection w:val="lrTb"/>
          <w:docGrid w:type="default" w:linePitch="360" w:charSpace="0"/>
        </w:sectPr>
      </w:pPr>
    </w:p>
    <w:p>
      <w:pPr>
        <w:pStyle w:val="Normal"/>
        <w:widowControl/>
        <w:ind w:firstLine="720" w:end="0"/>
        <w:jc w:val="both"/>
        <w:rPr/>
      </w:pPr>
      <w:r>
        <w:rPr/>
        <w:t xml:space="preserve">The jurisdiction over futures contracts granted to the CFTC by Congress is clearly established in the statutes.  </w:t>
      </w:r>
      <w:r>
        <w:rPr>
          <w:i/>
        </w:rPr>
        <w:t>See</w:t>
      </w:r>
      <w:r>
        <w:rPr/>
        <w:t xml:space="preserve"> Mark E. Haedicke, </w:t>
      </w:r>
      <w:r>
        <w:rPr>
          <w:i/>
        </w:rPr>
        <w:t>Competitive-Based Contracts for the New Power Business</w:t>
      </w:r>
      <w:r>
        <w:rPr/>
        <w:t xml:space="preserve">, 17 Energy L.J. 103, 115-16 (1996).  The CFTC exercises exclusive regulatory jurisdiction over </w:t>
      </w:r>
      <w:r>
        <w:rPr>
          <w:rFonts w:cs="WP TypographicSymbols" w:ascii="WP TypographicSymbols" w:hAnsi="WP TypographicSymbols"/>
        </w:rPr>
        <w:t>A</w:t>
      </w:r>
      <w:r>
        <w:rPr/>
        <w:t>contracts of sale of a commodity for future delivery</w:t>
      </w:r>
      <w:r>
        <w:rPr>
          <w:rFonts w:cs="WP TypographicSymbols" w:ascii="WP TypographicSymbols" w:hAnsi="WP TypographicSymbols"/>
        </w:rPr>
        <w:t>@</w:t>
      </w:r>
      <w:r>
        <w:rPr/>
        <w:t xml:space="preserve"> (</w:t>
      </w:r>
      <w:r>
        <w:rPr>
          <w:i/>
        </w:rPr>
        <w:t>i.e.</w:t>
      </w:r>
      <w:r>
        <w:rPr/>
        <w:t xml:space="preserve">, futures contracts) and other commodity contracts. 7 U.S.C. </w:t>
      </w:r>
      <w:r>
        <w:rPr>
          <w:rFonts w:cs="WP TypographicSymbols" w:ascii="WP TypographicSymbols" w:hAnsi="WP TypographicSymbols"/>
        </w:rPr>
        <w:t>'</w:t>
      </w:r>
      <w:r>
        <w:rPr/>
        <w:t xml:space="preserve"> 2 (1994).  Transactions within CFTC</w:t>
      </w:r>
      <w:r>
        <w:rPr>
          <w:rFonts w:cs="WP TypographicSymbols" w:ascii="WP TypographicSymbols" w:hAnsi="WP TypographicSymbols"/>
        </w:rPr>
        <w:t>=</w:t>
      </w:r>
      <w:r>
        <w:rPr/>
        <w:t xml:space="preserve">s jurisdiction are unlawful unless they are conducted on or subject to the rules of a </w:t>
      </w:r>
      <w:r>
        <w:rPr>
          <w:rFonts w:cs="WP TypographicSymbols" w:ascii="WP TypographicSymbols" w:hAnsi="WP TypographicSymbols"/>
        </w:rPr>
        <w:t>A</w:t>
      </w:r>
      <w:r>
        <w:rPr/>
        <w:t>board of trade,</w:t>
      </w:r>
      <w:r>
        <w:rPr>
          <w:rFonts w:cs="WP TypographicSymbols" w:ascii="WP TypographicSymbols" w:hAnsi="WP TypographicSymbols"/>
        </w:rPr>
        <w:t>@</w:t>
      </w:r>
      <w:r>
        <w:rPr/>
        <w:t xml:space="preserve"> that is designated by the CFTC as a </w:t>
      </w:r>
      <w:r>
        <w:rPr>
          <w:rFonts w:cs="WP TypographicSymbols" w:ascii="WP TypographicSymbols" w:hAnsi="WP TypographicSymbols"/>
        </w:rPr>
        <w:t>A</w:t>
      </w:r>
      <w:r>
        <w:rPr/>
        <w:t>contract market</w:t>
      </w:r>
      <w:r>
        <w:rPr>
          <w:rFonts w:cs="WP TypographicSymbols" w:ascii="WP TypographicSymbols" w:hAnsi="WP TypographicSymbols"/>
        </w:rPr>
        <w:t>@</w:t>
      </w:r>
      <w:r>
        <w:rPr/>
        <w:t xml:space="preserve"> for a particular commodity.  </w:t>
      </w:r>
      <w:r>
        <w:rPr>
          <w:i/>
        </w:rPr>
        <w:t>Id</w:t>
      </w:r>
      <w:r>
        <w:rPr/>
        <w:t xml:space="preserve">. </w:t>
      </w:r>
      <w:r>
        <w:rPr>
          <w:rFonts w:cs="WP TypographicSymbols" w:ascii="WP TypographicSymbols" w:hAnsi="WP TypographicSymbols"/>
        </w:rPr>
        <w:t>'</w:t>
      </w:r>
      <w:r>
        <w:rPr/>
        <w:t xml:space="preserve"> 6(a)(1).  Unlike the futures contracts at issue in </w:t>
      </w:r>
      <w:r>
        <w:rPr>
          <w:i/>
        </w:rPr>
        <w:t>NYMEX</w:t>
      </w:r>
      <w:r>
        <w:rPr/>
        <w:t>, EPMI</w:t>
      </w:r>
      <w:r>
        <w:rPr>
          <w:rFonts w:cs="WP TypographicSymbols" w:ascii="WP TypographicSymbols" w:hAnsi="WP TypographicSymbols"/>
        </w:rPr>
        <w:t>=</w:t>
      </w:r>
      <w:r>
        <w:rPr/>
        <w:t>s book out transactions are not traded on the NYMEX and appear to be more akin to a trade of contractual rights for consideration, or accord and satisfaction.</w:t>
      </w:r>
      <w:r>
        <w:rPr>
          <w:rStyle w:val="FootnoteCharacters"/>
          <w:rStyle w:val="FootnoteReference"/>
          <w:vertAlign w:val="superscript"/>
        </w:rPr>
        <w:footnoteReference w:id="6"/>
      </w:r>
      <w:r>
        <w:rPr/>
        <w:t xml:space="preserve"> </w:t>
      </w:r>
    </w:p>
    <w:p>
      <w:pPr>
        <w:pStyle w:val="Normal"/>
        <w:widowControl/>
        <w:jc w:val="both"/>
        <w:rPr/>
      </w:pPr>
      <w:r>
        <w:rPr/>
      </w:r>
    </w:p>
    <w:p>
      <w:pPr>
        <w:pStyle w:val="Normal"/>
        <w:widowControl/>
        <w:ind w:firstLine="720" w:end="0"/>
        <w:jc w:val="both"/>
        <w:rPr/>
      </w:pPr>
      <w:r>
        <w:rPr/>
        <w:t>The Ninth Circuit, referring to the CFTC</w:t>
      </w:r>
      <w:r>
        <w:rPr>
          <w:rFonts w:cs="WP TypographicSymbols" w:ascii="WP TypographicSymbols" w:hAnsi="WP TypographicSymbols"/>
        </w:rPr>
        <w:t>=</w:t>
      </w:r>
      <w:r>
        <w:rPr/>
        <w:t>s conclusion that the exchange trading requirement of the CEA does not apply to forward contracts that are booked out, quoted from the CFTC</w:t>
      </w:r>
      <w:r>
        <w:rPr>
          <w:rFonts w:cs="WP TypographicSymbols" w:ascii="WP TypographicSymbols" w:hAnsi="WP TypographicSymbols"/>
        </w:rPr>
        <w:t>=</w:t>
      </w:r>
      <w:r>
        <w:rPr/>
        <w:t>s statutory interpretation describing the relationship between a book out and the underlying contracts:</w:t>
      </w:r>
    </w:p>
    <w:p>
      <w:pPr>
        <w:pStyle w:val="Normal"/>
        <w:widowControl/>
        <w:jc w:val="both"/>
        <w:rPr/>
      </w:pPr>
      <w:r>
        <w:rPr/>
      </w:r>
    </w:p>
    <w:p>
      <w:pPr>
        <w:pStyle w:val="Normal"/>
        <w:widowControl/>
        <w:ind w:start="720" w:end="720"/>
        <w:jc w:val="both"/>
        <w:rPr/>
      </w:pPr>
      <w:r>
        <w:rPr/>
        <w:t>[W]hile such agreements may extinguish a party</w:t>
      </w:r>
      <w:r>
        <w:rPr>
          <w:rFonts w:cs="WP TypographicSymbols" w:ascii="WP TypographicSymbols" w:hAnsi="WP TypographicSymbols"/>
        </w:rPr>
        <w:t>=</w:t>
      </w:r>
      <w:r>
        <w:rPr/>
        <w:t>s delivery obligation, they are separate, individually negotiated, new agreements, there is no obligation or arrangement to enter into such agreements, they are not provided for by the terms of the contracts as initially entered into, and any party that is in a position in a distribution chain that provides for the opportunity to book-out with another party or parties in the chain is nevertheless entitled to require delivery of the commodity to be made through it, as required under the contracts.</w:t>
      </w:r>
    </w:p>
    <w:p>
      <w:pPr>
        <w:pStyle w:val="Normal"/>
        <w:widowControl/>
        <w:jc w:val="both"/>
        <w:rPr/>
      </w:pPr>
      <w:r>
        <w:rPr/>
      </w:r>
    </w:p>
    <w:p>
      <w:pPr>
        <w:pStyle w:val="Normal"/>
        <w:widowControl/>
        <w:jc w:val="both"/>
        <w:rPr/>
      </w:pPr>
      <w:r>
        <w:rPr>
          <w:i/>
        </w:rPr>
        <w:t>Bybee v. A-Mark Precious Metals, Inc.</w:t>
      </w:r>
      <w:r>
        <w:rPr/>
        <w:t xml:space="preserve">, 945 F.2d 309, 314 (9th Cir. 1991) (quoting </w:t>
      </w:r>
      <w:r>
        <w:rPr>
          <w:i/>
        </w:rPr>
        <w:t>Statutory Interpretation Concerning Forward Transactions</w:t>
      </w:r>
      <w:r>
        <w:rPr/>
        <w:t xml:space="preserve">, 55 Fed. Reg. 39188, 39192 (Sept. 25, 1990)); </w:t>
      </w:r>
      <w:r>
        <w:rPr>
          <w:i/>
        </w:rPr>
        <w:t>see generally</w:t>
      </w:r>
      <w:r>
        <w:rPr/>
        <w:t xml:space="preserve"> Mark E. Haedicke, </w:t>
      </w:r>
      <w:r>
        <w:rPr>
          <w:i/>
        </w:rPr>
        <w:t>Contracts for the New Natural Gas Business</w:t>
      </w:r>
      <w:r>
        <w:rPr/>
        <w:t xml:space="preserve">, 13 Energy L.J. 313 (1992).  Accordingly, it appears that the CFTC has concluded that it has no CEA jurisdiction over forward contracts that are booked out.  </w:t>
      </w:r>
    </w:p>
    <w:p>
      <w:pPr>
        <w:pStyle w:val="Normal"/>
        <w:widowControl/>
        <w:jc w:val="both"/>
        <w:rPr/>
      </w:pPr>
      <w:r>
        <w:rPr/>
      </w:r>
    </w:p>
    <w:p>
      <w:pPr>
        <w:pStyle w:val="Level1"/>
        <w:keepNext w:val="true"/>
        <w:keepLines/>
        <w:widowControl/>
        <w:numPr>
          <w:ilvl w:val="0"/>
          <w:numId w:val="1"/>
        </w:numPr>
        <w:tabs>
          <w:tab w:val="left" w:pos="-1440" w:leader="none"/>
          <w:tab w:val="left" w:pos="720" w:leader="none"/>
        </w:tabs>
        <w:jc w:val="both"/>
        <w:rPr>
          <w:b w:val="false"/>
        </w:rPr>
      </w:pPr>
      <w:r>
        <w:rPr>
          <w:b w:val="false"/>
          <w:u w:val="single"/>
        </w:rPr>
        <w:t>DISCUSSION</w:t>
      </w:r>
    </w:p>
    <w:p>
      <w:pPr>
        <w:pStyle w:val="Normal"/>
        <w:keepNext w:val="true"/>
        <w:keepLines/>
        <w:widowControl/>
        <w:jc w:val="both"/>
        <w:rPr>
          <w:b/>
        </w:rPr>
      </w:pPr>
      <w:r>
        <w:rPr>
          <w:b/>
        </w:rPr>
      </w:r>
    </w:p>
    <w:p>
      <w:pPr>
        <w:pStyle w:val="Level2"/>
        <w:keepNext w:val="true"/>
        <w:keepLines/>
        <w:widowControl/>
        <w:numPr>
          <w:ilvl w:val="1"/>
          <w:numId w:val="1"/>
        </w:numPr>
        <w:tabs>
          <w:tab w:val="left" w:pos="-1440" w:leader="none"/>
          <w:tab w:val="left" w:pos="1440" w:leader="none"/>
        </w:tabs>
        <w:jc w:val="both"/>
        <w:rPr>
          <w:b w:val="false"/>
        </w:rPr>
      </w:pPr>
      <w:r>
        <w:rPr>
          <w:b w:val="false"/>
        </w:rPr>
        <w:t>What is the Likelihood of Success of Filing an Amended Form No. 582 to Restate EPMI</w:t>
      </w:r>
      <w:r>
        <w:rPr>
          <w:rFonts w:cs="WP TypographicSymbols" w:ascii="WP TypographicSymbols" w:hAnsi="WP TypographicSymbols"/>
          <w:b w:val="false"/>
        </w:rPr>
        <w:t>=</w:t>
      </w:r>
      <w:r>
        <w:rPr>
          <w:b w:val="false"/>
        </w:rPr>
        <w:t>s Reportable Quantities, Excluding Quantities Related to Book Out Transactions?</w:t>
      </w:r>
    </w:p>
    <w:p>
      <w:pPr>
        <w:pStyle w:val="Normal"/>
        <w:keepNext w:val="true"/>
        <w:keepLines/>
        <w:widowControl/>
        <w:jc w:val="both"/>
        <w:rPr>
          <w:b/>
        </w:rPr>
      </w:pPr>
      <w:r>
        <w:rPr>
          <w:b/>
        </w:rPr>
      </w:r>
    </w:p>
    <w:p>
      <w:pPr>
        <w:pStyle w:val="Normal"/>
        <w:keepLines/>
        <w:widowControl/>
        <w:ind w:firstLine="720" w:end="0"/>
        <w:jc w:val="both"/>
        <w:rPr/>
      </w:pPr>
      <w:r>
        <w:rPr/>
        <w:t>FERC</w:t>
      </w:r>
      <w:r>
        <w:rPr>
          <w:rFonts w:cs="WP TypographicSymbols" w:ascii="WP TypographicSymbols" w:hAnsi="WP TypographicSymbols"/>
        </w:rPr>
        <w:t>=</w:t>
      </w:r>
      <w:r>
        <w:rPr/>
        <w:t>s regulations are not altogether clear as to the specific transactions or types of transactions subject to the annual charges.  The Commission does not appear to have specifically addressed the question of whether book outs, or similar transactions that do not involve physical delivery of power, are required to be included in Form No. 582 for purposes of calculating the annual charge.</w:t>
      </w:r>
      <w:r>
        <w:rPr>
          <w:rStyle w:val="FootnoteCharacters"/>
          <w:rStyle w:val="FootnoteReference"/>
          <w:vertAlign w:val="superscript"/>
        </w:rPr>
        <w:footnoteReference w:id="7"/>
      </w:r>
      <w:r>
        <w:rPr/>
        <w:t xml:space="preserve">   </w:t>
      </w:r>
    </w:p>
    <w:p>
      <w:pPr>
        <w:sectPr>
          <w:footnotePr>
            <w:numFmt w:val="decimal"/>
          </w:footnotePr>
          <w:type w:val="continuous"/>
          <w:pgSz w:w="12240" w:h="15840"/>
          <w:pgMar w:left="1872" w:right="1728" w:gutter="0" w:header="0" w:top="1440" w:footer="0" w:bottom="864"/>
          <w:formProt w:val="false"/>
          <w:textDirection w:val="lrTb"/>
          <w:docGrid w:type="default" w:linePitch="360" w:charSpace="0"/>
        </w:sectPr>
      </w:pPr>
    </w:p>
    <w:p>
      <w:pPr>
        <w:pStyle w:val="Normal"/>
        <w:widowControl/>
        <w:ind w:firstLine="720" w:end="0"/>
        <w:jc w:val="both"/>
        <w:rPr/>
      </w:pPr>
      <w:r>
        <w:rPr/>
        <w:t xml:space="preserve">Because EPMI is considered a jurisdictional public utility, it would appear that each interstate </w:t>
      </w:r>
      <w:r>
        <w:rPr>
          <w:rFonts w:cs="WP TypographicSymbols" w:ascii="WP TypographicSymbols" w:hAnsi="WP TypographicSymbols"/>
        </w:rPr>
        <w:t>A</w:t>
      </w:r>
      <w:r>
        <w:rPr/>
        <w:t>wholesale</w:t>
      </w:r>
      <w:r>
        <w:rPr>
          <w:rFonts w:cs="WP TypographicSymbols" w:ascii="WP TypographicSymbols" w:hAnsi="WP TypographicSymbols"/>
        </w:rPr>
        <w:t>@</w:t>
      </w:r>
      <w:r>
        <w:rPr/>
        <w:t xml:space="preserve"> of electricity is properly included in the calculation of annual charges under the current methodology.  Thus the question, narrowed to its essence, is whether book out transactions are sales of power within the meaning of Part 382. </w:t>
      </w:r>
    </w:p>
    <w:p>
      <w:pPr>
        <w:pStyle w:val="Normal"/>
        <w:widowControl/>
        <w:jc w:val="both"/>
        <w:rPr/>
      </w:pPr>
      <w:r>
        <w:rPr/>
      </w:r>
    </w:p>
    <w:p>
      <w:pPr>
        <w:pStyle w:val="Normal"/>
        <w:widowControl/>
        <w:ind w:firstLine="720" w:end="0"/>
        <w:jc w:val="both"/>
        <w:rPr/>
      </w:pPr>
      <w:r>
        <w:rPr/>
        <w:t>Part 382 of FERC</w:t>
      </w:r>
      <w:r>
        <w:rPr>
          <w:rFonts w:cs="WP TypographicSymbols" w:ascii="WP TypographicSymbols" w:hAnsi="WP TypographicSymbols"/>
        </w:rPr>
        <w:t>=</w:t>
      </w:r>
      <w:r>
        <w:rPr/>
        <w:t xml:space="preserve">s regulations does not expressly define the term </w:t>
      </w:r>
      <w:r>
        <w:rPr>
          <w:rFonts w:cs="WP TypographicSymbols" w:ascii="WP TypographicSymbols" w:hAnsi="WP TypographicSymbols"/>
        </w:rPr>
        <w:t>A</w:t>
      </w:r>
      <w:r>
        <w:rPr/>
        <w:t>sale.</w:t>
      </w:r>
      <w:r>
        <w:rPr>
          <w:rFonts w:cs="WP TypographicSymbols" w:ascii="WP TypographicSymbols" w:hAnsi="WP TypographicSymbols"/>
        </w:rPr>
        <w:t>@</w:t>
      </w:r>
      <w:r>
        <w:rPr/>
        <w:t xml:space="preserve">  The FPA, 16 U.S.C. 824(d), defines the sale of electric energy at wholesale as a </w:t>
      </w:r>
      <w:r>
        <w:rPr>
          <w:rFonts w:cs="WP TypographicSymbols" w:ascii="WP TypographicSymbols" w:hAnsi="WP TypographicSymbols"/>
        </w:rPr>
        <w:t>A</w:t>
      </w:r>
      <w:r>
        <w:rPr/>
        <w:t>sale of electric energy to any person for resale.</w:t>
      </w:r>
      <w:r>
        <w:rPr>
          <w:rFonts w:cs="WP TypographicSymbols" w:ascii="WP TypographicSymbols" w:hAnsi="WP TypographicSymbols"/>
        </w:rPr>
        <w:t>@</w:t>
      </w:r>
      <w:r>
        <w:rPr/>
        <w:t xml:space="preserve">  In the time available, we have been unable to locate any FERC cases under the FPA that elaborate upon the definition of the term </w:t>
      </w:r>
      <w:r>
        <w:rPr>
          <w:rFonts w:cs="WP TypographicSymbols" w:ascii="WP TypographicSymbols" w:hAnsi="WP TypographicSymbols"/>
        </w:rPr>
        <w:t>A</w:t>
      </w:r>
      <w:r>
        <w:rPr/>
        <w:t>sale.</w:t>
      </w:r>
      <w:r>
        <w:rPr>
          <w:rFonts w:cs="WP TypographicSymbols" w:ascii="WP TypographicSymbols" w:hAnsi="WP TypographicSymbols"/>
        </w:rPr>
        <w:t>@</w:t>
      </w:r>
      <w:r>
        <w:rPr/>
        <w:t xml:space="preserve">  Our experience, however, is that FERC would take a reasonably expansive view of the term, in light of its responsibilities under the FPA to protect the public interest, and might include sales, exchanges or other transfers for value within the meaning of a </w:t>
      </w:r>
      <w:r>
        <w:rPr>
          <w:rFonts w:cs="WP TypographicSymbols" w:ascii="WP TypographicSymbols" w:hAnsi="WP TypographicSymbols"/>
        </w:rPr>
        <w:t>A</w:t>
      </w:r>
      <w:r>
        <w:rPr/>
        <w:t>sale.</w:t>
      </w:r>
      <w:r>
        <w:rPr>
          <w:rFonts w:cs="WP TypographicSymbols" w:ascii="WP TypographicSymbols" w:hAnsi="WP TypographicSymbols"/>
        </w:rPr>
        <w:t>@</w:t>
      </w:r>
      <w:r>
        <w:rPr>
          <w:rStyle w:val="FootnoteCharacters"/>
          <w:rStyle w:val="FootnoteReference"/>
          <w:vertAlign w:val="superscript"/>
        </w:rPr>
        <w:footnoteReference w:id="8"/>
      </w:r>
    </w:p>
    <w:p>
      <w:pPr>
        <w:pStyle w:val="Normal"/>
        <w:widowControl/>
        <w:jc w:val="both"/>
        <w:rPr/>
      </w:pPr>
      <w:r>
        <w:rPr/>
      </w:r>
    </w:p>
    <w:p>
      <w:pPr>
        <w:pStyle w:val="Normal"/>
        <w:widowControl/>
        <w:ind w:firstLine="720" w:end="0"/>
        <w:jc w:val="both"/>
        <w:rPr/>
      </w:pPr>
      <w:r>
        <w:rPr/>
        <w:t>The Uniform Commercial Code (</w:t>
      </w:r>
      <w:r>
        <w:rPr>
          <w:rFonts w:cs="WP TypographicSymbols" w:ascii="WP TypographicSymbols" w:hAnsi="WP TypographicSymbols"/>
        </w:rPr>
        <w:t>A</w:t>
      </w:r>
      <w:r>
        <w:rPr/>
        <w:t>UCC</w:t>
      </w:r>
      <w:r>
        <w:rPr>
          <w:rFonts w:cs="WP TypographicSymbols" w:ascii="WP TypographicSymbols" w:hAnsi="WP TypographicSymbols"/>
        </w:rPr>
        <w:t>@</w:t>
      </w:r>
      <w:r>
        <w:rPr/>
        <w:t>), which by express agreement governs many, if not most, of EPMI</w:t>
      </w:r>
      <w:r>
        <w:rPr>
          <w:rFonts w:cs="WP TypographicSymbols" w:ascii="WP TypographicSymbols" w:hAnsi="WP TypographicSymbols"/>
        </w:rPr>
        <w:t>=</w:t>
      </w:r>
      <w:r>
        <w:rPr/>
        <w:t xml:space="preserve">s energy purchase and sale transactions, is instructive.  Under the UCC, a sale </w:t>
      </w:r>
      <w:r>
        <w:rPr>
          <w:rFonts w:cs="WP TypographicSymbols" w:ascii="WP TypographicSymbols" w:hAnsi="WP TypographicSymbols"/>
        </w:rPr>
        <w:t>A</w:t>
      </w:r>
      <w:r>
        <w:rPr/>
        <w:t>consists in the passing of title from the seller to the buyer for a price.</w:t>
      </w:r>
      <w:r>
        <w:rPr>
          <w:rFonts w:cs="WP TypographicSymbols" w:ascii="WP TypographicSymbols" w:hAnsi="WP TypographicSymbols"/>
        </w:rPr>
        <w:t>@</w:t>
      </w:r>
      <w:r>
        <w:rPr/>
        <w:t xml:space="preserve">  UCC </w:t>
      </w:r>
      <w:r>
        <w:rPr>
          <w:rFonts w:cs="WP TypographicSymbols" w:ascii="WP TypographicSymbols" w:hAnsi="WP TypographicSymbols"/>
        </w:rPr>
        <w:t>'</w:t>
      </w:r>
      <w:r>
        <w:rPr/>
        <w:t xml:space="preserve"> 2-106(1).  A contract for sale includes both a present sale of goods and a contract to sell goods at a future time.  </w:t>
      </w:r>
      <w:r>
        <w:rPr>
          <w:i/>
        </w:rPr>
        <w:t>Id.</w:t>
      </w:r>
      <w:r>
        <w:rPr/>
        <w:t xml:space="preserve">  Notably, under the UCC, the </w:t>
      </w:r>
      <w:r>
        <w:rPr>
          <w:rFonts w:cs="WP TypographicSymbols" w:ascii="WP TypographicSymbols" w:hAnsi="WP TypographicSymbols"/>
        </w:rPr>
        <w:t>A</w:t>
      </w:r>
      <w:r>
        <w:rPr/>
        <w:t>rights of the parties do not vary according to whether the transaction is a present sale or a contract to sell unless the [UCC] expressly so provides.</w:t>
      </w:r>
      <w:r>
        <w:rPr>
          <w:rFonts w:cs="WP TypographicSymbols" w:ascii="WP TypographicSymbols" w:hAnsi="WP TypographicSymbols"/>
        </w:rPr>
        <w:t>@</w:t>
      </w:r>
      <w:r>
        <w:rPr/>
        <w:t xml:space="preserve">  </w:t>
      </w:r>
      <w:r>
        <w:rPr>
          <w:i/>
        </w:rPr>
        <w:t>Id.</w:t>
      </w:r>
      <w:r>
        <w:rPr/>
        <w:t xml:space="preserve">  Official Comment 1.    </w:t>
      </w:r>
    </w:p>
    <w:p>
      <w:pPr>
        <w:pStyle w:val="Normal"/>
        <w:widowControl/>
        <w:jc w:val="both"/>
        <w:rPr/>
      </w:pPr>
      <w:r>
        <w:rPr/>
      </w:r>
    </w:p>
    <w:p>
      <w:pPr>
        <w:sectPr>
          <w:footnotePr>
            <w:numFmt w:val="decimal"/>
          </w:footnotePr>
          <w:type w:val="continuous"/>
          <w:pgSz w:w="12240" w:h="15840"/>
          <w:pgMar w:left="1872" w:right="1728" w:gutter="0" w:header="0" w:top="1440" w:footer="0" w:bottom="864"/>
          <w:formProt w:val="false"/>
          <w:textDirection w:val="lrTb"/>
          <w:docGrid w:type="default" w:linePitch="360" w:charSpace="0"/>
        </w:sectPr>
      </w:pPr>
    </w:p>
    <w:p>
      <w:pPr>
        <w:pStyle w:val="Normal"/>
        <w:widowControl/>
        <w:ind w:firstLine="720" w:end="0"/>
        <w:jc w:val="both"/>
        <w:rPr/>
      </w:pPr>
      <w:r>
        <w:rPr/>
        <w:t xml:space="preserve">Even if the book outs here were considered to be sales, the question arises as to whether the book outs would entail the sale of power.  You have advised that there is no physical delivery of power associated with book outs.  Instead, book outs appear to involve a trading of contractual rights and obligations, or accord and satisfaction, and a related financial consequence.  Thus it is questionable whether book outs would be treated by the Commission as sales of power.  </w:t>
      </w:r>
    </w:p>
    <w:p>
      <w:pPr>
        <w:pStyle w:val="Normal"/>
        <w:widowControl/>
        <w:jc w:val="both"/>
        <w:rPr/>
      </w:pPr>
      <w:r>
        <w:rPr/>
      </w:r>
    </w:p>
    <w:p>
      <w:pPr>
        <w:pStyle w:val="Normal"/>
        <w:widowControl/>
        <w:ind w:firstLine="720" w:end="0"/>
        <w:jc w:val="both"/>
        <w:rPr/>
      </w:pPr>
      <w:r>
        <w:rPr/>
        <w:t xml:space="preserve">We have located a line of cases in which FERC touched upon issues similar to those raised by your questions.  In </w:t>
      </w:r>
      <w:r>
        <w:rPr>
          <w:i/>
        </w:rPr>
        <w:t>Morgan Stanley Capital Group</w:t>
      </w:r>
      <w:r>
        <w:rPr>
          <w:b/>
          <w:i/>
        </w:rPr>
        <w:t xml:space="preserve">, </w:t>
      </w:r>
      <w:r>
        <w:rPr>
          <w:i/>
        </w:rPr>
        <w:t>Inc.</w:t>
      </w:r>
      <w:r>
        <w:rPr>
          <w:b/>
          <w:i/>
        </w:rPr>
        <w:t>,</w:t>
      </w:r>
      <w:r>
        <w:rPr>
          <w:b/>
        </w:rPr>
        <w:t xml:space="preserve"> </w:t>
      </w:r>
      <w:r>
        <w:rPr/>
        <w:t xml:space="preserve">69 FERC </w:t>
      </w:r>
      <w:r>
        <w:rPr>
          <w:rFonts w:cs="WP TypographicSymbols" w:ascii="WP TypographicSymbols" w:hAnsi="WP TypographicSymbols"/>
        </w:rPr>
        <w:t>&amp;</w:t>
      </w:r>
      <w:r>
        <w:rPr/>
        <w:t> 61,175 (1994) (</w:t>
      </w:r>
      <w:r>
        <w:rPr>
          <w:rFonts w:cs="WP TypographicSymbols" w:ascii="WP TypographicSymbols" w:hAnsi="WP TypographicSymbols"/>
        </w:rPr>
        <w:t>A</w:t>
      </w:r>
      <w:r>
        <w:rPr>
          <w:i/>
        </w:rPr>
        <w:t>Morgan Stanley</w:t>
      </w:r>
      <w:r>
        <w:rPr>
          <w:rFonts w:cs="WP TypographicSymbols" w:ascii="WP TypographicSymbols" w:hAnsi="WP TypographicSymbols"/>
        </w:rPr>
        <w:t>@</w:t>
      </w:r>
      <w:r>
        <w:rPr/>
        <w:t>), Morgan Stanley Capital Group, Inc. (</w:t>
      </w:r>
      <w:r>
        <w:rPr>
          <w:rFonts w:cs="WP TypographicSymbols" w:ascii="WP TypographicSymbols" w:hAnsi="WP TypographicSymbols"/>
        </w:rPr>
        <w:t>A</w:t>
      </w:r>
      <w:r>
        <w:rPr/>
        <w:t>MS Capital</w:t>
      </w:r>
      <w:r>
        <w:rPr>
          <w:rFonts w:cs="WP TypographicSymbols" w:ascii="WP TypographicSymbols" w:hAnsi="WP TypographicSymbols"/>
        </w:rPr>
        <w:t>@</w:t>
      </w:r>
      <w:r>
        <w:rPr/>
        <w:t xml:space="preserve">) applied for approval to sell electricity at market-based rates.  Significantly, </w:t>
      </w:r>
      <w:r>
        <w:rPr>
          <w:rFonts w:cs="WP TypographicSymbols" w:ascii="WP TypographicSymbols" w:hAnsi="WP TypographicSymbols"/>
        </w:rPr>
        <w:t>A</w:t>
      </w:r>
      <w:r>
        <w:rPr/>
        <w:t>MS Capital also plan[ned] to transact as a dealer in risk management transactions (such as swaps, options, and futures contracts) designed to assist buyers and sellers of electricity in hedging against adverse price changes.</w:t>
      </w:r>
      <w:r>
        <w:rPr>
          <w:rFonts w:cs="WP TypographicSymbols" w:ascii="WP TypographicSymbols" w:hAnsi="WP TypographicSymbols"/>
        </w:rPr>
        <w:t>@</w:t>
      </w:r>
      <w:r>
        <w:rPr/>
        <w:t xml:space="preserve">  </w:t>
      </w:r>
      <w:r>
        <w:rPr>
          <w:i/>
        </w:rPr>
        <w:t>Id.</w:t>
      </w:r>
      <w:r>
        <w:rPr/>
        <w:t xml:space="preserve"> at 61,691.  MS Capital represented to the Commission that </w:t>
      </w:r>
      <w:r>
        <w:rPr>
          <w:rFonts w:cs="WP TypographicSymbols" w:ascii="WP TypographicSymbols" w:hAnsi="WP TypographicSymbols"/>
        </w:rPr>
        <w:t>A</w:t>
      </w:r>
      <w:r>
        <w:rPr/>
        <w:t>most such transactions are settled in cash, without the parties taking actual delivery of the electricity.</w:t>
      </w:r>
      <w:r>
        <w:rPr>
          <w:rFonts w:cs="WP TypographicSymbols" w:ascii="WP TypographicSymbols" w:hAnsi="WP TypographicSymbols"/>
        </w:rPr>
        <w:t>@</w:t>
      </w:r>
      <w:r>
        <w:rPr/>
        <w:t xml:space="preserve">  </w:t>
      </w:r>
      <w:r>
        <w:rPr>
          <w:i/>
        </w:rPr>
        <w:t>Id</w:t>
      </w:r>
      <w:r>
        <w:rPr/>
        <w:t>.</w:t>
      </w:r>
    </w:p>
    <w:p>
      <w:pPr>
        <w:pStyle w:val="Normal"/>
        <w:widowControl/>
        <w:jc w:val="both"/>
        <w:rPr/>
      </w:pPr>
      <w:r>
        <w:rPr/>
      </w:r>
    </w:p>
    <w:p>
      <w:pPr>
        <w:pStyle w:val="Normal"/>
        <w:widowControl/>
        <w:ind w:firstLine="720" w:end="0"/>
        <w:jc w:val="both"/>
        <w:rPr/>
      </w:pPr>
      <w:r>
        <w:rPr/>
        <w:t>The risk management transactions arose in the context of FERC</w:t>
      </w:r>
      <w:r>
        <w:rPr>
          <w:rFonts w:cs="WP TypographicSymbols" w:ascii="WP TypographicSymbols" w:hAnsi="WP TypographicSymbols"/>
        </w:rPr>
        <w:t>=</w:t>
      </w:r>
      <w:r>
        <w:rPr/>
        <w:t>s quarterly reporting requirement.</w:t>
      </w:r>
      <w:r>
        <w:rPr>
          <w:rStyle w:val="FootnoteCharacters"/>
          <w:rStyle w:val="FootnoteReference"/>
          <w:vertAlign w:val="superscript"/>
        </w:rPr>
        <w:footnoteReference w:id="9"/>
      </w:r>
      <w:r>
        <w:rPr/>
        <w:t xml:space="preserve">  While MS Capital did not object to this quarterly reporting requirement, it did seek to limit the reportable transactions to those involving the physical delivery of electricity.  According to MS Capital, where actual delivery of electricity, though contemplated under a contract, is not undertaken, the transaction is purely financial and should not have to be filed or detailed in quarterly reports in lieu of filing.  </w:t>
      </w:r>
      <w:r>
        <w:rPr>
          <w:i/>
        </w:rPr>
        <w:t>Id.</w:t>
      </w:r>
    </w:p>
    <w:p>
      <w:pPr>
        <w:pStyle w:val="Normal"/>
        <w:widowControl/>
        <w:jc w:val="both"/>
        <w:rPr/>
      </w:pPr>
      <w:r>
        <w:rPr/>
      </w:r>
    </w:p>
    <w:p>
      <w:pPr>
        <w:pStyle w:val="Normal"/>
        <w:widowControl/>
        <w:ind w:firstLine="720" w:end="0"/>
        <w:jc w:val="both"/>
        <w:rPr/>
      </w:pPr>
      <w:r>
        <w:rPr/>
        <w:t>In response, the Commission stated:</w:t>
      </w:r>
    </w:p>
    <w:p>
      <w:pPr>
        <w:pStyle w:val="Normal"/>
        <w:widowControl/>
        <w:jc w:val="both"/>
        <w:rPr/>
      </w:pPr>
      <w:r>
        <w:rPr/>
      </w:r>
    </w:p>
    <w:p>
      <w:pPr>
        <w:pStyle w:val="Normal"/>
        <w:widowControl/>
        <w:ind w:start="720" w:end="720"/>
        <w:jc w:val="both"/>
        <w:rPr/>
      </w:pPr>
      <w:r>
        <w:rPr/>
        <w:t>We will address this particular question</w:t>
      </w:r>
      <w:r>
        <w:rPr>
          <w:rFonts w:cs="WP TypographicSymbols" w:ascii="WP TypographicSymbols" w:hAnsi="WP TypographicSymbols"/>
        </w:rPr>
        <w:t>C</w:t>
      </w:r>
      <w:r>
        <w:rPr/>
        <w:t>concerning the scope of MS Capital</w:t>
      </w:r>
      <w:r>
        <w:rPr>
          <w:rFonts w:cs="WP TypographicSymbols" w:ascii="WP TypographicSymbols" w:hAnsi="WP TypographicSymbols"/>
        </w:rPr>
        <w:t>=</w:t>
      </w:r>
      <w:r>
        <w:rPr/>
        <w:t>s quarterly reporting requirement</w:t>
      </w:r>
      <w:r>
        <w:rPr>
          <w:rFonts w:cs="WP TypographicSymbols" w:ascii="WP TypographicSymbols" w:hAnsi="WP TypographicSymbols"/>
        </w:rPr>
        <w:t>C</w:t>
      </w:r>
      <w:r>
        <w:rPr/>
        <w:t>in a separate order to be issued in the future.  In the meantime, we will require MS Capital to reflect in its quarterly reports only those transactions that result in the actual delivery of electricity.</w:t>
      </w:r>
    </w:p>
    <w:p>
      <w:pPr>
        <w:pStyle w:val="Normal"/>
        <w:widowControl/>
        <w:jc w:val="both"/>
        <w:rPr/>
      </w:pPr>
      <w:r>
        <w:rPr/>
      </w:r>
    </w:p>
    <w:p>
      <w:pPr>
        <w:pStyle w:val="Normal"/>
        <w:widowControl/>
        <w:jc w:val="both"/>
        <w:rPr/>
      </w:pPr>
      <w:r>
        <w:rPr>
          <w:i/>
        </w:rPr>
        <w:t>Id.</w:t>
      </w:r>
      <w:r>
        <w:rPr/>
        <w:t xml:space="preserve">  To date, FERC has not issued the separate order referred to in </w:t>
      </w:r>
      <w:r>
        <w:rPr>
          <w:i/>
        </w:rPr>
        <w:t>Morgan Stanley</w:t>
      </w:r>
      <w:r>
        <w:rPr/>
        <w:t>.  This exclusion of transactions not involving physical delivery appears to be limited to the power marketer</w:t>
      </w:r>
      <w:r>
        <w:rPr>
          <w:rFonts w:cs="WP TypographicSymbols" w:ascii="WP TypographicSymbols" w:hAnsi="WP TypographicSymbols"/>
        </w:rPr>
        <w:t>=</w:t>
      </w:r>
      <w:r>
        <w:rPr/>
        <w:t xml:space="preserve">s quarterly reporting requirements in the context of the granting, and periodic review, of market-based rate authority. </w:t>
      </w:r>
    </w:p>
    <w:p>
      <w:pPr>
        <w:sectPr>
          <w:footnotePr>
            <w:numFmt w:val="decimal"/>
          </w:footnotePr>
          <w:type w:val="continuous"/>
          <w:pgSz w:w="12240" w:h="15840"/>
          <w:pgMar w:left="1872" w:right="1728" w:gutter="0" w:header="0" w:top="1440" w:footer="0" w:bottom="864"/>
          <w:formProt w:val="false"/>
          <w:textDirection w:val="lrTb"/>
          <w:docGrid w:type="default" w:linePitch="360" w:charSpace="0"/>
        </w:sectPr>
      </w:pPr>
    </w:p>
    <w:p>
      <w:pPr>
        <w:pStyle w:val="Normal"/>
        <w:widowControl/>
        <w:ind w:firstLine="720" w:end="0"/>
        <w:jc w:val="both"/>
        <w:rPr/>
      </w:pPr>
      <w:r>
        <w:rPr/>
        <w:t>In addition to applying for authority to sell power at market-based rates, however, MS Capital sought, and was granted, a waiver of the accounting and reporting requirements that would relieve it of the obligation to file annual FERC Form No. 1 reports.  MS Capital also requested exemption from the payment of annual charges under Part 382, based on the Commission</w:t>
      </w:r>
      <w:r>
        <w:rPr>
          <w:rFonts w:cs="WP TypographicSymbols" w:ascii="WP TypographicSymbols" w:hAnsi="WP TypographicSymbols"/>
        </w:rPr>
        <w:t>=</w:t>
      </w:r>
      <w:r>
        <w:rPr/>
        <w:t xml:space="preserve">s decision in </w:t>
      </w:r>
      <w:r>
        <w:rPr>
          <w:i/>
        </w:rPr>
        <w:t>Howell Gas Management Co.</w:t>
      </w:r>
      <w:r>
        <w:rPr/>
        <w:t xml:space="preserve">, 40 FERC </w:t>
      </w:r>
      <w:r>
        <w:rPr>
          <w:rFonts w:cs="WP TypographicSymbols" w:ascii="WP TypographicSymbols" w:hAnsi="WP TypographicSymbols"/>
        </w:rPr>
        <w:t>&amp;</w:t>
      </w:r>
      <w:r>
        <w:rPr/>
        <w:t xml:space="preserve"> 61,336 (1987), in which the Commission stated that </w:t>
      </w:r>
      <w:r>
        <w:rPr>
          <w:rFonts w:cs="WP TypographicSymbols" w:ascii="WP TypographicSymbols" w:hAnsi="WP TypographicSymbols"/>
        </w:rPr>
        <w:t>A</w:t>
      </w:r>
      <w:r>
        <w:rPr/>
        <w:t>annual charges are not occasioned if a utility is exempt from the requirement to file Form No. 1.</w:t>
      </w:r>
      <w:r>
        <w:rPr>
          <w:rFonts w:cs="WP TypographicSymbols" w:ascii="WP TypographicSymbols" w:hAnsi="WP TypographicSymbols"/>
        </w:rPr>
        <w:t>@</w:t>
      </w:r>
      <w:r>
        <w:rPr/>
        <w:t xml:space="preserve">  </w:t>
      </w:r>
      <w:r>
        <w:rPr>
          <w:i/>
        </w:rPr>
        <w:t>Id.</w:t>
      </w:r>
      <w:r>
        <w:rPr/>
        <w:t xml:space="preserve"> at 62,025 n.8.  The Commission, finding that a material change in circumstances had occurred since the </w:t>
      </w:r>
      <w:r>
        <w:rPr>
          <w:i/>
        </w:rPr>
        <w:t>Howell Gas</w:t>
      </w:r>
      <w:r>
        <w:rPr/>
        <w:t xml:space="preserve"> decision, expressly overturned that conclusion and denied MS Capital</w:t>
      </w:r>
      <w:r>
        <w:rPr>
          <w:rFonts w:cs="WP TypographicSymbols" w:ascii="WP TypographicSymbols" w:hAnsi="WP TypographicSymbols"/>
        </w:rPr>
        <w:t>=</w:t>
      </w:r>
      <w:r>
        <w:rPr/>
        <w:t xml:space="preserve">s request for an exemption.  </w:t>
      </w:r>
      <w:r>
        <w:rPr>
          <w:i/>
        </w:rPr>
        <w:t>MS Capital</w:t>
      </w:r>
      <w:r>
        <w:rPr/>
        <w:t>, 69 FERC at 61,697.</w:t>
      </w:r>
    </w:p>
    <w:p>
      <w:pPr>
        <w:pStyle w:val="Normal"/>
        <w:widowControl/>
        <w:jc w:val="both"/>
        <w:rPr/>
      </w:pPr>
      <w:r>
        <w:rPr/>
      </w:r>
    </w:p>
    <w:p>
      <w:pPr>
        <w:pStyle w:val="Normal"/>
        <w:widowControl/>
        <w:ind w:firstLine="720" w:end="0"/>
        <w:jc w:val="both"/>
        <w:rPr/>
      </w:pPr>
      <w:r>
        <w:rPr/>
        <w:t>While conceding that the calculation of annual charges is largely based on the sales data that would otherwise be found in the Form No. 1, the Commission observed that waiver of the Form No. 1 requirement does not mean that the annual charges cannot be calculated:</w:t>
      </w:r>
    </w:p>
    <w:p>
      <w:pPr>
        <w:pStyle w:val="Normal"/>
        <w:widowControl/>
        <w:jc w:val="both"/>
        <w:rPr/>
      </w:pPr>
      <w:r>
        <w:rPr/>
      </w:r>
    </w:p>
    <w:p>
      <w:pPr>
        <w:pStyle w:val="Normal"/>
        <w:widowControl/>
        <w:ind w:start="720" w:end="720"/>
        <w:jc w:val="both"/>
        <w:rPr/>
      </w:pPr>
      <w:r>
        <w:rPr/>
        <w:t xml:space="preserve">Power marketers compile the </w:t>
      </w:r>
      <w:r>
        <w:rPr>
          <w:b/>
          <w:i/>
        </w:rPr>
        <w:t xml:space="preserve">same sales data in preparing their quarterly reports as required in Form 1.  </w:t>
      </w:r>
      <w:r>
        <w:rPr/>
        <w:t>Absence of a Form No. 1, therefore, does not preclude the calculation of annual charges.</w:t>
      </w:r>
    </w:p>
    <w:p>
      <w:pPr>
        <w:pStyle w:val="Normal"/>
        <w:widowControl/>
        <w:jc w:val="both"/>
        <w:rPr/>
      </w:pPr>
      <w:r>
        <w:rPr/>
      </w:r>
    </w:p>
    <w:p>
      <w:pPr>
        <w:pStyle w:val="Normal"/>
        <w:widowControl/>
        <w:jc w:val="both"/>
        <w:rPr/>
      </w:pPr>
      <w:r>
        <w:rPr>
          <w:i/>
        </w:rPr>
        <w:t>Id.</w:t>
      </w:r>
      <w:r>
        <w:rPr/>
        <w:t xml:space="preserve"> (emphasis added).  Because the Commission had already concluded that MS Capital</w:t>
      </w:r>
      <w:r>
        <w:rPr>
          <w:rFonts w:cs="WP TypographicSymbols" w:ascii="WP TypographicSymbols" w:hAnsi="WP TypographicSymbols"/>
        </w:rPr>
        <w:t>=</w:t>
      </w:r>
      <w:r>
        <w:rPr/>
        <w:t>s quarterly reports need only include those transactions involving physical delivery, the express reference to a power marketer</w:t>
      </w:r>
      <w:r>
        <w:rPr>
          <w:rFonts w:cs="WP TypographicSymbols" w:ascii="WP TypographicSymbols" w:hAnsi="WP TypographicSymbols"/>
        </w:rPr>
        <w:t>=</w:t>
      </w:r>
      <w:r>
        <w:rPr/>
        <w:t>s quarterly reports as an adequate basis for determining annual charges could be read as impliedly limiting reportable transactions, for assessment purposes, to those involving physical delivery.</w:t>
      </w:r>
    </w:p>
    <w:p>
      <w:pPr>
        <w:pStyle w:val="Normal"/>
        <w:widowControl/>
        <w:jc w:val="both"/>
        <w:rPr/>
      </w:pPr>
      <w:r>
        <w:rPr/>
      </w:r>
    </w:p>
    <w:p>
      <w:pPr>
        <w:pStyle w:val="Normal"/>
        <w:widowControl/>
        <w:ind w:firstLine="720" w:end="0"/>
        <w:jc w:val="both"/>
        <w:rPr/>
      </w:pPr>
      <w:r>
        <w:rPr/>
        <w:t xml:space="preserve">We believe that the </w:t>
      </w:r>
      <w:r>
        <w:rPr>
          <w:i/>
        </w:rPr>
        <w:t>MS Capital</w:t>
      </w:r>
      <w:r>
        <w:rPr/>
        <w:t xml:space="preserve"> decision provides a basis for framing a credible argument in support of a claim for a reduction in the annual charge.  However, in light of  the limited scope of the Commission</w:t>
      </w:r>
      <w:r>
        <w:rPr>
          <w:rFonts w:cs="WP TypographicSymbols" w:ascii="WP TypographicSymbols" w:hAnsi="WP TypographicSymbols"/>
        </w:rPr>
        <w:t>=</w:t>
      </w:r>
      <w:r>
        <w:rPr/>
        <w:t xml:space="preserve">s decision and the fact that the Commission has not yet answered the </w:t>
      </w:r>
      <w:r>
        <w:rPr>
          <w:rFonts w:cs="WP TypographicSymbols" w:ascii="WP TypographicSymbols" w:hAnsi="WP TypographicSymbols"/>
        </w:rPr>
        <w:t>A</w:t>
      </w:r>
      <w:r>
        <w:rPr/>
        <w:t>open</w:t>
      </w:r>
      <w:r>
        <w:rPr>
          <w:rFonts w:cs="WP TypographicSymbols" w:ascii="WP TypographicSymbols" w:hAnsi="WP TypographicSymbols"/>
        </w:rPr>
        <w:t>@</w:t>
      </w:r>
      <w:r>
        <w:rPr/>
        <w:t xml:space="preserve"> question that it raised, we do not read the decision as necessarily controlling.  In several other cases, the Commission has consistently reached the same narrow conclusion it reached in </w:t>
      </w:r>
      <w:r>
        <w:rPr>
          <w:i/>
        </w:rPr>
        <w:t>Morgan Stanley</w:t>
      </w:r>
      <w:r>
        <w:rPr/>
        <w:t xml:space="preserve">.  </w:t>
      </w:r>
      <w:r>
        <w:rPr>
          <w:i/>
        </w:rPr>
        <w:t>See Public Service Electric &amp; Gas Co.</w:t>
      </w:r>
      <w:r>
        <w:rPr/>
        <w:t xml:space="preserve">, 78 FERC </w:t>
      </w:r>
      <w:r>
        <w:rPr>
          <w:rFonts w:cs="WP TypographicSymbols" w:ascii="WP TypographicSymbols" w:hAnsi="WP TypographicSymbols"/>
        </w:rPr>
        <w:t>&amp;</w:t>
      </w:r>
      <w:r>
        <w:rPr/>
        <w:t xml:space="preserve"> 61,119 (1997); </w:t>
      </w:r>
      <w:r>
        <w:rPr>
          <w:i/>
        </w:rPr>
        <w:t>Consolidated Edison Company of New York, Inc.</w:t>
      </w:r>
      <w:r>
        <w:rPr/>
        <w:t xml:space="preserve">, 78 FERC </w:t>
      </w:r>
      <w:r>
        <w:rPr>
          <w:rFonts w:cs="WP TypographicSymbols" w:ascii="WP TypographicSymbols" w:hAnsi="WP TypographicSymbols"/>
        </w:rPr>
        <w:t>&amp;</w:t>
      </w:r>
      <w:r>
        <w:rPr/>
        <w:t xml:space="preserve"> 61,298 (1997); </w:t>
      </w:r>
      <w:r>
        <w:rPr>
          <w:i/>
        </w:rPr>
        <w:t>Idaho Power Co.</w:t>
      </w:r>
      <w:r>
        <w:rPr/>
        <w:t xml:space="preserve">, 78 FERC </w:t>
      </w:r>
      <w:r>
        <w:rPr>
          <w:rFonts w:cs="WP TypographicSymbols" w:ascii="WP TypographicSymbols" w:hAnsi="WP TypographicSymbols"/>
        </w:rPr>
        <w:t>&amp;</w:t>
      </w:r>
      <w:r>
        <w:rPr/>
        <w:t xml:space="preserve"> 61,343 (1997); </w:t>
      </w:r>
      <w:r>
        <w:rPr>
          <w:i/>
        </w:rPr>
        <w:t>Arizona Public Service Co.</w:t>
      </w:r>
      <w:r>
        <w:rPr/>
        <w:t xml:space="preserve">, 79 FERC </w:t>
      </w:r>
      <w:r>
        <w:rPr>
          <w:rFonts w:cs="WP TypographicSymbols" w:ascii="WP TypographicSymbols" w:hAnsi="WP TypographicSymbols"/>
        </w:rPr>
        <w:t>&amp;</w:t>
      </w:r>
      <w:r>
        <w:rPr/>
        <w:t xml:space="preserve"> 61,022 (1997); </w:t>
      </w:r>
      <w:r>
        <w:rPr>
          <w:i/>
        </w:rPr>
        <w:t>Energis Resources, Inc.</w:t>
      </w:r>
      <w:r>
        <w:rPr/>
        <w:t xml:space="preserve">, 79 FERC </w:t>
      </w:r>
      <w:r>
        <w:rPr>
          <w:rFonts w:cs="WP TypographicSymbols" w:ascii="WP TypographicSymbols" w:hAnsi="WP TypographicSymbols"/>
        </w:rPr>
        <w:t>&amp;</w:t>
      </w:r>
      <w:r>
        <w:rPr/>
        <w:t> 61,170 (1997).  However, none of these decisions have specifically addressed the reporting requirements for purposes of the annual charges, or defined the transactions that are or are not properly included in calculating such charges.</w:t>
      </w:r>
    </w:p>
    <w:p>
      <w:pPr>
        <w:pStyle w:val="Normal"/>
        <w:widowControl/>
        <w:jc w:val="both"/>
        <w:rPr/>
      </w:pPr>
      <w:r>
        <w:rPr/>
      </w:r>
    </w:p>
    <w:p>
      <w:pPr>
        <w:sectPr>
          <w:footnotePr>
            <w:numFmt w:val="decimal"/>
          </w:footnotePr>
          <w:type w:val="continuous"/>
          <w:pgSz w:w="12240" w:h="15840"/>
          <w:pgMar w:left="1872" w:right="1728" w:gutter="0" w:header="0" w:top="1440" w:footer="0" w:bottom="864"/>
          <w:formProt w:val="false"/>
          <w:textDirection w:val="lrTb"/>
          <w:docGrid w:type="default" w:linePitch="360" w:charSpace="0"/>
        </w:sectPr>
      </w:pPr>
    </w:p>
    <w:p>
      <w:pPr>
        <w:pStyle w:val="Normal"/>
        <w:widowControl/>
        <w:ind w:firstLine="720" w:end="0"/>
        <w:jc w:val="both"/>
        <w:rPr/>
      </w:pPr>
      <w:r>
        <w:rPr/>
        <w:t>Acceptance of EPMI</w:t>
      </w:r>
      <w:r>
        <w:rPr>
          <w:rFonts w:cs="WP TypographicSymbols" w:ascii="WP TypographicSymbols" w:hAnsi="WP TypographicSymbols"/>
        </w:rPr>
        <w:t>=</w:t>
      </w:r>
      <w:r>
        <w:rPr/>
        <w:t>s position that book outs should not implicate annual fee liability could have the effect of reducing the units reported, and thus increasing the per-unit charge.</w:t>
      </w:r>
      <w:r>
        <w:rPr>
          <w:rStyle w:val="FootnoteCharacters"/>
          <w:rStyle w:val="FootnoteReference"/>
          <w:vertAlign w:val="superscript"/>
        </w:rPr>
        <w:footnoteReference w:id="10"/>
      </w:r>
      <w:r>
        <w:rPr/>
        <w:t xml:space="preserve">  Additionally, acceptance of EPMI</w:t>
      </w:r>
      <w:r>
        <w:rPr>
          <w:rFonts w:cs="WP TypographicSymbols" w:ascii="WP TypographicSymbols" w:hAnsi="WP TypographicSymbols"/>
        </w:rPr>
        <w:t>=</w:t>
      </w:r>
      <w:r>
        <w:rPr/>
        <w:t xml:space="preserve">s position could have the effect of reallocating the burden of these fees, away from EPMI and onto others.  As a matter of policy, these results may not be desirable to FERC.   </w:t>
      </w:r>
    </w:p>
    <w:p>
      <w:pPr>
        <w:pStyle w:val="Normal"/>
        <w:widowControl/>
        <w:jc w:val="both"/>
        <w:rPr/>
      </w:pPr>
      <w:r>
        <w:rPr/>
      </w:r>
    </w:p>
    <w:p>
      <w:pPr>
        <w:pStyle w:val="Normal"/>
        <w:widowControl/>
        <w:ind w:firstLine="720" w:end="0"/>
        <w:jc w:val="both"/>
        <w:rPr/>
      </w:pPr>
      <w:r>
        <w:rPr/>
        <w:t>In light of the foregoing, and subject to the discussion below, we believe that EPMI may make a credible argument that book outs should not be subject to FERC</w:t>
      </w:r>
      <w:r>
        <w:rPr>
          <w:rFonts w:cs="WP TypographicSymbols" w:ascii="WP TypographicSymbols" w:hAnsi="WP TypographicSymbols"/>
        </w:rPr>
        <w:t>=</w:t>
      </w:r>
      <w:r>
        <w:rPr/>
        <w:t>s annual fees.  The gravamen of the argument would be that book outs do not involve an actual sale of power and, accordingly, should not be considered a transaction subject to FERC</w:t>
      </w:r>
      <w:r>
        <w:rPr>
          <w:rFonts w:cs="WP TypographicSymbols" w:ascii="WP TypographicSymbols" w:hAnsi="WP TypographicSymbols"/>
        </w:rPr>
        <w:t>=</w:t>
      </w:r>
      <w:r>
        <w:rPr/>
        <w:t xml:space="preserve">s annual fee assessment authority under Part 382 of its regulations.  A supporting  argument could also be made based on the </w:t>
      </w:r>
      <w:r>
        <w:rPr>
          <w:i/>
        </w:rPr>
        <w:t>Morgan Stanley</w:t>
      </w:r>
      <w:r>
        <w:rPr/>
        <w:t xml:space="preserve"> case.  We view EPMI</w:t>
      </w:r>
      <w:r>
        <w:rPr>
          <w:rFonts w:cs="WP TypographicSymbols" w:ascii="WP TypographicSymbols" w:hAnsi="WP TypographicSymbols"/>
        </w:rPr>
        <w:t>=</w:t>
      </w:r>
      <w:r>
        <w:rPr/>
        <w:t>s chances of prevailing in exempting book outs from annual fees as approximately 40%.</w:t>
      </w:r>
    </w:p>
    <w:p>
      <w:pPr>
        <w:pStyle w:val="Normal"/>
        <w:widowControl/>
        <w:jc w:val="both"/>
        <w:rPr/>
      </w:pPr>
      <w:r>
        <w:rPr/>
      </w:r>
    </w:p>
    <w:p>
      <w:pPr>
        <w:pStyle w:val="Normal"/>
        <w:widowControl/>
        <w:ind w:firstLine="720" w:end="0"/>
        <w:jc w:val="both"/>
        <w:rPr/>
      </w:pPr>
      <w:r>
        <w:rPr/>
        <w:t xml:space="preserve">Alternatively, in lieu of seeking a refund or credit for past fees paid, EPMI may wish to consider simply changing its method of reporting to FERC to include only transactions that entail physical power deliveries.  If FERC (or others) were to question EPMI's changed methodology, we think EPMI could make a strong argument defending this methodology based on the </w:t>
      </w:r>
      <w:r>
        <w:rPr>
          <w:i/>
        </w:rPr>
        <w:t>Morgan Stanley</w:t>
      </w:r>
      <w:r>
        <w:rPr/>
        <w:t xml:space="preserve"> line of cases.  You should be aware that a change of reporting method by EPMI could potentially raise the issues discussed below.  Also, if EPMI changes its method of reporting or is successful in its claim for a refund or credit, you should be aware that others in a similar position to EPMI may attempt to argue for similar treatment  (or confer such treatment upon themselves).  This could have the effect of exacerbating the fee burden reallocation issue.</w:t>
      </w:r>
    </w:p>
    <w:p>
      <w:pPr>
        <w:pStyle w:val="Normal"/>
        <w:widowControl/>
        <w:jc w:val="both"/>
        <w:rPr/>
      </w:pPr>
      <w:r>
        <w:rPr/>
      </w:r>
    </w:p>
    <w:p>
      <w:pPr>
        <w:pStyle w:val="Level2"/>
        <w:widowControl/>
        <w:numPr>
          <w:ilvl w:val="1"/>
          <w:numId w:val="1"/>
        </w:numPr>
        <w:tabs>
          <w:tab w:val="left" w:pos="-1440" w:leader="none"/>
          <w:tab w:val="left" w:pos="1440" w:leader="none"/>
        </w:tabs>
        <w:jc w:val="both"/>
        <w:rPr>
          <w:b w:val="false"/>
        </w:rPr>
      </w:pPr>
      <w:r>
        <w:rPr>
          <w:b w:val="false"/>
        </w:rPr>
        <w:t>What are the Risks of Filing an Amended Form No. 582?</w:t>
      </w:r>
    </w:p>
    <w:p>
      <w:pPr>
        <w:pStyle w:val="Normal"/>
        <w:widowControl/>
        <w:jc w:val="both"/>
        <w:rPr>
          <w:b/>
        </w:rPr>
      </w:pPr>
      <w:r>
        <w:rPr>
          <w:b/>
        </w:rPr>
      </w:r>
    </w:p>
    <w:p>
      <w:pPr>
        <w:pStyle w:val="Normal"/>
        <w:widowControl/>
        <w:ind w:firstLine="720" w:end="0"/>
        <w:jc w:val="both"/>
        <w:rPr/>
      </w:pPr>
      <w:r>
        <w:rPr/>
        <w:t>In any filing of an amended Form No. 582 or request for refund/credit of annual fees, EPMI would likely have to explain the nature of a book out.  Assuming that explanation  would be consistent with the discussion above, EPMI could pique the Commission</w:t>
      </w:r>
      <w:r>
        <w:rPr>
          <w:rFonts w:cs="WP TypographicSymbols" w:ascii="WP TypographicSymbols" w:hAnsi="WP TypographicSymbols"/>
        </w:rPr>
        <w:t>=</w:t>
      </w:r>
      <w:r>
        <w:rPr/>
        <w:t xml:space="preserve">s interest in learning more about these transactions.  An investigation by the Commission into this matter could implicate several provisions of the FPA.  </w:t>
      </w:r>
    </w:p>
    <w:p>
      <w:pPr>
        <w:pStyle w:val="Normal"/>
        <w:widowControl/>
        <w:jc w:val="both"/>
        <w:rPr/>
      </w:pPr>
      <w:r>
        <w:rPr/>
      </w:r>
    </w:p>
    <w:p>
      <w:pPr>
        <w:pStyle w:val="Normal"/>
        <w:widowControl/>
        <w:ind w:firstLine="720" w:end="0"/>
        <w:jc w:val="both"/>
        <w:rPr/>
      </w:pPr>
      <w:r>
        <w:rPr/>
        <w:t>Section 201(b)(1) of the FPA provides FERC with jurisdiction over all facilities for the sale of electric energy.  FERC has concluded that EPMI</w:t>
      </w:r>
      <w:r>
        <w:rPr>
          <w:rFonts w:cs="WP TypographicSymbols" w:ascii="WP TypographicSymbols" w:hAnsi="WP TypographicSymbols"/>
        </w:rPr>
        <w:t>=</w:t>
      </w:r>
      <w:r>
        <w:rPr/>
        <w:t xml:space="preserve">s wholesale contracts constitute facilities.  </w:t>
      </w:r>
      <w:r>
        <w:rPr>
          <w:i/>
        </w:rPr>
        <w:t>See</w:t>
      </w:r>
      <w:r>
        <w:rPr/>
        <w:t xml:space="preserve"> </w:t>
      </w:r>
      <w:r>
        <w:rPr>
          <w:i/>
        </w:rPr>
        <w:t>Enron Power Marketing, Inc.,</w:t>
      </w:r>
      <w:r>
        <w:rPr/>
        <w:t xml:space="preserve"> 65 FERC </w:t>
      </w:r>
      <w:r>
        <w:rPr>
          <w:rFonts w:cs="WP TypographicSymbols" w:ascii="WP TypographicSymbols" w:hAnsi="WP TypographicSymbols"/>
        </w:rPr>
        <w:t>&amp;</w:t>
      </w:r>
      <w:r>
        <w:rPr/>
        <w:t> 61,305 (1993).  Additionally, section 203(a) of the FPA provides, in pertinent part:</w:t>
      </w:r>
    </w:p>
    <w:p>
      <w:pPr>
        <w:pStyle w:val="Normal"/>
        <w:widowControl/>
        <w:jc w:val="both"/>
        <w:rPr/>
      </w:pPr>
      <w:r>
        <w:rPr/>
      </w:r>
    </w:p>
    <w:p>
      <w:pPr>
        <w:sectPr>
          <w:footnotePr>
            <w:numFmt w:val="decimal"/>
          </w:footnotePr>
          <w:type w:val="continuous"/>
          <w:pgSz w:w="12240" w:h="15840"/>
          <w:pgMar w:left="1872" w:right="1728" w:gutter="0" w:header="0" w:top="1440" w:footer="0" w:bottom="864"/>
          <w:formProt w:val="false"/>
          <w:textDirection w:val="lrTb"/>
          <w:docGrid w:type="default" w:linePitch="360" w:charSpace="0"/>
        </w:sectPr>
      </w:pPr>
    </w:p>
    <w:p>
      <w:pPr>
        <w:pStyle w:val="Normal"/>
        <w:widowControl/>
        <w:ind w:start="720" w:end="720"/>
        <w:jc w:val="both"/>
        <w:rPr/>
      </w:pPr>
      <w:r>
        <w:rPr/>
        <w:t>No public utility shall sell, lease, or otherwise dispose of the whole of its facilities subject to the jurisdiction of the Commission, or any part thereof of a value in excess of $50,000, or by any means whatsoever, directly or indirectly, merge or consolidate such facilities or any part thereof with those of any other person, or purchase, acquire, or take any security of any other public utility, without first having secured an order of the Commission authorizing it to do so.</w:t>
      </w:r>
    </w:p>
    <w:p>
      <w:pPr>
        <w:pStyle w:val="Normal"/>
        <w:widowControl/>
        <w:jc w:val="both"/>
        <w:rPr/>
      </w:pPr>
      <w:r>
        <w:rPr/>
      </w:r>
    </w:p>
    <w:p>
      <w:pPr>
        <w:pStyle w:val="Normal"/>
        <w:widowControl/>
        <w:jc w:val="both"/>
        <w:rPr/>
      </w:pPr>
      <w:r>
        <w:rPr/>
        <w:t xml:space="preserve">In its order issuing authorization to EPMI to sell power at market-based rates, FERC discussed the potential application of section 203 to assignment by EPMI of its power sales contracts.  FERC declined to grant a waiver of section 203 with respect to contract assignments by EPMI.  </w:t>
      </w:r>
      <w:r>
        <w:rPr>
          <w:i/>
        </w:rPr>
        <w:t>Id.</w:t>
      </w:r>
      <w:r>
        <w:rPr/>
        <w:t xml:space="preserve"> at 62,405. </w:t>
      </w:r>
    </w:p>
    <w:p>
      <w:pPr>
        <w:pStyle w:val="Normal"/>
        <w:widowControl/>
        <w:jc w:val="both"/>
        <w:rPr/>
      </w:pPr>
      <w:r>
        <w:rPr/>
      </w:r>
    </w:p>
    <w:p>
      <w:pPr>
        <w:pStyle w:val="Normal"/>
        <w:widowControl/>
        <w:ind w:firstLine="720" w:end="0"/>
        <w:jc w:val="both"/>
        <w:rPr/>
      </w:pPr>
      <w:r>
        <w:rPr/>
        <w:t>If EPMI sought a reduction in, or subsequent credit to, its 1997 annual fee payment, EPMI would have to present to FERC a justification for EPMI</w:t>
      </w:r>
      <w:r>
        <w:rPr>
          <w:rFonts w:cs="WP TypographicSymbols" w:ascii="WP TypographicSymbols" w:hAnsi="WP TypographicSymbols"/>
        </w:rPr>
        <w:t>=</w:t>
      </w:r>
      <w:r>
        <w:rPr/>
        <w:t>s position.  You have advised that power is not actually delivered in a book out transaction, and also that EPMI does not report its book out transactions to the CFTC as futures transactions.  EPMI would probably want to  argue to FERC that its book out transactions were not interstate wholesales of power and did not entail other activities within FERC</w:t>
      </w:r>
      <w:r>
        <w:rPr>
          <w:rFonts w:cs="WP TypographicSymbols" w:ascii="WP TypographicSymbols" w:hAnsi="WP TypographicSymbols"/>
        </w:rPr>
        <w:t>=</w:t>
      </w:r>
      <w:r>
        <w:rPr/>
        <w:t>s jurisdiction under the FPA that incurred annual fee liability.  EPMI would probably opt not to argue that the book outs are futures transactions (although it may choose to characterize them as another form of risk management transaction, or hedge, not subject to FERC or CFTC jurisdiction).</w:t>
      </w:r>
      <w:r>
        <w:rPr>
          <w:rStyle w:val="FootnoteCharacters"/>
          <w:rStyle w:val="FootnoteReference"/>
          <w:vertAlign w:val="superscript"/>
        </w:rPr>
        <w:footnoteReference w:id="11"/>
      </w:r>
    </w:p>
    <w:p>
      <w:pPr>
        <w:pStyle w:val="Normal"/>
        <w:widowControl/>
        <w:jc w:val="both"/>
        <w:rPr/>
      </w:pPr>
      <w:r>
        <w:rPr/>
      </w:r>
    </w:p>
    <w:p>
      <w:pPr>
        <w:pStyle w:val="Normal"/>
        <w:widowControl/>
        <w:ind w:firstLine="720" w:end="0"/>
        <w:jc w:val="both"/>
        <w:rPr/>
      </w:pPr>
      <w:r>
        <w:rPr/>
        <w:t>You should be aware that a filing by EPMI could attract the interest of other parties.  These parties could potentially intervene in any proceeding engendered by EPMI</w:t>
      </w:r>
      <w:r>
        <w:rPr>
          <w:rFonts w:cs="WP TypographicSymbols" w:ascii="WP TypographicSymbols" w:hAnsi="WP TypographicSymbols"/>
        </w:rPr>
        <w:t>=</w:t>
      </w:r>
      <w:r>
        <w:rPr/>
        <w:t xml:space="preserve">s filing and argue that FERC should take jurisdiction forward contracts that are booked out.  </w:t>
      </w:r>
    </w:p>
    <w:p>
      <w:pPr>
        <w:pStyle w:val="Normal"/>
        <w:widowControl/>
        <w:jc w:val="both"/>
        <w:rPr/>
      </w:pPr>
      <w:r>
        <w:rPr/>
      </w:r>
    </w:p>
    <w:p>
      <w:pPr>
        <w:pStyle w:val="Normal"/>
        <w:widowControl/>
        <w:ind w:firstLine="720" w:end="0"/>
        <w:jc w:val="both"/>
        <w:rPr/>
      </w:pPr>
      <w:r>
        <w:rPr/>
        <w:t>Upon a thorough investigation we believe FERC could possibly conclude that it has jurisdiction over book outs pursuant to its facilities jurisdiction under section 201 of the FPA.  The basis for FERC</w:t>
      </w:r>
      <w:r>
        <w:rPr>
          <w:rFonts w:cs="WP TypographicSymbols" w:ascii="WP TypographicSymbols" w:hAnsi="WP TypographicSymbols"/>
        </w:rPr>
        <w:t>=</w:t>
      </w:r>
      <w:r>
        <w:rPr/>
        <w:t>s conclusion would be that book outs involve jurisdictional power sale contracts. FERC could also conceivably conclude that book outs involve the sale or other disposition of a jurisdictional facility within the meaning of section 203 of the FPA.</w:t>
      </w:r>
      <w:r>
        <w:rPr>
          <w:rStyle w:val="FootnoteCharacters"/>
          <w:rStyle w:val="FootnoteReference"/>
          <w:vertAlign w:val="superscript"/>
        </w:rPr>
        <w:footnoteReference w:id="12"/>
      </w:r>
      <w:r>
        <w:rPr/>
        <w:t xml:space="preserve">  Moreover, FERC may become convinced it needs to assert jurisdiction over book outs to close a potential "regulatory gap."  FERC's concern could be buttressed by the CFTC's apparent view that it does not have CEA jurisdiction over forward contracts that are booked out.</w:t>
      </w:r>
    </w:p>
    <w:p>
      <w:pPr>
        <w:pStyle w:val="Normal"/>
        <w:widowControl/>
        <w:jc w:val="both"/>
        <w:rPr/>
      </w:pPr>
      <w:r>
        <w:rPr/>
      </w:r>
    </w:p>
    <w:p>
      <w:pPr>
        <w:sectPr>
          <w:footnotePr>
            <w:numFmt w:val="decimal"/>
          </w:footnotePr>
          <w:type w:val="continuous"/>
          <w:pgSz w:w="12240" w:h="15840"/>
          <w:pgMar w:left="1872" w:right="1728" w:gutter="0" w:header="0" w:top="1440" w:footer="0" w:bottom="864"/>
          <w:formProt w:val="false"/>
          <w:textDirection w:val="lrTb"/>
          <w:docGrid w:type="default" w:linePitch="360" w:charSpace="0"/>
        </w:sectPr>
      </w:pPr>
    </w:p>
    <w:p>
      <w:pPr>
        <w:pStyle w:val="Normal"/>
        <w:widowControl/>
        <w:ind w:firstLine="720" w:end="0"/>
        <w:jc w:val="both"/>
        <w:rPr/>
      </w:pPr>
      <w:r>
        <w:rPr/>
        <w:t>On the other hand, simply because EPMI</w:t>
      </w:r>
      <w:r>
        <w:rPr>
          <w:rFonts w:cs="WP TypographicSymbols" w:ascii="WP TypographicSymbols" w:hAnsi="WP TypographicSymbols"/>
        </w:rPr>
        <w:t>=</w:t>
      </w:r>
      <w:r>
        <w:rPr/>
        <w:t xml:space="preserve">s power contracts may be viewed as jurisdictional facilities does not necessarily mean FERC would be required, or would desire, to assert jurisdiction over book outs.  FERC could take the position that book outs are sufficiently remote from jurisdictional physical sales of power, and that it has ample authority over physical sales of power to carry out its responsibilities under the FPA, so that it does not need to assert jurisdiction over book outs.  FERC might also perceive an extension of its FPA jurisdiction to book outs as inconsistent with its current </w:t>
      </w:r>
      <w:r>
        <w:rPr>
          <w:rFonts w:cs="WP TypographicSymbols" w:ascii="WP TypographicSymbols" w:hAnsi="WP TypographicSymbols"/>
        </w:rPr>
        <w:t>A</w:t>
      </w:r>
      <w:r>
        <w:rPr/>
        <w:t>light-handed</w:t>
      </w:r>
      <w:r>
        <w:rPr>
          <w:rFonts w:cs="WP TypographicSymbols" w:ascii="WP TypographicSymbols" w:hAnsi="WP TypographicSymbols"/>
        </w:rPr>
        <w:t>@</w:t>
      </w:r>
      <w:r>
        <w:rPr/>
        <w:t xml:space="preserve"> regulatory policies.</w:t>
      </w:r>
    </w:p>
    <w:p>
      <w:pPr>
        <w:pStyle w:val="Normal"/>
        <w:widowControl/>
        <w:jc w:val="both"/>
        <w:rPr/>
      </w:pPr>
      <w:r>
        <w:rPr/>
      </w:r>
    </w:p>
    <w:p>
      <w:pPr>
        <w:pStyle w:val="Normal"/>
        <w:widowControl/>
        <w:ind w:firstLine="720" w:end="0"/>
        <w:jc w:val="both"/>
        <w:rPr/>
      </w:pPr>
      <w:r>
        <w:rPr/>
        <w:t xml:space="preserve">In summary, the question of whether FERC must or could assert FPA jurisdiction over book outs appears to be a novel and close one.  Consequently, we believe there is approximately a 30% chance that FERC would assert jurisdiction over book outs. </w:t>
      </w:r>
    </w:p>
    <w:p>
      <w:pPr>
        <w:pStyle w:val="Normal"/>
        <w:widowControl/>
        <w:jc w:val="both"/>
        <w:rPr/>
      </w:pPr>
      <w:r>
        <w:rPr/>
      </w:r>
    </w:p>
    <w:p>
      <w:pPr>
        <w:pStyle w:val="Normal"/>
        <w:widowControl/>
        <w:ind w:firstLine="720" w:end="0"/>
        <w:jc w:val="both"/>
        <w:rPr/>
      </w:pPr>
      <w:r>
        <w:rPr/>
        <w:t xml:space="preserve">A Commission investigation into book outs could also possibly lead it to revisit the role of risk management transactions in its regulatory scheme.  In the </w:t>
      </w:r>
      <w:r>
        <w:rPr>
          <w:i/>
        </w:rPr>
        <w:t>NYMEX</w:t>
      </w:r>
      <w:r>
        <w:rPr/>
        <w:t xml:space="preserve"> case, FERC acknowledged that the CFTC was created to supervise futures trading.  FERC explicitly recognized that the CEA, 7 U.S.C. </w:t>
      </w:r>
      <w:r>
        <w:rPr>
          <w:rFonts w:cs="WP TypographicSymbols" w:ascii="WP TypographicSymbols" w:hAnsi="WP TypographicSymbols"/>
        </w:rPr>
        <w:t>'</w:t>
      </w:r>
      <w:r>
        <w:rPr/>
        <w:t xml:space="preserve"> 1, </w:t>
      </w:r>
      <w:r>
        <w:rPr>
          <w:i/>
        </w:rPr>
        <w:t>et seq.</w:t>
      </w:r>
      <w:r>
        <w:rPr/>
        <w:t xml:space="preserve">, vested exclusive jurisdiction in the CFTC </w:t>
      </w:r>
      <w:r>
        <w:rPr>
          <w:rFonts w:cs="WP TypographicSymbols" w:ascii="WP TypographicSymbols" w:hAnsi="WP TypographicSymbols"/>
        </w:rPr>
        <w:t>A</w:t>
      </w:r>
      <w:r>
        <w:rPr/>
        <w:t>with respect to accounts, agreements . . . and transactions involving contracts of sale of a commodity for future delivery, traded or executed on a contract market . . . .</w:t>
      </w:r>
      <w:r>
        <w:rPr>
          <w:rFonts w:cs="WP TypographicSymbols" w:ascii="WP TypographicSymbols" w:hAnsi="WP TypographicSymbols"/>
        </w:rPr>
        <w:t>@</w:t>
      </w:r>
      <w:r>
        <w:rPr/>
        <w:t xml:space="preserve">  7 U.S.C. </w:t>
      </w:r>
      <w:r>
        <w:rPr>
          <w:rFonts w:cs="WP TypographicSymbols" w:ascii="WP TypographicSymbols" w:hAnsi="WP TypographicSymbols"/>
        </w:rPr>
        <w:t>'</w:t>
      </w:r>
      <w:r>
        <w:rPr/>
        <w:t xml:space="preserve"> 2(i).  The Commission concluded that, under Section 1a(3) of the CEA, electricity is a commodity for purposes of the CEA.  </w:t>
      </w:r>
      <w:r>
        <w:rPr>
          <w:i/>
        </w:rPr>
        <w:t>NYMEX</w:t>
      </w:r>
      <w:r>
        <w:rPr/>
        <w:t xml:space="preserve">, 74 FERC at 61,986 n.19.  In </w:t>
      </w:r>
      <w:r>
        <w:rPr>
          <w:i/>
        </w:rPr>
        <w:t>NYMEX</w:t>
      </w:r>
      <w:r>
        <w:rPr/>
        <w:t>, FERC also recognized that the CEA</w:t>
      </w:r>
    </w:p>
    <w:p>
      <w:pPr>
        <w:pStyle w:val="Normal"/>
        <w:widowControl/>
        <w:jc w:val="both"/>
        <w:rPr/>
      </w:pPr>
      <w:r>
        <w:rPr/>
      </w:r>
    </w:p>
    <w:p>
      <w:pPr>
        <w:pStyle w:val="Normal"/>
        <w:widowControl/>
        <w:ind w:start="720" w:end="720"/>
        <w:jc w:val="both"/>
        <w:rPr/>
      </w:pPr>
      <w:r>
        <w:rPr/>
        <w:t xml:space="preserve">was enacted to give a single expert agency the responsibility for developing a coherent regulatory program for the commodities industry and to prevent the costs and confusion associated with multiple regulators.  </w:t>
      </w:r>
    </w:p>
    <w:p>
      <w:pPr>
        <w:pStyle w:val="Normal"/>
        <w:widowControl/>
        <w:jc w:val="both"/>
        <w:rPr/>
      </w:pPr>
      <w:r>
        <w:rPr/>
      </w:r>
    </w:p>
    <w:p>
      <w:pPr>
        <w:pStyle w:val="Normal"/>
        <w:widowControl/>
        <w:jc w:val="both"/>
        <w:rPr/>
      </w:pPr>
      <w:r>
        <w:rPr/>
        <w:t xml:space="preserve">74 FERC </w:t>
      </w:r>
      <w:r>
        <w:rPr>
          <w:rFonts w:cs="WP TypographicSymbols" w:ascii="WP TypographicSymbols" w:hAnsi="WP TypographicSymbols"/>
        </w:rPr>
        <w:t>&amp;</w:t>
      </w:r>
      <w:r>
        <w:rPr/>
        <w:t> 61,311, 61,986 (1996) (footnote omitted).  FERC noted that courts have upheld the CFTC</w:t>
      </w:r>
      <w:r>
        <w:rPr>
          <w:rFonts w:cs="WP TypographicSymbols" w:ascii="WP TypographicSymbols" w:hAnsi="WP TypographicSymbols"/>
        </w:rPr>
        <w:t>=</w:t>
      </w:r>
      <w:r>
        <w:rPr/>
        <w:t xml:space="preserve">s exclusive jurisdiction over futures contracts.  </w:t>
      </w:r>
      <w:r>
        <w:rPr>
          <w:i/>
        </w:rPr>
        <w:t>Id.</w:t>
      </w:r>
      <w:r>
        <w:rPr/>
        <w:t xml:space="preserve">  </w:t>
      </w:r>
    </w:p>
    <w:p>
      <w:pPr>
        <w:pStyle w:val="Normal"/>
        <w:widowControl/>
        <w:jc w:val="both"/>
        <w:rPr/>
      </w:pPr>
      <w:r>
        <w:rPr/>
      </w:r>
    </w:p>
    <w:p>
      <w:pPr>
        <w:pStyle w:val="Normal"/>
        <w:widowControl/>
        <w:jc w:val="both"/>
        <w:rPr/>
      </w:pPr>
      <w:r>
        <w:rPr/>
        <w:t>It is our experience that FERC is generally reluctant to interfere in the processes of its sister federal regulatory agencies.  This experience is borne out by FERC</w:t>
      </w:r>
      <w:r>
        <w:rPr>
          <w:rFonts w:cs="WP TypographicSymbols" w:ascii="WP TypographicSymbols" w:hAnsi="WP TypographicSymbols"/>
        </w:rPr>
        <w:t>=</w:t>
      </w:r>
      <w:r>
        <w:rPr/>
        <w:t xml:space="preserve">s statement in the </w:t>
      </w:r>
      <w:r>
        <w:rPr>
          <w:i/>
        </w:rPr>
        <w:t>NYMEX</w:t>
      </w:r>
      <w:r>
        <w:rPr/>
        <w:t xml:space="preserve"> case that:</w:t>
      </w:r>
    </w:p>
    <w:p>
      <w:pPr>
        <w:pStyle w:val="Normal"/>
        <w:widowControl/>
        <w:jc w:val="both"/>
        <w:rPr/>
      </w:pPr>
      <w:r>
        <w:rPr/>
      </w:r>
    </w:p>
    <w:p>
      <w:pPr>
        <w:pStyle w:val="Normal"/>
        <w:widowControl/>
        <w:ind w:start="720" w:end="720"/>
        <w:jc w:val="both"/>
        <w:rPr/>
      </w:pPr>
      <w:r>
        <w:rPr/>
        <w:t xml:space="preserve">. . . whether the PUHCA definition of security encompasses an electricity futures contract approved for trading by the CFTC is an issue for the Securities and Exchange Commission.  </w:t>
      </w:r>
    </w:p>
    <w:p>
      <w:pPr>
        <w:pStyle w:val="Normal"/>
        <w:widowControl/>
        <w:jc w:val="both"/>
        <w:rPr/>
      </w:pPr>
      <w:r>
        <w:rPr/>
      </w:r>
    </w:p>
    <w:p>
      <w:pPr>
        <w:pStyle w:val="Normal"/>
        <w:widowControl/>
        <w:jc w:val="both"/>
        <w:rPr/>
      </w:pPr>
      <w:r>
        <w:rPr>
          <w:i/>
        </w:rPr>
        <w:t>Id.</w:t>
      </w:r>
      <w:r>
        <w:rPr/>
        <w:t xml:space="preserve"> at 61,986 n.17.  We also believe that, as a matter of policy, the current FERC commissioners are more interested in lightening the regulatory burden than increasing it.  </w:t>
      </w:r>
    </w:p>
    <w:p>
      <w:pPr>
        <w:pStyle w:val="Normal"/>
        <w:widowControl/>
        <w:jc w:val="both"/>
        <w:rPr/>
      </w:pPr>
      <w:r>
        <w:rPr/>
      </w:r>
    </w:p>
    <w:p>
      <w:pPr>
        <w:sectPr>
          <w:footnotePr>
            <w:numFmt w:val="decimal"/>
          </w:footnotePr>
          <w:type w:val="continuous"/>
          <w:pgSz w:w="12240" w:h="15840"/>
          <w:pgMar w:left="1872" w:right="1728" w:gutter="0" w:header="0" w:top="1440" w:footer="0" w:bottom="864"/>
          <w:formProt w:val="false"/>
          <w:textDirection w:val="lrTb"/>
          <w:docGrid w:type="default" w:linePitch="360" w:charSpace="0"/>
        </w:sectPr>
      </w:pPr>
    </w:p>
    <w:p>
      <w:pPr>
        <w:pStyle w:val="Normal"/>
        <w:widowControl/>
        <w:ind w:firstLine="720" w:end="0"/>
        <w:jc w:val="both"/>
        <w:rPr/>
      </w:pPr>
      <w:r>
        <w:rPr/>
        <w:t>We cannot state with absolute certainty that the arguments that might be raised in connection with an EPMI filing would not lead FERC to revisit its views about its jurisdiction over risk management transactions.  However, in light of the explicit language of the CEA and FERC</w:t>
      </w:r>
      <w:r>
        <w:rPr>
          <w:rFonts w:cs="WP TypographicSymbols" w:ascii="WP TypographicSymbols" w:hAnsi="WP TypographicSymbols"/>
        </w:rPr>
        <w:t>=</w:t>
      </w:r>
      <w:r>
        <w:rPr/>
        <w:t xml:space="preserve">s decision in the </w:t>
      </w:r>
      <w:r>
        <w:rPr>
          <w:i/>
        </w:rPr>
        <w:t>NYMEX</w:t>
      </w:r>
      <w:r>
        <w:rPr/>
        <w:t xml:space="preserve"> case, as well as FERC</w:t>
      </w:r>
      <w:r>
        <w:rPr>
          <w:rFonts w:cs="WP TypographicSymbols" w:ascii="WP TypographicSymbols" w:hAnsi="WP TypographicSymbols"/>
        </w:rPr>
        <w:t>=</w:t>
      </w:r>
      <w:r>
        <w:rPr/>
        <w:t>s policy predilection not to expand its jurisdiction more than necessary or in a manner that would interfere with regulation by another federal agency, we think it is unlikely (</w:t>
      </w:r>
      <w:r>
        <w:rPr>
          <w:i/>
        </w:rPr>
        <w:t>i.e.</w:t>
      </w:r>
      <w:r>
        <w:rPr/>
        <w:t>, there is not greater than a 15% chance) that FERC would ultimately decide (or be allowed by a court) to assert FPA jurisdiction over risk management transactions.</w:t>
      </w:r>
      <w:r>
        <w:rPr>
          <w:rStyle w:val="FootnoteCharacters"/>
          <w:rStyle w:val="FootnoteReference"/>
          <w:vertAlign w:val="superscript"/>
        </w:rPr>
        <w:footnoteReference w:id="13"/>
      </w:r>
    </w:p>
    <w:p>
      <w:pPr>
        <w:pStyle w:val="Normal"/>
        <w:widowControl/>
        <w:jc w:val="both"/>
        <w:rPr/>
      </w:pPr>
      <w:r>
        <w:rPr/>
      </w:r>
    </w:p>
    <w:p>
      <w:pPr>
        <w:pStyle w:val="Normal"/>
        <w:widowControl/>
        <w:jc w:val="both"/>
        <w:rPr/>
      </w:pPr>
      <w:r>
        <w:rPr/>
      </w:r>
    </w:p>
    <w:p>
      <w:pPr>
        <w:pStyle w:val="Level1"/>
        <w:keepNext w:val="true"/>
        <w:keepLines/>
        <w:widowControl/>
        <w:numPr>
          <w:ilvl w:val="0"/>
          <w:numId w:val="1"/>
        </w:numPr>
        <w:tabs>
          <w:tab w:val="left" w:pos="-1440" w:leader="none"/>
          <w:tab w:val="left" w:pos="720" w:leader="none"/>
        </w:tabs>
        <w:jc w:val="both"/>
        <w:rPr>
          <w:b w:val="false"/>
        </w:rPr>
      </w:pPr>
      <w:r>
        <w:rPr>
          <w:b w:val="false"/>
          <w:u w:val="single"/>
        </w:rPr>
        <w:t>CONCLUSION</w:t>
      </w:r>
    </w:p>
    <w:p>
      <w:pPr>
        <w:pStyle w:val="Normal"/>
        <w:keepNext w:val="true"/>
        <w:keepLines/>
        <w:widowControl/>
        <w:jc w:val="both"/>
        <w:rPr>
          <w:b/>
        </w:rPr>
      </w:pPr>
      <w:r>
        <w:rPr>
          <w:b/>
        </w:rPr>
      </w:r>
    </w:p>
    <w:p>
      <w:pPr>
        <w:pStyle w:val="Normal"/>
        <w:keepNext w:val="true"/>
        <w:keepLines/>
        <w:widowControl/>
        <w:ind w:firstLine="720" w:end="0"/>
        <w:jc w:val="both"/>
        <w:rPr/>
      </w:pPr>
      <w:r>
        <w:rPr/>
        <w:t>We trust the foregoing will be useful for your purposes.  Please advise if you have any questions or anything further is needed in connection with this matter.</w:t>
      </w:r>
    </w:p>
    <w:p>
      <w:pPr>
        <w:pStyle w:val="Normal"/>
        <w:keepNext w:val="true"/>
        <w:keepLines/>
        <w:widowControl/>
        <w:jc w:val="both"/>
        <w:rPr>
          <w:b/>
        </w:rPr>
      </w:pPr>
      <w:r>
        <w:rPr>
          <w:b/>
        </w:rPr>
      </w:r>
    </w:p>
    <w:p>
      <w:pPr>
        <w:pStyle w:val="Normal"/>
        <w:keepNext w:val="true"/>
        <w:keepLines/>
        <w:widowControl/>
        <w:ind w:firstLine="4320" w:end="0"/>
        <w:jc w:val="both"/>
        <w:rPr/>
      </w:pPr>
      <w:r>
        <w:rPr/>
        <w:t>CHS</w:t>
      </w:r>
    </w:p>
    <w:p>
      <w:pPr>
        <w:pStyle w:val="Normal"/>
        <w:keepNext w:val="true"/>
        <w:keepLines/>
        <w:widowControl/>
        <w:ind w:firstLine="4320" w:end="0"/>
        <w:jc w:val="both"/>
        <w:rPr/>
      </w:pPr>
      <w:r>
        <w:rPr/>
        <w:t>RDH</w:t>
      </w:r>
    </w:p>
    <w:p>
      <w:pPr>
        <w:pStyle w:val="Normal"/>
        <w:keepLines/>
        <w:widowControl/>
        <w:ind w:firstLine="4320" w:end="0"/>
        <w:jc w:val="both"/>
        <w:rPr/>
      </w:pPr>
      <w:r>
        <w:rPr/>
        <w:t>SGN</w:t>
      </w:r>
    </w:p>
    <w:p>
      <w:pPr>
        <w:pStyle w:val="Normal"/>
        <w:widowControl/>
        <w:jc w:val="both"/>
        <w:rPr/>
      </w:pPr>
      <w:r>
        <w:rPr/>
      </w:r>
    </w:p>
    <w:p>
      <w:pPr>
        <w:pStyle w:val="Normal"/>
        <w:widowControl/>
        <w:jc w:val="both"/>
        <w:rPr/>
      </w:pPr>
      <w:r>
        <w:rPr/>
        <w:t>/mjf</w:t>
      </w:r>
    </w:p>
    <w:p>
      <w:pPr>
        <w:pStyle w:val="Normal"/>
        <w:widowControl/>
        <w:jc w:val="both"/>
        <w:rPr/>
      </w:pPr>
      <w:r>
        <w:rPr/>
      </w:r>
    </w:p>
    <w:p>
      <w:pPr>
        <w:pStyle w:val="Normal"/>
        <w:widowControl/>
        <w:jc w:val="both"/>
        <w:rPr/>
      </w:pPr>
      <w:r>
        <w:rPr/>
        <w:t>cc:</w:t>
        <w:tab/>
        <w:t>Jeffrey D. Watkiss, Esq.</w:t>
      </w:r>
    </w:p>
    <w:p>
      <w:pPr>
        <w:pStyle w:val="Normal"/>
        <w:widowControl/>
        <w:ind w:firstLine="720" w:end="0"/>
        <w:jc w:val="both"/>
        <w:rPr/>
      </w:pPr>
      <w:r>
        <w:rPr/>
        <w:t>Bracewell &amp; Patterson, L.L.P.</w:t>
      </w:r>
    </w:p>
    <w:p>
      <w:pPr>
        <w:pStyle w:val="Normal"/>
        <w:widowControl/>
        <w:jc w:val="both"/>
        <w:rPr/>
      </w:pPr>
      <w:r>
        <w:rPr/>
      </w:r>
    </w:p>
    <w:sectPr>
      <w:footnotePr>
        <w:numFmt w:val="decimal"/>
      </w:footnotePr>
      <w:type w:val="continuous"/>
      <w:pgSz w:w="12240" w:h="15840"/>
      <w:pgMar w:left="1872" w:right="1728" w:gutter="0" w:header="0" w:top="1440" w:footer="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sz w:val="20"/>
        </w:rPr>
        <w:t xml:space="preserve">See </w:t>
      </w:r>
      <w:r>
        <w:rPr>
          <w:i/>
          <w:sz w:val="20"/>
        </w:rPr>
        <w:t>Annual Charges Under the Omnibus Budget Reconciliation Act of 1986</w:t>
      </w:r>
      <w:r>
        <w:rPr>
          <w:sz w:val="20"/>
        </w:rPr>
        <w:t xml:space="preserve">, Order No. 472, [1986-90 Regs. Preambles] FERC </w:t>
      </w:r>
      <w:r>
        <w:rPr>
          <w:rFonts w:cs="WP TypographicSymbols" w:ascii="WP TypographicSymbols" w:hAnsi="WP TypographicSymbols"/>
          <w:sz w:val="20"/>
        </w:rPr>
        <w:t>&amp;</w:t>
      </w:r>
      <w:r>
        <w:rPr>
          <w:sz w:val="20"/>
        </w:rPr>
        <w:t xml:space="preserve"> 30,746 (1987) (codified at 18 C.F.R. </w:t>
      </w:r>
      <w:r>
        <w:rPr>
          <w:rFonts w:cs="WP TypographicSymbols" w:ascii="WP TypographicSymbols" w:hAnsi="WP TypographicSymbols"/>
          <w:sz w:val="20"/>
        </w:rPr>
        <w:t>'</w:t>
      </w:r>
      <w:r>
        <w:rPr>
          <w:sz w:val="20"/>
        </w:rPr>
        <w:t xml:space="preserve"> 382 (1997)), </w:t>
      </w:r>
      <w:r>
        <w:rPr>
          <w:i/>
          <w:sz w:val="20"/>
        </w:rPr>
        <w:t>amended by</w:t>
      </w:r>
      <w:r>
        <w:rPr>
          <w:sz w:val="20"/>
        </w:rPr>
        <w:t xml:space="preserve"> Order No. 529, [1986-90 Regs. Preambles] FERC </w:t>
      </w:r>
      <w:r>
        <w:rPr>
          <w:rFonts w:cs="WP TypographicSymbols" w:ascii="WP TypographicSymbols" w:hAnsi="WP TypographicSymbols"/>
          <w:sz w:val="20"/>
        </w:rPr>
        <w:t>&amp;</w:t>
      </w:r>
      <w:r>
        <w:rPr>
          <w:sz w:val="20"/>
        </w:rPr>
        <w:t xml:space="preserve"> 30,904 (1990); [1986-90 Regs. Preambles] FERC </w:t>
      </w:r>
      <w:r>
        <w:rPr>
          <w:rFonts w:cs="WP TypographicSymbols" w:ascii="WP TypographicSymbols" w:hAnsi="WP TypographicSymbols"/>
          <w:sz w:val="20"/>
        </w:rPr>
        <w:t>&amp;</w:t>
      </w:r>
      <w:r>
        <w:rPr>
          <w:sz w:val="20"/>
        </w:rPr>
        <w:t xml:space="preserve"> 30,910 (1991); [1991-96 Regs. Preambles] FERC </w:t>
      </w:r>
      <w:r>
        <w:rPr>
          <w:rFonts w:cs="WP TypographicSymbols" w:ascii="WP TypographicSymbols" w:hAnsi="WP TypographicSymbols"/>
          <w:sz w:val="20"/>
        </w:rPr>
        <w:t>&amp;</w:t>
      </w:r>
      <w:r>
        <w:rPr>
          <w:sz w:val="20"/>
        </w:rPr>
        <w:t xml:space="preserve"> 30,933 (1991); Order No. 575, [1991-96 Regs. Preambles] FERC </w:t>
      </w:r>
      <w:r>
        <w:rPr>
          <w:rFonts w:cs="WP TypographicSymbols" w:ascii="WP TypographicSymbols" w:hAnsi="WP TypographicSymbols"/>
          <w:sz w:val="20"/>
        </w:rPr>
        <w:t>&amp;</w:t>
      </w:r>
      <w:r>
        <w:rPr>
          <w:sz w:val="20"/>
        </w:rPr>
        <w:t xml:space="preserve"> 31,014; Order No. 472-A, [1986-90 Regs. Preambles] FERC </w:t>
      </w:r>
      <w:r>
        <w:rPr>
          <w:rFonts w:cs="WP TypographicSymbols" w:ascii="WP TypographicSymbols" w:hAnsi="WP TypographicSymbols"/>
          <w:sz w:val="20"/>
        </w:rPr>
        <w:t>&amp;</w:t>
      </w:r>
      <w:r>
        <w:rPr>
          <w:sz w:val="20"/>
        </w:rPr>
        <w:t xml:space="preserve"> 30,750 (1987); Order No. 472-B, [1986-90 Regs. Preambles] FERC </w:t>
      </w:r>
      <w:r>
        <w:rPr>
          <w:rFonts w:cs="WP TypographicSymbols" w:ascii="WP TypographicSymbols" w:hAnsi="WP TypographicSymbols"/>
          <w:sz w:val="20"/>
        </w:rPr>
        <w:t>&amp;</w:t>
      </w:r>
      <w:r>
        <w:rPr>
          <w:sz w:val="20"/>
        </w:rPr>
        <w:t> 30,767 (1987).</w:t>
      </w:r>
    </w:p>
  </w:footnote>
  <w:footnote w:id="3">
    <w:p>
      <w:pPr>
        <w:pStyle w:val="Normal"/>
        <w:spacing w:before="0" w:after="240"/>
        <w:ind w:firstLine="720" w:end="0"/>
        <w:jc w:val="both"/>
        <w:rPr/>
      </w:pPr>
      <w:r>
        <w:rPr>
          <w:rStyle w:val="FootnoteCharacters"/>
        </w:rPr>
        <w:footnoteRef/>
      </w:r>
      <w:r>
        <w:rPr>
          <w:sz w:val="20"/>
        </w:rPr>
        <w:t xml:space="preserve">The Commission also assesses fees against </w:t>
      </w:r>
      <w:r>
        <w:rPr>
          <w:rFonts w:cs="WP TypographicSymbols" w:ascii="WP TypographicSymbols" w:hAnsi="WP TypographicSymbols"/>
          <w:sz w:val="20"/>
        </w:rPr>
        <w:t>A</w:t>
      </w:r>
      <w:r>
        <w:rPr>
          <w:sz w:val="20"/>
        </w:rPr>
        <w:t>power marketing agencies,</w:t>
      </w:r>
      <w:r>
        <w:rPr>
          <w:rFonts w:cs="WP TypographicSymbols" w:ascii="WP TypographicSymbols" w:hAnsi="WP TypographicSymbols"/>
          <w:sz w:val="20"/>
        </w:rPr>
        <w:t>@</w:t>
      </w:r>
      <w:r>
        <w:rPr>
          <w:sz w:val="20"/>
        </w:rPr>
        <w:t xml:space="preserve"> defined as </w:t>
      </w:r>
      <w:r>
        <w:rPr>
          <w:rFonts w:cs="WP TypographicSymbols" w:ascii="WP TypographicSymbols" w:hAnsi="WP TypographicSymbols"/>
          <w:sz w:val="20"/>
        </w:rPr>
        <w:t>A</w:t>
      </w:r>
      <w:r>
        <w:rPr>
          <w:sz w:val="20"/>
        </w:rPr>
        <w:t>the Bonneville Power Administration, the Alaska Power Administration, the Southeastern Power Administration, the Southwestern Power Administration, and the Western Area Power Administration.</w:t>
      </w:r>
      <w:r>
        <w:rPr>
          <w:rFonts w:cs="WP TypographicSymbols" w:ascii="WP TypographicSymbols" w:hAnsi="WP TypographicSymbols"/>
          <w:sz w:val="20"/>
        </w:rPr>
        <w:t>@</w:t>
      </w:r>
      <w:r>
        <w:rPr>
          <w:sz w:val="20"/>
        </w:rPr>
        <w:t xml:space="preserve">  18 C.F.R. </w:t>
      </w:r>
      <w:r>
        <w:rPr>
          <w:rFonts w:cs="WP TypographicSymbols" w:ascii="WP TypographicSymbols" w:hAnsi="WP TypographicSymbols"/>
          <w:sz w:val="20"/>
        </w:rPr>
        <w:t>'</w:t>
      </w:r>
      <w:r>
        <w:rPr>
          <w:sz w:val="20"/>
        </w:rPr>
        <w:t> 382.102(p).</w:t>
      </w:r>
    </w:p>
  </w:footnote>
  <w:footnote w:id="4">
    <w:p>
      <w:pPr>
        <w:pStyle w:val="Normal"/>
        <w:spacing w:before="0" w:after="240"/>
        <w:ind w:firstLine="720" w:end="0"/>
        <w:jc w:val="both"/>
        <w:rPr/>
      </w:pPr>
      <w:r>
        <w:rPr>
          <w:rStyle w:val="FootnoteCharacters"/>
        </w:rPr>
        <w:footnoteRef/>
      </w:r>
      <w:r>
        <w:rPr>
          <w:sz w:val="20"/>
        </w:rPr>
        <w:t xml:space="preserve">When EPMI sought authorization to sell at market-based rates, it argued that power sales contracts were not jurisdictional facilities under section 203 of the FPA.  </w:t>
      </w:r>
      <w:r>
        <w:rPr>
          <w:i/>
          <w:sz w:val="20"/>
        </w:rPr>
        <w:t>Enron Power Marketing, Inc.</w:t>
      </w:r>
      <w:r>
        <w:rPr>
          <w:sz w:val="20"/>
        </w:rPr>
        <w:t xml:space="preserve">, 65 FERC </w:t>
      </w:r>
      <w:r>
        <w:rPr>
          <w:rFonts w:cs="WP TypographicSymbols" w:ascii="WP TypographicSymbols" w:hAnsi="WP TypographicSymbols"/>
          <w:sz w:val="20"/>
        </w:rPr>
        <w:t>&amp;</w:t>
      </w:r>
      <w:r>
        <w:rPr>
          <w:sz w:val="20"/>
        </w:rPr>
        <w:t xml:space="preserve"> 61,305 at 62,405 (1993).  The Commission disagreed, noting that </w:t>
      </w:r>
      <w:r>
        <w:rPr>
          <w:rFonts w:cs="WP TypographicSymbols" w:ascii="WP TypographicSymbols" w:hAnsi="WP TypographicSymbols"/>
          <w:sz w:val="20"/>
        </w:rPr>
        <w:t>A</w:t>
      </w:r>
      <w:r>
        <w:rPr>
          <w:sz w:val="20"/>
        </w:rPr>
        <w:t xml:space="preserve">power sales contracts are the </w:t>
      </w:r>
      <w:r>
        <w:rPr>
          <w:rFonts w:cs="WP TypographicSymbols" w:ascii="WP TypographicSymbols" w:hAnsi="WP TypographicSymbols"/>
          <w:sz w:val="20"/>
        </w:rPr>
        <w:t>&gt;</w:t>
      </w:r>
      <w:r>
        <w:rPr>
          <w:sz w:val="20"/>
        </w:rPr>
        <w:t>facilities</w:t>
      </w:r>
      <w:r>
        <w:rPr>
          <w:rFonts w:cs="WP TypographicSymbols" w:ascii="WP TypographicSymbols" w:hAnsi="WP TypographicSymbols"/>
          <w:sz w:val="20"/>
        </w:rPr>
        <w:t>=</w:t>
      </w:r>
      <w:r>
        <w:rPr>
          <w:sz w:val="20"/>
        </w:rPr>
        <w:t xml:space="preserve"> which make power marketers jurisdictional public utilities under the FPA.</w:t>
      </w:r>
      <w:r>
        <w:rPr>
          <w:rFonts w:cs="WP TypographicSymbols" w:ascii="WP TypographicSymbols" w:hAnsi="WP TypographicSymbols"/>
          <w:sz w:val="20"/>
        </w:rPr>
        <w:t>@</w:t>
      </w:r>
      <w:r>
        <w:rPr>
          <w:sz w:val="20"/>
        </w:rPr>
        <w:t xml:space="preserve">  </w:t>
      </w:r>
      <w:r>
        <w:rPr>
          <w:i/>
          <w:sz w:val="20"/>
        </w:rPr>
        <w:t>Id.</w:t>
      </w:r>
    </w:p>
  </w:footnote>
  <w:footnote w:id="5">
    <w:p>
      <w:pPr>
        <w:pStyle w:val="Normal"/>
        <w:spacing w:before="0" w:after="240"/>
        <w:ind w:firstLine="720" w:end="0"/>
        <w:jc w:val="both"/>
        <w:rPr/>
      </w:pPr>
      <w:r>
        <w:rPr>
          <w:rStyle w:val="FootnoteCharacters"/>
        </w:rPr>
        <w:footnoteRef/>
      </w:r>
      <w:r>
        <w:rPr>
          <w:sz w:val="20"/>
        </w:rPr>
        <w:t xml:space="preserve">Annual assessments are apportioned between </w:t>
      </w:r>
      <w:r>
        <w:rPr>
          <w:rFonts w:cs="WP TypographicSymbols" w:ascii="WP TypographicSymbols" w:hAnsi="WP TypographicSymbols"/>
          <w:sz w:val="20"/>
        </w:rPr>
        <w:t>A</w:t>
      </w:r>
      <w:r>
        <w:rPr>
          <w:i/>
          <w:sz w:val="20"/>
        </w:rPr>
        <w:t>long-term firm</w:t>
      </w:r>
      <w:r>
        <w:rPr>
          <w:sz w:val="20"/>
        </w:rPr>
        <w:t xml:space="preserve"> sales and transmission activities</w:t>
      </w:r>
      <w:r>
        <w:rPr>
          <w:rFonts w:cs="WP TypographicSymbols" w:ascii="WP TypographicSymbols" w:hAnsi="WP TypographicSymbols"/>
          <w:sz w:val="20"/>
        </w:rPr>
        <w:t>@</w:t>
      </w:r>
      <w:r>
        <w:rPr>
          <w:sz w:val="20"/>
        </w:rPr>
        <w:t xml:space="preserve"> and </w:t>
      </w:r>
      <w:r>
        <w:rPr>
          <w:rFonts w:cs="WP TypographicSymbols" w:ascii="WP TypographicSymbols" w:hAnsi="WP TypographicSymbols"/>
          <w:sz w:val="20"/>
        </w:rPr>
        <w:t>A</w:t>
      </w:r>
      <w:r>
        <w:rPr>
          <w:i/>
          <w:sz w:val="20"/>
        </w:rPr>
        <w:t>short term</w:t>
      </w:r>
      <w:r>
        <w:rPr>
          <w:sz w:val="20"/>
        </w:rPr>
        <w:t xml:space="preserve"> sales and transmission and exchange activities,</w:t>
      </w:r>
      <w:r>
        <w:rPr>
          <w:rFonts w:cs="WP TypographicSymbols" w:ascii="WP TypographicSymbols" w:hAnsi="WP TypographicSymbols"/>
          <w:sz w:val="20"/>
        </w:rPr>
        <w:t>@</w:t>
      </w:r>
      <w:r>
        <w:rPr>
          <w:sz w:val="20"/>
        </w:rPr>
        <w:t xml:space="preserve"> but no distinction is made between transmission and sale.  18 C.F.R. </w:t>
      </w:r>
      <w:r>
        <w:rPr>
          <w:rFonts w:cs="WP TypographicSymbols" w:ascii="WP TypographicSymbols" w:hAnsi="WP TypographicSymbols"/>
          <w:sz w:val="20"/>
        </w:rPr>
        <w:t>'</w:t>
      </w:r>
      <w:r>
        <w:rPr>
          <w:sz w:val="20"/>
        </w:rPr>
        <w:t> 382.201 (1997).</w:t>
      </w:r>
    </w:p>
  </w:footnote>
  <w:footnote w:id="6">
    <w:p>
      <w:pPr>
        <w:pStyle w:val="Normal"/>
        <w:spacing w:before="0" w:after="240"/>
        <w:ind w:firstLine="720" w:end="0"/>
        <w:jc w:val="both"/>
        <w:rPr/>
      </w:pPr>
      <w:r>
        <w:rPr>
          <w:rStyle w:val="FootnoteCharacters"/>
        </w:rPr>
        <w:footnoteRef/>
      </w:r>
      <w:r>
        <w:rPr>
          <w:rFonts w:cs="WP TypographicSymbols" w:ascii="WP TypographicSymbols" w:hAnsi="WP TypographicSymbols"/>
          <w:sz w:val="20"/>
        </w:rPr>
        <w:t>A</w:t>
      </w:r>
      <w:r>
        <w:rPr>
          <w:sz w:val="20"/>
        </w:rPr>
        <w:t>Discharge by accord and satisfaction means a discharge by the rendering of some performance different from that which was claimed as due and the acceptance of such substituted performance by the claimant as full satisfaction of his claim.</w:t>
      </w:r>
      <w:r>
        <w:rPr>
          <w:rFonts w:cs="WP TypographicSymbols" w:ascii="WP TypographicSymbols" w:hAnsi="WP TypographicSymbols"/>
          <w:sz w:val="20"/>
        </w:rPr>
        <w:t>@</w:t>
      </w:r>
      <w:r>
        <w:rPr>
          <w:sz w:val="20"/>
        </w:rPr>
        <w:t xml:space="preserve">  Arthur L. Corbin, </w:t>
      </w:r>
      <w:r>
        <w:rPr>
          <w:i/>
          <w:sz w:val="20"/>
        </w:rPr>
        <w:t>Corbin on Contracts</w:t>
      </w:r>
      <w:r>
        <w:rPr>
          <w:sz w:val="20"/>
        </w:rPr>
        <w:t xml:space="preserve"> </w:t>
      </w:r>
      <w:r>
        <w:rPr>
          <w:rFonts w:cs="WP TypographicSymbols" w:ascii="WP TypographicSymbols" w:hAnsi="WP TypographicSymbols"/>
          <w:sz w:val="20"/>
        </w:rPr>
        <w:t>'</w:t>
      </w:r>
      <w:r>
        <w:rPr>
          <w:sz w:val="20"/>
        </w:rPr>
        <w:t> 1276 at 115 (1962).</w:t>
      </w:r>
    </w:p>
  </w:footnote>
  <w:footnote w:id="7">
    <w:p>
      <w:pPr>
        <w:pStyle w:val="Normal"/>
        <w:ind w:firstLine="720" w:end="0"/>
        <w:jc w:val="both"/>
        <w:rPr/>
      </w:pPr>
      <w:r>
        <w:rPr>
          <w:rStyle w:val="FootnoteCharacters"/>
        </w:rPr>
        <w:footnoteRef/>
      </w:r>
      <w:r>
        <w:rPr>
          <w:sz w:val="20"/>
        </w:rPr>
        <w:t xml:space="preserve">Market participants have requested that jurisdictional sales and exchanges between subsidiaries, parents, affiliated companies, power pool members, and members of cooperatives should be exempt from the assessment of annual charges because, among other things, </w:t>
      </w:r>
      <w:r>
        <w:rPr>
          <w:rFonts w:cs="WP TypographicSymbols" w:ascii="WP TypographicSymbols" w:hAnsi="WP TypographicSymbols"/>
          <w:sz w:val="20"/>
        </w:rPr>
        <w:t>A</w:t>
      </w:r>
      <w:r>
        <w:rPr>
          <w:sz w:val="20"/>
        </w:rPr>
        <w:t>annual charges assessed for [such] transactions constitute discriminatory, multiple billing for the same amount of electricity.</w:t>
      </w:r>
      <w:r>
        <w:rPr>
          <w:rFonts w:cs="WP TypographicSymbols" w:ascii="WP TypographicSymbols" w:hAnsi="WP TypographicSymbols"/>
          <w:sz w:val="20"/>
        </w:rPr>
        <w:t>@</w:t>
      </w:r>
      <w:r>
        <w:rPr>
          <w:sz w:val="20"/>
        </w:rPr>
        <w:t xml:space="preserve">  Order No. 472, [1986-90 Regs. Preambles] FERC at 30,638.  Implicit in this reasoning is the argument that the Commission should only assess charges once against electricity physically delivered.  The Commission rejected the argument, noting that:</w:t>
      </w:r>
    </w:p>
    <w:p>
      <w:pPr>
        <w:pStyle w:val="Normal"/>
        <w:jc w:val="both"/>
        <w:rPr>
          <w:sz w:val="20"/>
        </w:rPr>
      </w:pPr>
      <w:r>
        <w:rPr>
          <w:sz w:val="20"/>
        </w:rPr>
      </w:r>
    </w:p>
    <w:p>
      <w:pPr>
        <w:pStyle w:val="Normal"/>
        <w:ind w:start="720" w:end="720"/>
        <w:jc w:val="both"/>
        <w:rPr>
          <w:sz w:val="20"/>
        </w:rPr>
      </w:pPr>
      <w:r>
        <w:rPr>
          <w:sz w:val="20"/>
        </w:rPr>
        <w:t xml:space="preserve">An annual charge is not intended to represent an assessment on total energy delivered to the ultimate end-user of that energy.  Rather, it is designed to allocate the cost of regulating each wholesale transaction.  Consequently, while there may be a multiple assessment on some kilowatt-hours, such assessment is justified because each wholesale transaction is governed by a rate schedule on file with the Commission which causes the Commission to incur separate and distinct costs.  </w:t>
      </w:r>
    </w:p>
    <w:p>
      <w:pPr>
        <w:pStyle w:val="Normal"/>
        <w:jc w:val="both"/>
        <w:rPr>
          <w:sz w:val="20"/>
        </w:rPr>
      </w:pPr>
      <w:r>
        <w:rPr>
          <w:sz w:val="20"/>
        </w:rPr>
      </w:r>
    </w:p>
    <w:p>
      <w:pPr>
        <w:pStyle w:val="Normal"/>
        <w:jc w:val="both"/>
        <w:rPr/>
      </w:pPr>
      <w:r>
        <w:rPr>
          <w:sz w:val="20"/>
        </w:rPr>
        <w:t xml:space="preserve">Order No. 472, [1986-90 Regs. Preambles] FERC at 30,638; </w:t>
      </w:r>
      <w:r>
        <w:rPr>
          <w:i/>
          <w:sz w:val="20"/>
        </w:rPr>
        <w:t>see also</w:t>
      </w:r>
      <w:r>
        <w:rPr>
          <w:sz w:val="20"/>
        </w:rPr>
        <w:t xml:space="preserve"> Order No. 472-B [1986-90 Regs. Preambles] FERC at 30,824.  (</w:t>
      </w:r>
      <w:r>
        <w:rPr>
          <w:rFonts w:cs="WP TypographicSymbols" w:ascii="WP TypographicSymbols" w:hAnsi="WP TypographicSymbols"/>
          <w:sz w:val="20"/>
        </w:rPr>
        <w:t>A</w:t>
      </w:r>
      <w:r>
        <w:rPr>
          <w:sz w:val="20"/>
        </w:rPr>
        <w:t>The Commission continues to believe that its approach of assessing a unit of gas or electricity each time it is sold or transported by a jurisdictional entity is fully in accord with Congressional guidance that the Commission consider (1) the amount of energy transported or sold in interstate commerce by each regulated entity and compare that amount with (2) the total amount of energy transported or sold in interstate commerce by all similar entities.  In other words, the Commission is assessing entities on the basis of their throughput, rather than assessing energy volumes as such.</w:t>
      </w:r>
      <w:r>
        <w:rPr>
          <w:rFonts w:cs="WP TypographicSymbols" w:ascii="WP TypographicSymbols" w:hAnsi="WP TypographicSymbols"/>
          <w:sz w:val="20"/>
        </w:rPr>
        <w:t>@</w:t>
      </w:r>
      <w:r>
        <w:rPr>
          <w:sz w:val="20"/>
        </w:rPr>
        <w:t>)</w:t>
      </w:r>
    </w:p>
    <w:p>
      <w:pPr>
        <w:pStyle w:val="Normal"/>
        <w:spacing w:before="0" w:after="240"/>
        <w:jc w:val="both"/>
        <w:rPr>
          <w:sz w:val="20"/>
        </w:rPr>
      </w:pPr>
      <w:r>
        <w:rPr>
          <w:sz w:val="20"/>
        </w:rPr>
      </w:r>
    </w:p>
  </w:footnote>
  <w:footnote w:id="8">
    <w:p>
      <w:pPr>
        <w:pStyle w:val="Normal"/>
        <w:spacing w:before="0" w:after="240"/>
        <w:ind w:firstLine="720" w:end="0"/>
        <w:jc w:val="both"/>
        <w:rPr/>
      </w:pPr>
      <w:r>
        <w:rPr>
          <w:rStyle w:val="FootnoteCharacters"/>
        </w:rPr>
        <w:footnoteRef/>
      </w:r>
      <w:r>
        <w:rPr>
          <w:i/>
          <w:sz w:val="20"/>
        </w:rPr>
        <w:t xml:space="preserve">Cf. </w:t>
      </w:r>
      <w:r>
        <w:rPr>
          <w:sz w:val="20"/>
        </w:rPr>
        <w:t xml:space="preserve">15 U.S.C. </w:t>
      </w:r>
      <w:r>
        <w:rPr>
          <w:rFonts w:cs="WP TypographicSymbols" w:ascii="WP TypographicSymbols" w:hAnsi="WP TypographicSymbols"/>
          <w:sz w:val="20"/>
        </w:rPr>
        <w:t>'</w:t>
      </w:r>
      <w:r>
        <w:rPr>
          <w:sz w:val="20"/>
        </w:rPr>
        <w:t> 3301(20) (1994).</w:t>
      </w:r>
    </w:p>
  </w:footnote>
  <w:footnote w:id="9">
    <w:p>
      <w:pPr>
        <w:pStyle w:val="Normal"/>
        <w:ind w:firstLine="720" w:end="0"/>
        <w:jc w:val="both"/>
        <w:rPr/>
      </w:pPr>
      <w:r>
        <w:rPr>
          <w:rStyle w:val="FootnoteCharacters"/>
        </w:rPr>
        <w:footnoteRef/>
      </w:r>
      <w:r>
        <w:rPr>
          <w:sz w:val="20"/>
        </w:rPr>
        <w:t>As the Commission observed:</w:t>
      </w:r>
    </w:p>
    <w:p>
      <w:pPr>
        <w:pStyle w:val="Normal"/>
        <w:jc w:val="both"/>
        <w:rPr>
          <w:sz w:val="20"/>
        </w:rPr>
      </w:pPr>
      <w:r>
        <w:rPr>
          <w:sz w:val="20"/>
        </w:rPr>
      </w:r>
    </w:p>
    <w:p>
      <w:pPr>
        <w:pStyle w:val="Normal"/>
        <w:ind w:start="1440" w:end="720"/>
        <w:jc w:val="both"/>
        <w:rPr/>
      </w:pPr>
      <w:r>
        <w:rPr>
          <w:sz w:val="20"/>
        </w:rPr>
        <w:t>The Commission has explained in previous orders that power marketers must file quarterly reports, detailing the purchase and sale transactions undertaken in the prior quarter, in order to allow the Commission to evaluate the reasonableness of the marketer</w:t>
      </w:r>
      <w:r>
        <w:rPr>
          <w:rFonts w:cs="WP TypographicSymbols" w:ascii="WP TypographicSymbols" w:hAnsi="WP TypographicSymbols"/>
          <w:sz w:val="20"/>
        </w:rPr>
        <w:t>=</w:t>
      </w:r>
      <w:r>
        <w:rPr>
          <w:sz w:val="20"/>
        </w:rPr>
        <w:t>s changes and to provide for ongoing monitoring of the marketers ability to exercise market power.</w:t>
      </w:r>
    </w:p>
    <w:p>
      <w:pPr>
        <w:pStyle w:val="Normal"/>
        <w:jc w:val="both"/>
        <w:rPr>
          <w:sz w:val="20"/>
        </w:rPr>
      </w:pPr>
      <w:r>
        <w:rPr>
          <w:sz w:val="20"/>
        </w:rPr>
      </w:r>
    </w:p>
    <w:p>
      <w:pPr>
        <w:pStyle w:val="Normal"/>
        <w:spacing w:lineRule="auto" w:line="480" w:before="0" w:after="240"/>
        <w:ind w:firstLine="720" w:end="0"/>
        <w:jc w:val="both"/>
        <w:rPr/>
      </w:pPr>
      <w:r>
        <w:rPr>
          <w:i/>
          <w:sz w:val="20"/>
        </w:rPr>
        <w:t>Id.</w:t>
      </w:r>
      <w:r>
        <w:rPr>
          <w:sz w:val="20"/>
        </w:rPr>
        <w:t xml:space="preserve"> at 61,696 (footnote omitted).  </w:t>
      </w:r>
    </w:p>
  </w:footnote>
  <w:footnote w:id="10">
    <w:p>
      <w:pPr>
        <w:pStyle w:val="Normal"/>
        <w:spacing w:before="0" w:after="240"/>
        <w:ind w:firstLine="720" w:end="0"/>
        <w:jc w:val="both"/>
        <w:rPr/>
      </w:pPr>
      <w:r>
        <w:rPr>
          <w:rStyle w:val="FootnoteCharacters"/>
        </w:rPr>
        <w:footnoteRef/>
      </w:r>
      <w:r>
        <w:rPr>
          <w:sz w:val="20"/>
        </w:rPr>
        <w:t>Based on FERC's formula, it is not clear to us whether EPMI's position could also have the effect of reducing the overall funds available to FERC.  If it did have that effect, however, that too could be troublesome to FERC.</w:t>
      </w:r>
    </w:p>
  </w:footnote>
  <w:footnote w:id="11">
    <w:p>
      <w:pPr>
        <w:pStyle w:val="Normal"/>
        <w:spacing w:before="0" w:after="240"/>
        <w:ind w:firstLine="720" w:end="0"/>
        <w:jc w:val="both"/>
        <w:rPr/>
      </w:pPr>
      <w:r>
        <w:rPr>
          <w:rStyle w:val="FootnoteCharacters"/>
        </w:rPr>
        <w:footnoteRef/>
      </w:r>
      <w:r>
        <w:rPr>
          <w:sz w:val="20"/>
        </w:rPr>
        <w:t>If EPMI were to make such an argument, it could potentially raise an issue about EPMI</w:t>
      </w:r>
      <w:r>
        <w:rPr>
          <w:rFonts w:cs="WP TypographicSymbols" w:ascii="WP TypographicSymbols" w:hAnsi="WP TypographicSymbols"/>
          <w:sz w:val="20"/>
        </w:rPr>
        <w:t>=</w:t>
      </w:r>
      <w:r>
        <w:rPr>
          <w:sz w:val="20"/>
        </w:rPr>
        <w:t>s compliance with its obligations under the CEA and the CFTC</w:t>
      </w:r>
      <w:r>
        <w:rPr>
          <w:rFonts w:cs="WP TypographicSymbols" w:ascii="WP TypographicSymbols" w:hAnsi="WP TypographicSymbols"/>
          <w:sz w:val="20"/>
        </w:rPr>
        <w:t>=</w:t>
      </w:r>
      <w:r>
        <w:rPr>
          <w:sz w:val="20"/>
        </w:rPr>
        <w:t xml:space="preserve">s regulations.  </w:t>
      </w:r>
    </w:p>
  </w:footnote>
  <w:footnote w:id="12">
    <w:p>
      <w:pPr>
        <w:pStyle w:val="Normal"/>
        <w:spacing w:before="0" w:after="240"/>
        <w:ind w:firstLine="720" w:end="0"/>
        <w:jc w:val="both"/>
        <w:rPr/>
      </w:pPr>
      <w:r>
        <w:rPr>
          <w:rStyle w:val="FootnoteCharacters"/>
        </w:rPr>
        <w:footnoteRef/>
      </w:r>
      <w:r>
        <w:rPr>
          <w:sz w:val="20"/>
        </w:rPr>
        <w:t>Because it is beyond the scope of this memorandum, we have not researched the potential impact of section 203 (</w:t>
      </w:r>
      <w:r>
        <w:rPr>
          <w:i/>
          <w:sz w:val="20"/>
        </w:rPr>
        <w:t xml:space="preserve">i.e., </w:t>
      </w:r>
      <w:r>
        <w:rPr>
          <w:sz w:val="20"/>
        </w:rPr>
        <w:t xml:space="preserve">the requirement that FERC grant prior approval for all sales or other dispositions, in whole or in part, of a public utility's power sales contracts) on book outs and related compliance issues.  If requested, we can delve further into these issues.  </w:t>
      </w:r>
    </w:p>
  </w:footnote>
  <w:footnote w:id="13">
    <w:p>
      <w:pPr>
        <w:pStyle w:val="Normal"/>
        <w:spacing w:before="0" w:after="240"/>
        <w:ind w:firstLine="720" w:end="0"/>
        <w:jc w:val="both"/>
        <w:rPr/>
      </w:pPr>
      <w:r>
        <w:rPr>
          <w:rStyle w:val="FootnoteCharacters"/>
        </w:rPr>
        <w:footnoteRef/>
      </w:r>
      <w:r>
        <w:rPr>
          <w:sz w:val="20"/>
        </w:rPr>
        <w:t xml:space="preserve">Obviously, as stated in </w:t>
      </w:r>
      <w:r>
        <w:rPr>
          <w:i/>
          <w:sz w:val="20"/>
        </w:rPr>
        <w:t>NYMEX</w:t>
      </w:r>
      <w:r>
        <w:rPr>
          <w:sz w:val="20"/>
        </w:rPr>
        <w:t xml:space="preserve">, FERC would continue to have FPA jurisdiction over physical deliveries of power resulting from futures transactions.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6"/>
        <w:b/>
        <w:rFonts w:ascii="Times New Roman" w:hAnsi="Times New Roman" w:cs="Times New Roman"/>
      </w:rPr>
    </w:lvl>
    <w:lvl w:ilvl="1">
      <w:start w:val="1"/>
      <w:numFmt w:val="decimal"/>
      <w:lvlText w:val="%2."/>
      <w:lvlJc w:val="start"/>
      <w:pPr>
        <w:tabs>
          <w:tab w:val="num" w:pos="0"/>
        </w:tabs>
        <w:ind w:start="0" w:hanging="0"/>
      </w:pPr>
      <w:rPr>
        <w:sz w:val="24"/>
        <w:b/>
        <w:rFonts w:ascii="Times New Roman" w:hAnsi="Times New Roman" w:cs="Times New Roman"/>
      </w:r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Times New Roman" w:hAnsi="Times New Roman" w:cs="Times New Roman"/>
      <w:b/>
      <w:sz w:val="26"/>
    </w:rPr>
  </w:style>
  <w:style w:type="character" w:styleId="WW8Num1z1">
    <w:name w:val="WW8Num1z1"/>
    <w:qFormat/>
    <w:rPr>
      <w:rFonts w:ascii="Times New Roman" w:hAnsi="Times New Roman" w:cs="Times New Roman"/>
      <w:b/>
      <w:sz w:val="24"/>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s>
      <w:ind w:hanging="720" w:start="720" w:end="0"/>
      <w:outlineLvl w:val="0"/>
    </w:pPr>
    <w:rPr>
      <w:b/>
    </w:rPr>
  </w:style>
  <w:style w:type="paragraph" w:styleId="Level2">
    <w:name w:val="Level 2"/>
    <w:basedOn w:val="Normal"/>
    <w:qFormat/>
    <w:pPr>
      <w:numPr>
        <w:ilvl w:val="0"/>
        <w:numId w:val="1"/>
      </w:numPr>
      <w:tabs>
        <w:tab w:val="clear" w:pos="720"/>
      </w:tabs>
      <w:ind w:hanging="720" w:start="1440" w:end="0"/>
      <w:outlineLvl w:val="1"/>
    </w:pPr>
    <w:rPr>
      <w:b/>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320" w:leader="none"/>
        <w:tab w:val="right" w:pos="8640"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2001-06-26T18:50:00Z</dcterms:created>
  <dc:creator>Bracewell &amp; Patterson, L.L.P.</dc:creator>
  <dc:description/>
  <dc:language>en-CA</dc:language>
  <cp:lastModifiedBy>Bracewell &amp; Patterson, L.L.P.</cp:lastModifiedBy>
  <dcterms:modified xsi:type="dcterms:W3CDTF">2001-06-26T18:50:00Z</dcterms:modified>
  <cp:revision>2</cp:revision>
  <dc:subject/>
  <dc:title/>
</cp:coreProperties>
</file>