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rFonts w:ascii="Arial" w:hAnsi="Arial" w:cs="Arial"/>
          <w:sz w:val="20"/>
        </w:rPr>
      </w:pPr>
      <w:r>
        <w:rPr>
          <w:rFonts w:eastAsia="Arial" w:cs="Arial" w:ascii="Arial" w:hAnsi="Arial"/>
          <w:sz w:val="20"/>
        </w:rPr>
        <w:t xml:space="preserve"> </w:t>
      </w:r>
      <w:r>
        <w:rPr>
          <w:rFonts w:cs="Arial" w:ascii="Arial" w:hAnsi="Arial"/>
          <w:sz w:val="20"/>
        </w:rPr>
        <w:tab/>
      </w:r>
      <w:r>
        <w:rPr>
          <w:rFonts w:cs="Arial" w:ascii="Arial" w:hAnsi="Arial"/>
          <w:b/>
          <w:sz w:val="20"/>
        </w:rPr>
        <w:t>ELECTRONIC TRADING AGREEMENT</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derivatives products) (collectively, “Transactions”); and</w:t>
      </w:r>
    </w:p>
    <w:p>
      <w:pPr>
        <w:pStyle w:val="Normal"/>
        <w:widowControl/>
        <w:ind w:firstLine="1440" w:end="0"/>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NOW, THEREFORE, for good and valuable consideration, the receipt and adequacy of which are hereby acknowledged, the parties hereby agree as follows:</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pPr>
      <w:r>
        <w:rPr>
          <w:rFonts w:cs="Arial" w:ascii="Arial" w:hAnsi="Arial"/>
          <w:b/>
          <w:sz w:val="20"/>
        </w:rPr>
        <w:t>1.</w:t>
        <w:tab/>
      </w:r>
      <w:r>
        <w:rPr>
          <w:rFonts w:cs="Arial" w:ascii="Arial" w:hAnsi="Arial"/>
          <w:b/>
          <w:sz w:val="20"/>
          <w:u w:val="single"/>
        </w:rPr>
        <w:t>SCOPE OF AGREEMENT.</w:t>
      </w:r>
      <w:r>
        <w:rPr>
          <w:rFonts w:cs="Arial" w:ascii="Arial" w:hAnsi="Arial"/>
          <w:sz w:val="20"/>
        </w:rPr>
        <w:t xml:space="preserve">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pPr>
      <w:r>
        <w:rPr>
          <w:rFonts w:cs="Arial" w:ascii="Arial" w:hAnsi="Arial"/>
          <w:b/>
          <w:sz w:val="20"/>
        </w:rPr>
        <w:t>2.</w:t>
        <w:tab/>
      </w:r>
      <w:r>
        <w:rPr>
          <w:rFonts w:cs="Arial" w:ascii="Arial" w:hAnsi="Arial"/>
          <w:b/>
          <w:sz w:val="20"/>
          <w:u w:val="single"/>
        </w:rPr>
        <w:t>REPRESENTATIONS, WARRANTIES AND COVENANTS.</w:t>
      </w:r>
      <w:r>
        <w:rPr>
          <w:rFonts w:cs="Arial" w:ascii="Arial" w:hAnsi="Arial"/>
          <w:sz w:val="20"/>
        </w:rPr>
        <w:t xml:space="preserve">  Counterparty hereby represents, warrants and covenants as follows:</w:t>
      </w:r>
    </w:p>
    <w:p>
      <w:pPr>
        <w:pStyle w:val="Normal"/>
        <w:widowControl/>
        <w:jc w:val="both"/>
        <w:rPr>
          <w:rFonts w:ascii="Arial" w:hAnsi="Arial" w:cs="Arial"/>
          <w:sz w:val="20"/>
        </w:rPr>
      </w:pPr>
      <w:r>
        <w:rPr>
          <w:rFonts w:cs="Arial" w:ascii="Arial" w:hAnsi="Arial"/>
          <w:sz w:val="20"/>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jc w:val="both"/>
        <w:rPr>
          <w:rFonts w:ascii="Arial" w:hAnsi="Arial" w:cs="Arial"/>
          <w:sz w:val="20"/>
        </w:rPr>
      </w:pPr>
      <w:r>
        <w:rPr>
          <w:rFonts w:cs="Arial"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utilization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(c)</w:t>
        <w:tab/>
        <w:t>Counterparty shall comply with any and all laws, rules, regulations or orders applicable to Counterparty’s access and use of the Website.</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Enron does not grant to Counterparty any rights in respect of such sites.</w:t>
      </w:r>
    </w:p>
    <w:p>
      <w:pPr>
        <w:pStyle w:val="Normal"/>
        <w:widowControl/>
        <w:jc w:val="both"/>
        <w:rPr>
          <w:rFonts w:ascii="Arial" w:hAnsi="Arial" w:cs="Arial"/>
          <w:sz w:val="20"/>
        </w:rPr>
      </w:pPr>
      <w:r>
        <w:rPr>
          <w:rFonts w:cs="Arial" w:ascii="Arial" w:hAnsi="Arial"/>
          <w:sz w:val="20"/>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rFonts w:ascii="Arial" w:hAnsi="Arial" w:cs="Arial"/>
          <w:sz w:val="20"/>
        </w:rPr>
      </w:pPr>
      <w:r>
        <w:rPr>
          <w:rFonts w:cs="Arial"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jc w:val="both"/>
        <w:rPr>
          <w:rFonts w:ascii="Arial" w:hAnsi="Arial" w:cs="Arial"/>
          <w:b/>
          <w:sz w:val="20"/>
        </w:rPr>
      </w:pPr>
      <w:r>
        <w:rPr>
          <w:rFonts w:cs="Arial" w:ascii="Arial" w:hAnsi="Arial"/>
          <w:b/>
          <w:sz w:val="20"/>
        </w:rPr>
      </w:r>
    </w:p>
    <w:p>
      <w:pPr>
        <w:pStyle w:val="Normal"/>
        <w:widowControl/>
        <w:tabs>
          <w:tab w:val="clear" w:pos="720"/>
          <w:tab w:val="left" w:pos="-1440" w:leader="none"/>
        </w:tabs>
        <w:ind w:hanging="720" w:start="2160" w:end="0"/>
        <w:jc w:val="both"/>
        <w:rPr/>
      </w:pPr>
      <w:r>
        <w:rPr>
          <w:rFonts w:cs="Arial" w:ascii="Arial" w:hAnsi="Arial"/>
          <w:b/>
          <w:sz w:val="20"/>
        </w:rPr>
        <w:t>3.</w:t>
        <w:tab/>
      </w:r>
      <w:r>
        <w:rPr>
          <w:rFonts w:cs="Arial" w:ascii="Arial" w:hAnsi="Arial"/>
          <w:b/>
          <w:sz w:val="20"/>
          <w:u w:val="single"/>
        </w:rPr>
        <w:t>TRANSACTIONS</w:t>
      </w:r>
      <w:r>
        <w:rPr>
          <w:rFonts w:cs="Arial" w:ascii="Arial" w:hAnsi="Arial"/>
          <w:b/>
          <w:sz w:val="20"/>
        </w:rPr>
        <w:t>.</w:t>
      </w:r>
    </w:p>
    <w:p>
      <w:pPr>
        <w:pStyle w:val="Normal"/>
        <w:widowControl/>
        <w:tabs>
          <w:tab w:val="clear" w:pos="720"/>
          <w:tab w:val="left" w:pos="-1440" w:leader="none"/>
        </w:tabs>
        <w:ind w:hanging="720" w:start="2160" w:end="0"/>
        <w:jc w:val="both"/>
        <w:rPr>
          <w:rFonts w:ascii="Arial" w:hAnsi="Arial" w:cs="Arial"/>
          <w:b/>
          <w:sz w:val="20"/>
        </w:rPr>
      </w:pPr>
      <w:r>
        <w:rPr>
          <w:rFonts w:cs="Arial" w:ascii="Arial" w:hAnsi="Arial"/>
          <w:b/>
          <w:sz w:val="20"/>
        </w:rPr>
      </w:r>
    </w:p>
    <w:p>
      <w:pPr>
        <w:pStyle w:val="Normal"/>
        <w:widowControl/>
        <w:jc w:val="both"/>
        <w:rPr>
          <w:rFonts w:ascii="Arial" w:hAnsi="Arial" w:cs="Arial"/>
          <w:sz w:val="20"/>
        </w:rPr>
      </w:pPr>
      <w:r>
        <w:rPr>
          <w:rFonts w:cs="Arial" w:ascii="Arial" w:hAnsi="Arial"/>
          <w:sz w:val="20"/>
        </w:rPr>
        <w:tab/>
        <w:tab/>
        <w:t>(a)</w:t>
        <w:tab/>
        <w:t>Each Transaction executed by Counterparty through the Website shall be subject to the terms and conditions of this Agreement, the Password Application, the short descriptions and the long definitions stated on the Website in respect of the products which are the subject matter of the relevant Transaction, and any master agreement in effect as at the date of execution of Transactions (save that Transactions can be executed as specified in clause 3(b) below) or if no master agreement is in effect as at the date of the execution of the relevant Transaction, the terms and conditions specified on the Website, and/or any other written agreement between the parties in respect of the products which are the subject matter of the relevant Transaction from time to time.</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jc w:val="both"/>
        <w:rPr>
          <w:rFonts w:ascii="Arial" w:hAnsi="Arial" w:cs="Arial"/>
          <w:sz w:val="20"/>
        </w:rPr>
      </w:pPr>
      <w:r>
        <w:rPr>
          <w:rFonts w:cs="Arial" w:ascii="Arial" w:hAnsi="Arial"/>
          <w:sz w:val="20"/>
        </w:rPr>
      </w:r>
    </w:p>
    <w:p>
      <w:pPr>
        <w:pStyle w:val="Normal"/>
        <w:widowControl/>
        <w:tabs>
          <w:tab w:val="clear" w:pos="720"/>
          <w:tab w:val="left" w:pos="-1440" w:leader="none"/>
        </w:tabs>
        <w:ind w:hanging="720" w:start="2160" w:end="0"/>
        <w:jc w:val="both"/>
        <w:rPr>
          <w:rFonts w:ascii="Arial" w:hAnsi="Arial" w:cs="Arial"/>
          <w:sz w:val="20"/>
        </w:rPr>
      </w:pPr>
      <w:r>
        <w:rPr>
          <w:rFonts w:cs="Arial" w:ascii="Arial" w:hAnsi="Arial"/>
          <w:b/>
          <w:sz w:val="20"/>
        </w:rPr>
        <w:t>4.</w:t>
        <w:tab/>
      </w:r>
      <w:r>
        <w:rPr>
          <w:rFonts w:cs="Arial" w:ascii="Arial" w:hAnsi="Arial"/>
          <w:b/>
          <w:sz w:val="20"/>
          <w:u w:val="single"/>
        </w:rPr>
        <w:t>LIMITATION OF LIABILITY; INDEMNITY.</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ind w:firstLine="1440" w:end="0"/>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(c)</w:t>
        <w:tab/>
        <w:t>Nothing in this Agreement shall have the effect of limiting or restricting either party's liability arising as a result of its fraud.</w:t>
      </w:r>
    </w:p>
    <w:p>
      <w:pPr>
        <w:pStyle w:val="Normal"/>
        <w:widowControl/>
        <w:jc w:val="both"/>
        <w:rPr>
          <w:rFonts w:ascii="Arial" w:hAnsi="Arial" w:cs="Arial"/>
          <w:b/>
          <w:sz w:val="20"/>
        </w:rPr>
      </w:pPr>
      <w:r>
        <w:rPr>
          <w:rFonts w:cs="Arial" w:ascii="Arial" w:hAnsi="Arial"/>
          <w:b/>
          <w:sz w:val="20"/>
        </w:rPr>
      </w:r>
    </w:p>
    <w:p>
      <w:pPr>
        <w:pStyle w:val="Normal"/>
        <w:widowControl/>
        <w:tabs>
          <w:tab w:val="clear" w:pos="720"/>
          <w:tab w:val="left" w:pos="-1440" w:leader="none"/>
        </w:tabs>
        <w:ind w:hanging="720" w:start="2160" w:end="0"/>
        <w:jc w:val="both"/>
        <w:rPr>
          <w:rFonts w:ascii="Arial" w:hAnsi="Arial" w:cs="Arial"/>
          <w:sz w:val="20"/>
        </w:rPr>
      </w:pPr>
      <w:r>
        <w:rPr>
          <w:rFonts w:cs="Arial" w:ascii="Arial" w:hAnsi="Arial"/>
          <w:b/>
          <w:sz w:val="20"/>
        </w:rPr>
        <w:t>5.</w:t>
        <w:tab/>
      </w:r>
      <w:r>
        <w:rPr>
          <w:rFonts w:cs="Arial" w:ascii="Arial" w:hAnsi="Arial"/>
          <w:b/>
          <w:sz w:val="20"/>
          <w:u w:val="single"/>
        </w:rPr>
        <w:t>CONFIDENTIALITY</w:t>
      </w:r>
      <w:r>
        <w:rPr>
          <w:rFonts w:cs="Arial" w:ascii="Arial" w:hAnsi="Arial"/>
          <w:b/>
          <w:sz w:val="20"/>
        </w:rPr>
        <w:t>.</w:t>
      </w:r>
    </w:p>
    <w:p>
      <w:pPr>
        <w:pStyle w:val="Normal"/>
        <w:widowControl/>
        <w:jc w:val="both"/>
        <w:rPr>
          <w:rFonts w:ascii="Arial" w:hAnsi="Arial" w:cs="Arial"/>
          <w:sz w:val="20"/>
        </w:rPr>
      </w:pPr>
      <w:r>
        <w:rPr>
          <w:rFonts w:cs="Arial" w:ascii="Arial" w:hAnsi="Arial"/>
          <w:sz w:val="20"/>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rFonts w:ascii="Arial" w:hAnsi="Arial" w:cs="Arial"/>
          <w:sz w:val="20"/>
        </w:rPr>
      </w:pPr>
      <w:r>
        <w:rPr>
          <w:rFonts w:cs="Arial"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ind w:firstLine="1440" w:end="0"/>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(b)</w:t>
        <w:tab/>
        <w:t>The restrictions imposed by clause 5(a) shall not apply to the disclosure of any information:</w:t>
      </w:r>
    </w:p>
    <w:p>
      <w:pPr>
        <w:pStyle w:val="Normal"/>
        <w:widowControl/>
        <w:ind w:firstLine="1440" w:end="0"/>
        <w:jc w:val="both"/>
        <w:rPr>
          <w:rFonts w:ascii="Arial" w:hAnsi="Arial" w:cs="Arial"/>
          <w:sz w:val="20"/>
        </w:rPr>
      </w:pPr>
      <w:r>
        <w:rPr>
          <w:rFonts w:cs="Arial" w:ascii="Arial" w:hAnsi="Arial"/>
          <w:sz w:val="20"/>
        </w:rPr>
      </w:r>
    </w:p>
    <w:p>
      <w:pPr>
        <w:pStyle w:val="Normal"/>
        <w:widowControl/>
        <w:ind w:firstLine="1440" w:start="720" w:end="0"/>
        <w:jc w:val="both"/>
        <w:rPr>
          <w:rFonts w:ascii="Arial" w:hAnsi="Arial" w:cs="Arial"/>
          <w:sz w:val="20"/>
        </w:rPr>
      </w:pPr>
      <w:r>
        <w:rPr>
          <w:rFonts w:cs="Arial"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ind w:firstLine="1440" w:start="720" w:end="0"/>
        <w:jc w:val="both"/>
        <w:rPr>
          <w:rFonts w:ascii="Arial" w:hAnsi="Arial" w:cs="Arial"/>
          <w:sz w:val="20"/>
        </w:rPr>
      </w:pPr>
      <w:r>
        <w:rPr>
          <w:rFonts w:cs="Arial" w:ascii="Arial" w:hAnsi="Arial"/>
          <w:sz w:val="20"/>
        </w:rPr>
      </w:r>
    </w:p>
    <w:p>
      <w:pPr>
        <w:pStyle w:val="Normal"/>
        <w:widowControl/>
        <w:ind w:firstLine="1440" w:start="720" w:end="0"/>
        <w:jc w:val="both"/>
        <w:rPr>
          <w:rFonts w:ascii="Arial" w:hAnsi="Arial" w:cs="Arial"/>
          <w:sz w:val="20"/>
        </w:rPr>
      </w:pPr>
      <w:r>
        <w:rPr>
          <w:rFonts w:cs="Arial"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ind w:firstLine="1440" w:start="720" w:end="0"/>
        <w:jc w:val="both"/>
        <w:rPr>
          <w:rFonts w:ascii="Arial" w:hAnsi="Arial" w:cs="Arial"/>
          <w:sz w:val="20"/>
        </w:rPr>
      </w:pPr>
      <w:r>
        <w:rPr>
          <w:rFonts w:cs="Arial" w:ascii="Arial" w:hAnsi="Arial"/>
          <w:sz w:val="20"/>
        </w:rPr>
      </w:r>
    </w:p>
    <w:p>
      <w:pPr>
        <w:pStyle w:val="Normal"/>
        <w:widowControl/>
        <w:ind w:firstLine="1440" w:start="720" w:end="0"/>
        <w:jc w:val="both"/>
        <w:rPr>
          <w:rFonts w:ascii="Arial" w:hAnsi="Arial" w:cs="Arial"/>
          <w:sz w:val="20"/>
        </w:rPr>
      </w:pPr>
      <w:r>
        <w:rPr>
          <w:rFonts w:cs="Arial" w:ascii="Arial" w:hAnsi="Arial"/>
          <w:sz w:val="20"/>
        </w:rPr>
        <w:t>(iii)</w:t>
        <w:tab/>
        <w:t>to a court, arbitrator or administrative tribunal in the course of proceedings before it to which the disclosing party is a party; or</w:t>
      </w:r>
    </w:p>
    <w:p>
      <w:pPr>
        <w:pStyle w:val="Normal"/>
        <w:widowControl/>
        <w:ind w:firstLine="1440" w:start="720" w:end="0"/>
        <w:jc w:val="both"/>
        <w:rPr>
          <w:rFonts w:ascii="Arial" w:hAnsi="Arial" w:cs="Arial"/>
          <w:sz w:val="20"/>
        </w:rPr>
      </w:pPr>
      <w:r>
        <w:rPr>
          <w:rFonts w:cs="Arial" w:ascii="Arial" w:hAnsi="Arial"/>
          <w:sz w:val="20"/>
        </w:rPr>
      </w:r>
    </w:p>
    <w:p>
      <w:pPr>
        <w:pStyle w:val="Normal"/>
        <w:widowControl/>
        <w:ind w:firstLine="1440" w:start="720" w:end="0"/>
        <w:jc w:val="both"/>
        <w:rPr>
          <w:rFonts w:ascii="Arial" w:hAnsi="Arial" w:cs="Arial"/>
          <w:sz w:val="20"/>
        </w:rPr>
      </w:pPr>
      <w:r>
        <w:rPr>
          <w:rFonts w:cs="Arial" w:ascii="Arial" w:hAnsi="Arial"/>
          <w:sz w:val="20"/>
        </w:rPr>
        <w:t>(iv)</w:t>
        <w:tab/>
        <w:t>to any consultants, bankers, financiers, or legal advisers of the disclosing party.</w:t>
      </w:r>
    </w:p>
    <w:p>
      <w:pPr>
        <w:pStyle w:val="Normal"/>
        <w:widowControl/>
        <w:jc w:val="both"/>
        <w:rPr>
          <w:rFonts w:ascii="Arial" w:hAnsi="Arial" w:cs="Arial"/>
          <w:sz w:val="20"/>
        </w:rPr>
      </w:pPr>
      <w:r>
        <w:rPr>
          <w:rFonts w:cs="Arial" w:ascii="Arial" w:hAnsi="Arial"/>
          <w:sz w:val="20"/>
        </w:rPr>
      </w:r>
    </w:p>
    <w:p>
      <w:pPr>
        <w:pStyle w:val="Normal"/>
        <w:ind w:firstLine="1440" w:end="0"/>
        <w:jc w:val="both"/>
        <w:rPr>
          <w:rFonts w:ascii="Arial" w:hAnsi="Arial" w:cs="Arial"/>
          <w:b/>
          <w:sz w:val="20"/>
        </w:rPr>
      </w:pPr>
      <w:r>
        <w:rPr>
          <w:rFonts w:cs="Arial"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cs="Arial" w:ascii="Arial" w:hAnsi="Arial"/>
          <w:i/>
          <w:sz w:val="20"/>
        </w:rPr>
        <w:t>mutatis mutandis</w:t>
      </w:r>
      <w:r>
        <w:rPr>
          <w:rFonts w:cs="Arial" w:ascii="Arial" w:hAnsi="Arial"/>
          <w:sz w:val="20"/>
        </w:rPr>
        <w:t xml:space="preserve"> as the undertakings contained in this clause 5 but excluding clause 5(b)(iv).</w:t>
      </w:r>
    </w:p>
    <w:p>
      <w:pPr>
        <w:pStyle w:val="Normal"/>
        <w:tabs>
          <w:tab w:val="clear" w:pos="720"/>
          <w:tab w:val="left" w:pos="-1440" w:leader="none"/>
        </w:tabs>
        <w:ind w:hanging="720" w:start="2160" w:end="0"/>
        <w:jc w:val="both"/>
        <w:rPr>
          <w:rFonts w:ascii="Arial" w:hAnsi="Arial" w:cs="Arial"/>
          <w:b/>
          <w:sz w:val="20"/>
        </w:rPr>
      </w:pPr>
      <w:r>
        <w:rPr>
          <w:rFonts w:cs="Arial" w:ascii="Arial" w:hAnsi="Arial"/>
          <w:b/>
          <w:sz w:val="20"/>
        </w:rPr>
      </w:r>
    </w:p>
    <w:p>
      <w:pPr>
        <w:pStyle w:val="Normal"/>
        <w:tabs>
          <w:tab w:val="clear" w:pos="720"/>
          <w:tab w:val="left" w:pos="-1440" w:leader="none"/>
        </w:tabs>
        <w:ind w:hanging="720" w:start="2160" w:end="0"/>
        <w:jc w:val="both"/>
        <w:rPr>
          <w:rFonts w:ascii="Arial" w:hAnsi="Arial" w:cs="Arial"/>
          <w:sz w:val="20"/>
        </w:rPr>
      </w:pPr>
      <w:r>
        <w:rPr>
          <w:rFonts w:cs="Arial" w:ascii="Arial" w:hAnsi="Arial"/>
          <w:b/>
          <w:sz w:val="20"/>
        </w:rPr>
        <w:t>6.</w:t>
        <w:tab/>
      </w:r>
      <w:r>
        <w:rPr>
          <w:rFonts w:cs="Arial" w:ascii="Arial" w:hAnsi="Arial"/>
          <w:b/>
          <w:sz w:val="20"/>
          <w:u w:val="single"/>
        </w:rPr>
        <w:t>GENERAL</w:t>
      </w:r>
      <w:r>
        <w:rPr>
          <w:rFonts w:cs="Arial" w:ascii="Arial" w:hAnsi="Arial"/>
          <w:b/>
          <w:sz w:val="20"/>
        </w:rPr>
        <w:t>.</w:t>
      </w:r>
    </w:p>
    <w:p>
      <w:pPr>
        <w:pStyle w:val="Normal"/>
        <w:keepNext w:val="true"/>
        <w:keepLines/>
        <w:widowControl/>
        <w:jc w:val="both"/>
        <w:rPr>
          <w:rFonts w:ascii="Arial" w:hAnsi="Arial" w:cs="Arial"/>
          <w:sz w:val="20"/>
        </w:rPr>
      </w:pPr>
      <w:r>
        <w:rPr>
          <w:rFonts w:cs="Arial" w:ascii="Arial" w:hAnsi="Arial"/>
          <w:sz w:val="20"/>
        </w:rPr>
      </w:r>
    </w:p>
    <w:p>
      <w:pPr>
        <w:pStyle w:val="Normal"/>
        <w:ind w:firstLine="1440" w:end="0"/>
        <w:jc w:val="both"/>
        <w:rPr/>
      </w:pPr>
      <w:r>
        <w:rPr>
          <w:rFonts w:cs="Arial"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Enron upon written notice in accordance with clause 6(e)(i) to the other party to take effect immediately,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this Agreement shall remain in effect with respect to any Transactions effected prior to such termination.</w:t>
      </w:r>
    </w:p>
    <w:p>
      <w:pPr>
        <w:pStyle w:val="Normal"/>
        <w:keepNext w:val="true"/>
        <w:keepLines/>
        <w:widowControl/>
        <w:jc w:val="both"/>
        <w:rPr>
          <w:rFonts w:ascii="Arial" w:hAnsi="Arial" w:cs="Arial"/>
          <w:sz w:val="20"/>
        </w:rPr>
      </w:pPr>
      <w:r>
        <w:rPr>
          <w:rFonts w:cs="Arial" w:ascii="Arial" w:hAnsi="Arial"/>
          <w:sz w:val="20"/>
        </w:rPr>
      </w:r>
    </w:p>
    <w:p>
      <w:pPr>
        <w:pStyle w:val="Normal"/>
        <w:ind w:firstLine="1440" w:end="0"/>
        <w:jc w:val="both"/>
        <w:rPr>
          <w:rFonts w:ascii="Arial" w:hAnsi="Arial" w:cs="Arial"/>
          <w:sz w:val="20"/>
        </w:rPr>
      </w:pPr>
      <w:r>
        <w:rPr>
          <w:rFonts w:cs="Arial" w:ascii="Arial" w:hAnsi="Arial"/>
          <w:sz w:val="20"/>
        </w:rPr>
        <w:t>(b)</w:t>
        <w:tab/>
        <w:t>This Agreement may not be assigned by Counterparty without the express prior written consent of Enron.  This Agreement shall be binding upon each party and its successors and permitted assigns in accordance with its terms.</w:t>
      </w:r>
    </w:p>
    <w:p>
      <w:pPr>
        <w:pStyle w:val="Normal"/>
        <w:keepNext w:val="true"/>
        <w:keepLines/>
        <w:widowControl/>
        <w:jc w:val="both"/>
        <w:rPr>
          <w:rFonts w:ascii="Arial" w:hAnsi="Arial" w:cs="Arial"/>
          <w:sz w:val="20"/>
        </w:rPr>
      </w:pPr>
      <w:r>
        <w:rPr>
          <w:rFonts w:cs="Arial" w:ascii="Arial" w:hAnsi="Arial"/>
          <w:sz w:val="20"/>
        </w:rPr>
      </w:r>
    </w:p>
    <w:p>
      <w:pPr>
        <w:pStyle w:val="Normal"/>
        <w:ind w:firstLine="1440" w:end="0"/>
        <w:jc w:val="both"/>
        <w:rPr>
          <w:rFonts w:ascii="Arial" w:hAnsi="Arial" w:cs="Arial"/>
          <w:sz w:val="20"/>
        </w:rPr>
      </w:pPr>
      <w:r>
        <w:rPr>
          <w:rFonts w:cs="Arial"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jc w:val="both"/>
        <w:rPr>
          <w:rFonts w:ascii="Arial" w:hAnsi="Arial" w:cs="Arial"/>
          <w:sz w:val="20"/>
        </w:rPr>
      </w:pPr>
      <w:r>
        <w:rPr>
          <w:rFonts w:cs="Arial" w:ascii="Arial" w:hAnsi="Arial"/>
          <w:sz w:val="20"/>
        </w:rPr>
      </w:r>
    </w:p>
    <w:p>
      <w:pPr>
        <w:pStyle w:val="Normal"/>
        <w:ind w:firstLine="1440" w:end="0"/>
        <w:jc w:val="both"/>
        <w:rPr>
          <w:rFonts w:ascii="Arial" w:hAnsi="Arial" w:cs="Arial"/>
          <w:sz w:val="20"/>
        </w:rPr>
      </w:pPr>
      <w:r>
        <w:rPr>
          <w:rFonts w:cs="Arial"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jc w:val="both"/>
        <w:rPr>
          <w:rFonts w:ascii="Arial" w:hAnsi="Arial" w:cs="Arial"/>
          <w:sz w:val="20"/>
        </w:rPr>
      </w:pPr>
      <w:r>
        <w:rPr>
          <w:rFonts w:cs="Arial" w:ascii="Arial" w:hAnsi="Arial"/>
          <w:sz w:val="20"/>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rFonts w:ascii="Arial" w:hAnsi="Arial" w:cs="Arial"/>
          <w:sz w:val="20"/>
        </w:rPr>
      </w:pPr>
      <w:r>
        <w:rPr>
          <w:rFonts w:cs="Arial" w:ascii="Arial" w:hAnsi="Arial"/>
          <w:sz w:val="20"/>
        </w:rPr>
        <w:t>(f)</w:t>
        <w:tab/>
        <w:t>This Agreement shall be governed by and construed in accordance with English law and the parties hereby submit to the exclusive jurisdiction of the English Courts.</w:t>
      </w:r>
    </w:p>
    <w:p>
      <w:pPr>
        <w:pStyle w:val="Normal"/>
        <w:widowControl/>
        <w:ind w:firstLine="1440" w:end="0"/>
        <w:jc w:val="both"/>
        <w:rPr>
          <w:rFonts w:ascii="Arial" w:hAnsi="Arial" w:eastAsia="Arial" w:cs="Arial"/>
          <w:sz w:val="20"/>
        </w:rPr>
      </w:pPr>
      <w:r>
        <w:rPr>
          <w:rFonts w:eastAsia="Arial" w:cs="Arial" w:ascii="Arial" w:hAnsi="Arial"/>
          <w:sz w:val="20"/>
        </w:rPr>
        <w:t xml:space="preserve"> </w:t>
      </w:r>
      <w:r>
        <mc:AlternateContent>
          <mc:Choice Requires="wps">
            <w:drawing>
              <wp:anchor behindDoc="0" distT="0" distB="0" distL="114935" distR="114935" simplePos="0" locked="0" layoutInCell="1" allowOverlap="1" relativeHeight="2">
                <wp:simplePos x="0" y="0"/>
                <wp:positionH relativeFrom="column">
                  <wp:posOffset>630555</wp:posOffset>
                </wp:positionH>
                <wp:positionV relativeFrom="paragraph">
                  <wp:posOffset>115570</wp:posOffset>
                </wp:positionV>
                <wp:extent cx="1847850" cy="750570"/>
                <wp:effectExtent l="0" t="0" r="0" b="0"/>
                <wp:wrapNone/>
                <wp:docPr id="1" name="Frame2"/>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Normal"/>
                              <w:jc w:val="center"/>
                              <w:rPr/>
                            </w:pPr>
                            <w:r>
                              <w:rPr/>
                            </w:r>
                          </w:p>
                          <w:p>
                            <w:pPr>
                              <w:pStyle w:val="Normal"/>
                              <w:jc w:val="center"/>
                              <w:rPr>
                                <w:rFonts w:ascii="Arial" w:hAnsi="Arial" w:cs="Arial"/>
                              </w:rPr>
                            </w:pPr>
                            <w:r>
                              <w:rPr>
                                <w:rFonts w:cs="Arial" w:ascii="Arial" w:hAnsi="Arial"/>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9.1pt;mso-position-vertical-relative:text;margin-left:49.65pt;mso-position-horizontal-relative:text">
                <v:textbox>
                  <w:txbxContent>
                    <w:p>
                      <w:pPr>
                        <w:pStyle w:val="Normal"/>
                        <w:jc w:val="center"/>
                        <w:rPr/>
                      </w:pPr>
                      <w:r>
                        <w:rPr/>
                      </w:r>
                    </w:p>
                    <w:p>
                      <w:pPr>
                        <w:pStyle w:val="Normal"/>
                        <w:jc w:val="center"/>
                        <w:rPr>
                          <w:rFonts w:ascii="Arial" w:hAnsi="Arial" w:cs="Arial"/>
                        </w:rPr>
                      </w:pPr>
                      <w:r>
                        <w:rPr>
                          <w:rFonts w:cs="Arial" w:ascii="Arial" w:hAnsi="Arial"/>
                        </w:rPr>
                        <w:t>I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2916555</wp:posOffset>
                </wp:positionH>
                <wp:positionV relativeFrom="paragraph">
                  <wp:posOffset>115570</wp:posOffset>
                </wp:positionV>
                <wp:extent cx="1847850" cy="750570"/>
                <wp:effectExtent l="0" t="0" r="0" b="0"/>
                <wp:wrapNone/>
                <wp:docPr id="2" name="Frame1"/>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Normal"/>
                              <w:rPr/>
                            </w:pPr>
                            <w:r>
                              <w:rPr/>
                            </w:r>
                          </w:p>
                          <w:p>
                            <w:pPr>
                              <w:pStyle w:val="Normal"/>
                              <w:jc w:val="center"/>
                              <w:rPr>
                                <w:rFonts w:ascii="Arial" w:hAnsi="Arial" w:cs="Arial"/>
                              </w:rPr>
                            </w:pPr>
                            <w:r>
                              <w:rPr>
                                <w:rFonts w:cs="Arial" w:ascii="Arial" w:hAnsi="Arial"/>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9.1pt;mso-position-vertical-relative:text;margin-left:229.65pt;mso-position-horizontal-relative:text">
                <v:textbox>
                  <w:txbxContent>
                    <w:p>
                      <w:pPr>
                        <w:pStyle w:val="Normal"/>
                        <w:rPr/>
                      </w:pPr>
                      <w:r>
                        <w:rPr/>
                      </w:r>
                    </w:p>
                    <w:p>
                      <w:pPr>
                        <w:pStyle w:val="Normal"/>
                        <w:jc w:val="center"/>
                        <w:rPr>
                          <w:rFonts w:ascii="Arial" w:hAnsi="Arial" w:cs="Arial"/>
                        </w:rPr>
                      </w:pPr>
                      <w:r>
                        <w:rPr>
                          <w:rFonts w:cs="Arial" w:ascii="Arial" w:hAnsi="Arial"/>
                        </w:rPr>
                        <w:t>I DO NOT ACCEPT</w:t>
                      </w:r>
                    </w:p>
                  </w:txbxContent>
                </v:textbox>
                <w10:wrap type="none"/>
              </v:rect>
            </w:pict>
          </mc:Fallback>
        </mc:AlternateContent>
      </w:r>
    </w:p>
    <w:sect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rPr>
              <w:sz w:val="16"/>
            </w:rPr>
          </w:pPr>
          <w:r>
            <w:rPr>
              <w:sz w:val="16"/>
            </w:rPr>
            <w:t>London-1/377642/07</w:t>
          </w:r>
        </w:p>
      </w:tc>
      <w:tc>
        <w:tcPr>
          <w:tcW w:w="2952" w:type="dxa"/>
          <w:tcBorders/>
        </w:tcPr>
        <w:p>
          <w:pPr>
            <w:pStyle w:val="Normal"/>
            <w:snapToGrid w:val="false"/>
            <w:jc w:val="center"/>
            <w:rPr>
              <w:sz w:val="16"/>
            </w:rPr>
          </w:pPr>
          <w:r>
            <w:rPr>
              <w:sz w:val="16"/>
            </w:rPr>
          </w:r>
        </w:p>
      </w:tc>
      <w:tc>
        <w:tcPr>
          <w:tcW w:w="2952" w:type="dxa"/>
          <w:tcBorders/>
        </w:tcPr>
        <w:p>
          <w:pPr>
            <w:pStyle w:val="Normal"/>
            <w:snapToGrid w:val="false"/>
            <w:jc w:val="end"/>
            <w:rPr>
              <w:sz w:val="16"/>
            </w:rPr>
          </w:pPr>
          <w:r>
            <w:rPr>
              <w:sz w:val="16"/>
            </w:rPr>
          </w:r>
        </w:p>
      </w:tc>
    </w:tr>
  </w:tbl>
  <w:p>
    <w:pPr>
      <w:pStyle w:val="Normal"/>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rFonts w:ascii="Arial" w:hAnsi="Arial" w:cs="Arial"/>
        <w:b/>
        <w:sz w:val="20"/>
      </w:rPr>
    </w:pPr>
    <w:r>
      <w:rPr>
        <w:rFonts w:cs="Arial" w:ascii="Arial" w:hAnsi="Arial"/>
        <w:b/>
        <w:sz w:val="20"/>
      </w:rPr>
      <w:t>UK</w:t>
    </w:r>
  </w:p>
  <w:p>
    <w:pPr>
      <w:pStyle w:val="Normal"/>
      <w:spacing w:lineRule="exact" w:line="241"/>
      <w:jc w:val="end"/>
      <w:rPr>
        <w:rFonts w:ascii="Arial" w:hAnsi="Arial" w:cs="Arial"/>
        <w:b/>
        <w:sz w:val="20"/>
      </w:rPr>
    </w:pPr>
    <w:r>
      <w:rPr>
        <w:rFonts w:cs="Arial" w:ascii="Arial" w:hAnsi="Arial"/>
        <w:b/>
        <w:sz w:val="20"/>
      </w:rPr>
      <w:t>26 July 1999 - Version 7</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ddress">
    <w:name w:val="Address"/>
    <w:basedOn w:val="Normal"/>
    <w:qFormat/>
    <w:pPr>
      <w:widowControl/>
      <w:spacing w:lineRule="auto" w:line="288"/>
    </w:pPr>
    <w:rPr>
      <w:rFonts w:ascii="CG Times" w:hAnsi="CG Times" w:cs="CG Times"/>
      <w:sz w:val="22"/>
      <w:lang w:val="en-GB" w:eastAsia="en-C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1999-07-23T13:09:00Z</dcterms:created>
  <dc:creator>007504</dc:creator>
  <dc:description/>
  <dc:language>en-CA</dc:language>
  <cp:lastModifiedBy>007504</cp:lastModifiedBy>
  <cp:lastPrinted>1999-07-12T16:08:00Z</cp:lastPrinted>
  <dcterms:modified xsi:type="dcterms:W3CDTF">1999-07-26T13:11:00Z</dcterms:modified>
  <cp:revision>4</cp:revision>
  <dc:subject/>
  <dc:title> </dc:title>
</cp:coreProperties>
</file>