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etterhead"/>
        <w:rPr>
          <w:sz w:val="24"/>
        </w:rPr>
      </w:pPr>
      <w:r>
        <w:rPr/>
        <w:t>AN</w:t>
      </w:r>
      <w:r>
        <w:fldChar w:fldCharType="begin"/>
      </w:r>
      <w:r>
        <w:rPr/>
        <w:instrText xml:space="preserve">ADVANCE \l 1</w:instrText>
      </w:r>
      <w:r>
        <w:rPr/>
      </w:r>
      <w:r>
        <w:rPr/>
        <w:fldChar w:fldCharType="separate"/>
      </w:r>
      <w:r>
        <w:rPr/>
      </w:r>
      <w:r>
        <w:rPr/>
      </w:r>
      <w:r>
        <w:rPr/>
        <w:fldChar w:fldCharType="end"/>
      </w:r>
      <w:r>
        <w:rPr/>
        <w:t>DR</w:t>
      </w:r>
      <w:r>
        <w:fldChar w:fldCharType="begin"/>
      </w:r>
      <w:r>
        <w:rPr/>
        <w:instrText xml:space="preserve">ADVANCE \l 1</w:instrText>
      </w:r>
      <w:r>
        <w:rPr/>
      </w:r>
      <w:r>
        <w:rPr/>
        <w:fldChar w:fldCharType="separate"/>
      </w:r>
      <w:r>
        <w:rPr/>
      </w:r>
      <w:r>
        <w:rPr/>
      </w:r>
      <w:r>
        <w:rPr/>
        <w:fldChar w:fldCharType="end"/>
      </w:r>
      <w:r>
        <w:rPr/>
        <w:t xml:space="preserve">EwS </w:t>
      </w:r>
      <w:r>
        <w:fldChar w:fldCharType="begin"/>
      </w:r>
      <w:r>
        <w:rPr/>
        <w:instrText xml:space="preserve">ADVANCE \l 0</w:instrText>
      </w:r>
      <w:r>
        <w:rPr/>
      </w:r>
      <w:r>
        <w:rPr/>
        <w:fldChar w:fldCharType="separate"/>
      </w:r>
      <w:r>
        <w:rPr/>
      </w:r>
      <w:r>
        <w:rPr/>
      </w:r>
      <w:r>
        <w:rPr/>
        <w:fldChar w:fldCharType="end"/>
      </w:r>
      <w:r>
        <w:rPr>
          <w:rFonts w:cs="GoudyOlSt BT" w:ascii="GoudyOlSt BT" w:hAnsi="GoudyOlSt BT"/>
        </w:rPr>
        <w:t>&amp;</w:t>
      </w:r>
      <w:r>
        <w:fldChar w:fldCharType="begin"/>
      </w:r>
      <w:r>
        <w:rPr>
          <w:rFonts w:cs="GoudyOlSt BT" w:ascii="GoudyOlSt BT" w:hAnsi="GoudyOlSt BT"/>
        </w:rPr>
        <w:instrText xml:space="preserve">ADVANCE \l 1</w:instrText>
      </w:r>
      <w:r>
        <w:rPr>
          <w:rFonts w:cs="GoudyOlSt BT" w:ascii="GoudyOlSt BT" w:hAnsi="GoudyOlSt BT"/>
        </w:rPr>
      </w:r>
      <w:r>
        <w:rPr>
          <w:rFonts w:cs="GoudyOlSt BT" w:ascii="GoudyOlSt BT" w:hAnsi="GoudyOlSt BT"/>
        </w:rPr>
        <w:fldChar w:fldCharType="separate"/>
      </w:r>
      <w:r>
        <w:rPr>
          <w:rFonts w:cs="GoudyOlSt BT" w:ascii="GoudyOlSt BT" w:hAnsi="GoudyOlSt BT"/>
        </w:rPr>
      </w:r>
      <w:r>
        <w:rPr>
          <w:rFonts w:cs="GoudyOlSt BT" w:ascii="GoudyOlSt BT" w:hAnsi="GoudyOlSt BT"/>
        </w:rPr>
      </w:r>
      <w:r>
        <w:rPr>
          <w:rFonts w:cs="GoudyOlSt BT" w:ascii="GoudyOlSt BT" w:hAnsi="GoudyOlSt BT"/>
        </w:rPr>
        <w:fldChar w:fldCharType="end"/>
      </w:r>
      <w:r>
        <w:rPr/>
        <w:t xml:space="preserve"> KU</w:t>
      </w:r>
      <w:r>
        <w:fldChar w:fldCharType="begin"/>
      </w:r>
      <w:r>
        <w:rPr/>
        <w:instrText xml:space="preserve">ADVANCE \l 0</w:instrText>
      </w:r>
      <w:r>
        <w:rPr/>
      </w:r>
      <w:r>
        <w:rPr/>
        <w:fldChar w:fldCharType="separate"/>
      </w:r>
      <w:r>
        <w:rPr/>
      </w:r>
      <w:r>
        <w:rPr/>
      </w:r>
      <w:r>
        <w:rPr/>
        <w:fldChar w:fldCharType="end"/>
      </w:r>
      <w:r>
        <w:rPr/>
        <w:t>R</w:t>
      </w:r>
      <w:r>
        <w:fldChar w:fldCharType="begin"/>
      </w:r>
      <w:r>
        <w:rPr/>
        <w:instrText xml:space="preserve">ADVANCE \l 0</w:instrText>
      </w:r>
      <w:r>
        <w:rPr/>
      </w:r>
      <w:r>
        <w:rPr/>
        <w:fldChar w:fldCharType="separate"/>
      </w:r>
      <w:r>
        <w:rPr/>
      </w:r>
      <w:r>
        <w:rPr/>
      </w:r>
      <w:r>
        <w:rPr/>
        <w:fldChar w:fldCharType="end"/>
      </w:r>
      <w:r>
        <w:rPr/>
        <w:t>TH L.L.P</w:t>
      </w:r>
      <w:r>
        <w:fldChar w:fldCharType="begin"/>
      </w:r>
      <w:r>
        <w:rPr/>
        <w:instrText xml:space="preserve">ADVANCE \l 2</w:instrText>
      </w:r>
      <w:r>
        <w:rPr/>
      </w:r>
      <w:r>
        <w:rPr/>
        <w:fldChar w:fldCharType="separate"/>
      </w:r>
      <w:r>
        <w:rPr/>
      </w:r>
      <w:r>
        <w:rPr/>
      </w:r>
      <w:r>
        <w:rPr/>
        <w:fldChar w:fldCharType="end"/>
      </w:r>
      <w:r>
        <w:rPr/>
        <w:t>.</w:t>
      </w:r>
    </w:p>
    <w:p>
      <w:pPr>
        <w:pStyle w:val="MemoAddress"/>
        <w:rPr>
          <w:sz w:val="30"/>
        </w:rPr>
      </w:pPr>
      <w:r>
        <w:rPr/>
        <w:t>ATTORNEY</w:t>
      </w:r>
      <w:r>
        <w:fldChar w:fldCharType="begin"/>
      </w:r>
      <w:r>
        <w:rPr/>
        <w:instrText xml:space="preserve">ADVANCE \r 0</w:instrText>
      </w:r>
      <w:r>
        <w:rPr/>
      </w:r>
      <w:r>
        <w:rPr/>
        <w:fldChar w:fldCharType="separate"/>
      </w:r>
      <w:r>
        <w:rPr/>
      </w:r>
      <w:r>
        <w:rPr/>
      </w:r>
      <w:r>
        <w:rPr/>
        <w:fldChar w:fldCharType="end"/>
      </w:r>
      <w:r>
        <w:rPr/>
        <w:t>S</w:t>
      </w:r>
    </w:p>
    <w:p>
      <w:pPr>
        <w:pStyle w:val="MemoAddress"/>
        <w:rPr>
          <w:sz w:val="10"/>
        </w:rPr>
      </w:pPr>
      <w:r>
        <w:rPr>
          <w:sz w:val="10"/>
        </w:rPr>
      </w:r>
    </w:p>
    <w:p>
      <w:pPr>
        <w:pStyle w:val="MemoAddress"/>
        <w:rPr>
          <w:rFonts w:ascii="GoudyTrajanRegular" w:hAnsi="GoudyTrajanRegular" w:cs="GoudyTrajanRegular"/>
          <w:sz w:val="13"/>
        </w:rPr>
      </w:pPr>
      <w:r>
        <w:rPr>
          <w:rFonts w:cs="GoudyOlSt BT" w:ascii="GoudyOlSt BT" w:hAnsi="GoudyOlSt BT"/>
        </w:rPr>
        <w:t xml:space="preserve">600 </w:t>
      </w:r>
      <w:r>
        <w:rPr>
          <w:rFonts w:cs="GoudyTrajanRegular" w:ascii="GoudyTrajanRegular" w:hAnsi="GoudyTrajanRegular"/>
        </w:rPr>
        <w:t>TRAVIS, SUITE</w:t>
      </w:r>
      <w:r>
        <w:rPr>
          <w:rFonts w:cs="GoudyOlSt BT" w:ascii="GoudyOlSt BT" w:hAnsi="GoudyOlSt BT"/>
        </w:rPr>
        <w:t xml:space="preserve"> 4200</w:t>
      </w:r>
    </w:p>
    <w:p>
      <w:pPr>
        <w:pStyle w:val="MemoAddress"/>
        <w:rPr>
          <w:rFonts w:ascii="GoudyTrajanRegular" w:hAnsi="GoudyTrajanRegular" w:cs="GoudyTrajanRegular"/>
          <w:sz w:val="13"/>
        </w:rPr>
      </w:pPr>
      <w:r>
        <w:rPr>
          <w:rFonts w:cs="GoudyTrajanRegular" w:ascii="GoudyTrajanRegular" w:hAnsi="GoudyTrajanRegular"/>
          <w:sz w:val="13"/>
        </w:rPr>
        <w:t>HOUSTON, TEXAS 77002</w:t>
      </w:r>
    </w:p>
    <w:p>
      <w:pPr>
        <w:pStyle w:val="Normal"/>
        <w:jc w:val="center"/>
        <w:rPr>
          <w:rFonts w:ascii="GoudyTrajanBold" w:hAnsi="GoudyTrajanBold" w:cs="GoudyTrajanBold"/>
          <w:sz w:val="30"/>
        </w:rPr>
      </w:pPr>
      <w:r>
        <w:rPr>
          <w:rFonts w:cs="GoudyTrajanBold" w:ascii="GoudyTrajanBold" w:hAnsi="GoudyTrajanBold"/>
          <w:sz w:val="30"/>
        </w:rPr>
      </w:r>
    </w:p>
    <w:p>
      <w:pPr>
        <w:pStyle w:val="MemoTitle"/>
        <w:rPr/>
      </w:pPr>
      <w:r>
        <w:rPr/>
        <w:t>memorandum</w:t>
      </w:r>
    </w:p>
    <w:tbl>
      <w:tblPr>
        <w:tblW w:w="9576" w:type="dxa"/>
        <w:jc w:val="start"/>
        <w:tblInd w:w="0" w:type="dxa"/>
        <w:tblLayout w:type="fixed"/>
        <w:tblCellMar>
          <w:top w:w="0" w:type="dxa"/>
          <w:start w:w="0" w:type="dxa"/>
          <w:bottom w:w="0" w:type="dxa"/>
          <w:end w:w="0" w:type="dxa"/>
        </w:tblCellMar>
      </w:tblPr>
      <w:tblGrid>
        <w:gridCol w:w="1350"/>
        <w:gridCol w:w="8226"/>
      </w:tblGrid>
      <w:tr>
        <w:trPr/>
        <w:tc>
          <w:tcPr>
            <w:tcW w:w="1350" w:type="dxa"/>
            <w:tcBorders>
              <w:top w:val="double" w:sz="4" w:space="0" w:color="000000"/>
            </w:tcBorders>
          </w:tcPr>
          <w:p>
            <w:pPr>
              <w:pStyle w:val="Normal"/>
              <w:rPr/>
            </w:pPr>
            <w:r>
              <w:rPr>
                <w:rFonts w:cs="EngraversGothic BT" w:ascii="EngraversGothic BT" w:hAnsi="EngraversGothic BT"/>
                <w:sz w:val="24"/>
              </w:rPr>
              <w:t>TO:</w:t>
            </w:r>
            <w:r>
              <w:rPr>
                <w:sz w:val="24"/>
              </w:rPr>
              <w:t xml:space="preserve"> </w:t>
            </w:r>
          </w:p>
        </w:tc>
        <w:tc>
          <w:tcPr>
            <w:tcW w:w="8226" w:type="dxa"/>
            <w:tcBorders>
              <w:top w:val="double" w:sz="4" w:space="0" w:color="000000"/>
            </w:tcBorders>
          </w:tcPr>
          <w:p>
            <w:pPr>
              <w:pStyle w:val="Normal"/>
              <w:rPr>
                <w:sz w:val="24"/>
              </w:rPr>
            </w:pPr>
            <w:r>
              <w:rPr>
                <w:sz w:val="24"/>
              </w:rPr>
              <w:t>Kay Mann</w:t>
            </w:r>
          </w:p>
        </w:tc>
      </w:tr>
      <w:tr>
        <w:trPr/>
        <w:tc>
          <w:tcPr>
            <w:tcW w:w="1350" w:type="dxa"/>
            <w:tcBorders/>
          </w:tcPr>
          <w:p>
            <w:pPr>
              <w:pStyle w:val="Normal"/>
              <w:rPr/>
            </w:pPr>
            <w:r>
              <w:rPr>
                <w:rFonts w:cs="EngraversGothic BT" w:ascii="EngraversGothic BT" w:hAnsi="EngraversGothic BT"/>
                <w:sz w:val="24"/>
              </w:rPr>
              <w:t>FROM:</w:t>
            </w:r>
            <w:r>
              <w:rPr>
                <w:sz w:val="24"/>
              </w:rPr>
              <w:t xml:space="preserve"> </w:t>
            </w:r>
          </w:p>
        </w:tc>
        <w:tc>
          <w:tcPr>
            <w:tcW w:w="8226" w:type="dxa"/>
            <w:tcBorders/>
          </w:tcPr>
          <w:p>
            <w:pPr>
              <w:pStyle w:val="Normal"/>
              <w:rPr>
                <w:sz w:val="24"/>
              </w:rPr>
            </w:pPr>
            <w:r>
              <w:rPr>
                <w:sz w:val="24"/>
              </w:rPr>
              <w:t>Peter J. Thompson</w:t>
            </w:r>
          </w:p>
        </w:tc>
      </w:tr>
      <w:tr>
        <w:trPr/>
        <w:tc>
          <w:tcPr>
            <w:tcW w:w="1350" w:type="dxa"/>
            <w:tcBorders/>
          </w:tcPr>
          <w:p>
            <w:pPr>
              <w:pStyle w:val="Normal"/>
              <w:rPr/>
            </w:pPr>
            <w:r>
              <w:rPr>
                <w:rFonts w:cs="EngraversGothic BT" w:ascii="EngraversGothic BT" w:hAnsi="EngraversGothic BT"/>
                <w:sz w:val="24"/>
              </w:rPr>
              <w:t>DATE:</w:t>
            </w:r>
            <w:r>
              <w:rPr>
                <w:sz w:val="24"/>
              </w:rPr>
              <w:t xml:space="preserve"> </w:t>
            </w:r>
          </w:p>
        </w:tc>
        <w:tc>
          <w:tcPr>
            <w:tcW w:w="8226" w:type="dxa"/>
            <w:tcBorders/>
          </w:tcPr>
          <w:p>
            <w:pPr>
              <w:pStyle w:val="Normal"/>
              <w:rPr>
                <w:sz w:val="24"/>
              </w:rPr>
            </w:pPr>
            <w:r>
              <w:rPr>
                <w:sz w:val="24"/>
              </w:rPr>
              <w:t>November 3, 2000</w:t>
            </w:r>
          </w:p>
        </w:tc>
      </w:tr>
      <w:tr>
        <w:trPr/>
        <w:tc>
          <w:tcPr>
            <w:tcW w:w="1350" w:type="dxa"/>
            <w:tcBorders>
              <w:bottom w:val="double" w:sz="4" w:space="0" w:color="000000"/>
            </w:tcBorders>
          </w:tcPr>
          <w:p>
            <w:pPr>
              <w:pStyle w:val="Normal"/>
              <w:rPr>
                <w:rFonts w:ascii="EngraversGothic BT" w:hAnsi="EngraversGothic BT" w:cs="EngraversGothic BT"/>
                <w:sz w:val="24"/>
              </w:rPr>
            </w:pPr>
            <w:r>
              <w:rPr>
                <w:rFonts w:cs="EngraversGothic BT" w:ascii="EngraversGothic BT" w:hAnsi="EngraversGothic BT"/>
                <w:sz w:val="24"/>
              </w:rPr>
              <w:t xml:space="preserve">SUBJECT: </w:t>
            </w:r>
          </w:p>
        </w:tc>
        <w:tc>
          <w:tcPr>
            <w:tcW w:w="8226" w:type="dxa"/>
            <w:tcBorders>
              <w:bottom w:val="double" w:sz="4" w:space="0" w:color="000000"/>
            </w:tcBorders>
          </w:tcPr>
          <w:p>
            <w:pPr>
              <w:pStyle w:val="Normal"/>
              <w:rPr>
                <w:rFonts w:ascii="EngraversGothic BT" w:hAnsi="EngraversGothic BT" w:cs="EngraversGothic BT"/>
                <w:sz w:val="24"/>
              </w:rPr>
            </w:pPr>
            <w:r>
              <w:rPr>
                <w:sz w:val="24"/>
              </w:rPr>
              <w:t>GE Turbine Form Facility Agreement</w:t>
            </w:r>
          </w:p>
        </w:tc>
      </w:tr>
    </w:tbl>
    <w:p>
      <w:pPr>
        <w:pStyle w:val="spacer"/>
        <w:rPr/>
      </w:pPr>
      <w:r>
        <w:rPr/>
      </w:r>
    </w:p>
    <w:p>
      <w:pPr>
        <w:pStyle w:val="BodyTextFirstIndent"/>
        <w:rPr/>
      </w:pPr>
      <w:bookmarkStart w:id="0" w:name="StartHere"/>
      <w:bookmarkStart w:id="1" w:name="SUBJECT"/>
      <w:bookmarkEnd w:id="0"/>
      <w:bookmarkEnd w:id="1"/>
      <w:r>
        <w:rPr/>
        <w:t>Set forth below are certain questions/comments pertaining to the GE Turbine Form Facility Agreement (draft of 11/3/00):</w:t>
      </w:r>
    </w:p>
    <w:p>
      <w:pPr>
        <w:pStyle w:val="BodyTextFirstIndent"/>
        <w:numPr>
          <w:ilvl w:val="0"/>
          <w:numId w:val="1"/>
        </w:numPr>
        <w:rPr/>
      </w:pPr>
      <w:r>
        <w:rPr>
          <w:u w:val="single"/>
        </w:rPr>
        <w:t>Definitions</w:t>
      </w:r>
      <w:r>
        <w:rPr/>
        <w:t>.</w:t>
        <w:tab/>
        <w:t xml:space="preserve">Questions were raised in yesterday’s conference call regarding the addition of new definitions by A&amp;K.  The definitions were added because there were terms used in the original agreement that were not defined or defined but not referenced in the “Definitions” section. </w:t>
      </w:r>
    </w:p>
    <w:p>
      <w:pPr>
        <w:pStyle w:val="BodyTextFirstIndent"/>
        <w:numPr>
          <w:ilvl w:val="0"/>
          <w:numId w:val="1"/>
        </w:numPr>
        <w:rPr/>
      </w:pPr>
      <w:r>
        <w:rPr>
          <w:u w:val="single"/>
        </w:rPr>
        <w:t>Takeover Rights</w:t>
      </w:r>
      <w:r>
        <w:rPr/>
        <w:t xml:space="preserve">.  </w:t>
        <w:tab/>
        <w:t xml:space="preserve">If an assignee decides to terminate the Facility Agreement, does Enron want the right to assume the contract.  Also, are there circumstances under which Enron might want the right to (a) cure an assignee’s default before GE can terminate a Facility Agreement, (b) assume the contract and (c) ultimately accept delivery of or sell the affected Units. If yes, these provisions could be included in the Assignment, and the Facility Agreement will require revision to acknowledge and facilitate Enron’s rights. </w:t>
      </w:r>
    </w:p>
    <w:p>
      <w:pPr>
        <w:pStyle w:val="BodyTextFirstIndent"/>
        <w:numPr>
          <w:ilvl w:val="0"/>
          <w:numId w:val="1"/>
        </w:numPr>
        <w:rPr/>
      </w:pPr>
      <w:r>
        <w:rPr>
          <w:u w:val="single"/>
        </w:rPr>
        <w:t>Spare Parts</w:t>
      </w:r>
      <w:r>
        <w:rPr/>
        <w:t xml:space="preserve">.  </w:t>
        <w:tab/>
        <w:t>I understand that spare parts are to be covered in a separate agreement.  How are discounts for spare parts to be handled in such agreement?</w:t>
      </w:r>
    </w:p>
    <w:p>
      <w:pPr>
        <w:pStyle w:val="BodyTextFirstIndent"/>
        <w:numPr>
          <w:ilvl w:val="0"/>
          <w:numId w:val="1"/>
        </w:numPr>
        <w:rPr/>
      </w:pPr>
      <w:r>
        <w:rPr>
          <w:u w:val="single"/>
        </w:rPr>
        <w:t>Indemnity Language</w:t>
      </w:r>
      <w:r>
        <w:rPr/>
        <w:t>.</w:t>
        <w:tab/>
        <w:t xml:space="preserve">Paul Pipitone has confirmed that the language contained in Article XX was taken directly from the exhibit. </w:t>
      </w:r>
    </w:p>
    <w:p>
      <w:pPr>
        <w:pStyle w:val="BodyTextFirstIndent"/>
        <w:numPr>
          <w:ilvl w:val="0"/>
          <w:numId w:val="1"/>
        </w:numPr>
        <w:spacing w:before="0" w:after="240"/>
        <w:rPr/>
      </w:pPr>
      <w:r>
        <w:rPr>
          <w:u w:val="single"/>
        </w:rPr>
        <w:t>Side Letter Agreement</w:t>
      </w:r>
      <w:r>
        <w:rPr/>
        <w:t>.</w:t>
        <w:tab/>
        <w:t>We need to ensure that the side letter agreement encompasses an acknowledgement and agreement by Seller that (a) Purchaser constitutes a permitted assignee under the West LB/GE Agreement; (b) by execution of the Facility Agreements Purchaser has assumed all of West LB’s duties, obligations and liabilities under the West LB/GE Agreement with respect to the Equipment (as defined in the West LB/GE Agreement); and (c) West LB and ENA are discharged from all duties and obligations arising from, out of, or in connection with the Equipment (as defined in the West LB/GE Agreement).</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ngraversGothic BT">
    <w:charset w:val="00" w:characterSet="windows-1252"/>
    <w:family w:val="swiss"/>
    <w:pitch w:val="variable"/>
  </w:font>
  <w:font w:name="Liberation Sans">
    <w:altName w:val="Arial"/>
    <w:charset w:val="01" w:characterSet="utf-8"/>
    <w:family w:val="swiss"/>
    <w:pitch w:val="variable"/>
  </w:font>
  <w:font w:name="GoudyTrajanBold">
    <w:charset w:val="00" w:characterSet="windows-1252"/>
    <w:family w:val="auto"/>
    <w:pitch w:val="variable"/>
  </w:font>
  <w:font w:name="GoudyTrajanRegular">
    <w:charset w:val="00" w:characterSet="windows-1252"/>
    <w:family w:val="auto"/>
    <w:pitch w:val="variable"/>
  </w:font>
  <w:font w:name="GoudyOlSt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82660-1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82660-1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MemoSecondPage"/>
      <w:rPr/>
    </w:pPr>
    <w:r>
      <w:rPr/>
      <w:t xml:space="preserve">Andrews </w:t>
    </w:r>
    <w:r>
      <w:rPr>
        <w:rFonts w:cs="GoudyOlSt BT" w:ascii="GoudyOlSt BT" w:hAnsi="GoudyOlSt BT"/>
      </w:rPr>
      <w:t>&amp;</w:t>
    </w:r>
    <w:r>
      <w:rPr/>
      <w:t xml:space="preserve"> Kurth</w:t>
    </w:r>
  </w:p>
  <w:p>
    <w:pPr>
      <w:pStyle w:val="MemoSecondPage"/>
      <w:rPr/>
    </w:pPr>
    <w:r>
      <w:rPr/>
      <w:t>l.l.p.</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DefaultParagraphFont">
    <w:name w:val="Default Paragraph Font"/>
    <w:qFormat/>
    <w:rPr/>
  </w:style>
  <w:style w:type="character" w:styleId="ToFont">
    <w:name w:val="ToFont"/>
    <w:basedOn w:val="DefaultParagraphFont"/>
    <w:qFormat/>
    <w:rPr>
      <w:rFonts w:ascii="EngraversGothic BT" w:hAnsi="EngraversGothic BT" w:cs="EngraversGothic BT"/>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tterhead">
    <w:name w:val="Letterhead"/>
    <w:basedOn w:val="Normal"/>
    <w:qFormat/>
    <w:pPr>
      <w:jc w:val="center"/>
    </w:pPr>
    <w:rPr>
      <w:rFonts w:ascii="GoudyTrajanBold" w:hAnsi="GoudyTrajanBold" w:cs="GoudyTrajanBold"/>
      <w:sz w:val="3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Arial" w:hAnsi="Arial" w:eastAsia="Times New Roman" w:cs="Arial"/>
      <w:color w:val="auto"/>
      <w:sz w:val="20"/>
      <w:szCs w:val="20"/>
      <w:lang w:val="en-US" w:bidi="ar-SA" w:eastAsia="zh-CN"/>
    </w:rPr>
  </w:style>
  <w:style w:type="paragraph" w:styleId="MemoAddress">
    <w:name w:val="MemoAddress"/>
    <w:basedOn w:val="Normal"/>
    <w:qFormat/>
    <w:pPr>
      <w:jc w:val="center"/>
    </w:pPr>
    <w:rPr>
      <w:rFonts w:ascii="GoudyTrajanBold" w:hAnsi="GoudyTrajanBold" w:cs="GoudyTrajanBold"/>
      <w:sz w:val="14"/>
    </w:rPr>
  </w:style>
  <w:style w:type="paragraph" w:styleId="MemoTitle">
    <w:name w:val="MemoTitle"/>
    <w:basedOn w:val="Normal"/>
    <w:qFormat/>
    <w:pPr>
      <w:spacing w:before="0" w:after="240"/>
      <w:jc w:val="center"/>
    </w:pPr>
    <w:rPr>
      <w:rFonts w:ascii="EngraversGothic BT" w:hAnsi="EngraversGothic BT" w:cs="EngraversGothic BT"/>
      <w:sz w:val="30"/>
    </w:rPr>
  </w:style>
  <w:style w:type="paragraph" w:styleId="BodyTextFirstIndent">
    <w:name w:val="Body Text First Indent"/>
    <w:basedOn w:val="BodyText"/>
    <w:qFormat/>
    <w:pPr>
      <w:spacing w:before="0" w:after="240"/>
      <w:ind w:firstLine="720" w:start="0" w:end="0"/>
      <w:jc w:val="both"/>
    </w:pPr>
    <w:rPr/>
  </w:style>
  <w:style w:type="paragraph" w:styleId="spacer">
    <w:name w:val="spacer"/>
    <w:basedOn w:val="BodyTextFirstIndent"/>
    <w:qFormat/>
    <w:pPr>
      <w:spacing w:before="0" w:after="0"/>
      <w:ind w:hanging="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MemoSecondPage">
    <w:name w:val="MemoSecondPage"/>
    <w:basedOn w:val="Header"/>
    <w:qFormat/>
    <w:pPr>
      <w:jc w:val="center"/>
    </w:pPr>
    <w:rPr>
      <w:rFonts w:ascii="GoudyTrajanRegular" w:hAnsi="GoudyTrajanRegular" w:cs="GoudyTrajanRegula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Andrews &amp; Kurth 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2000-11-03T20:29:00Z</dcterms:created>
  <dc:creator>A&amp;K</dc:creator>
  <dc:description/>
  <dc:language>en-CA</dc:language>
  <cp:lastModifiedBy>A&amp;K</cp:lastModifiedBy>
  <cp:lastPrinted>2000-11-03T15:23:00Z</cp:lastPrinted>
  <dcterms:modified xsi:type="dcterms:W3CDTF">2000-11-03T20:29:00Z</dcterms:modified>
  <cp:revision>2</cp:revision>
  <dc:subject/>
  <dc:title>A&amp;K Memo Form</dc:title>
</cp:coreProperties>
</file>