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SOFTWARE LICENSE AND SERVICES AGREEMENT</w:t>
      </w:r>
    </w:p>
    <w:p>
      <w:pPr>
        <w:pStyle w:val="Normal"/>
        <w:jc w:val="both"/>
        <w:rPr/>
      </w:pPr>
      <w:r>
        <w:rPr/>
      </w:r>
    </w:p>
    <w:p>
      <w:pPr>
        <w:pStyle w:val="Normal"/>
        <w:jc w:val="both"/>
        <w:rPr/>
      </w:pPr>
      <w:r>
        <w:rPr/>
        <w:t>THIS SOFTWARE LICENSE AND SERVICES AGREEMENT (this “Agreement”) is entered into as of ___________, _____ (the “Effective Date”) by and between Enron Corporation, a ____________ corporation (“Enron”), and AEP Energy Services, Inc., an Ohio corporation (“AEP”).  In consideration of the mutual agreements contained herein and intending to be legally bound hereby, Enron and AEP hereby agree to all of the following terms and conditions:</w:t>
      </w:r>
    </w:p>
    <w:p>
      <w:pPr>
        <w:pStyle w:val="Normal"/>
        <w:jc w:val="both"/>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pStyle w:val="Level1"/>
        <w:tabs>
          <w:tab w:val="clear" w:pos="360"/>
        </w:tabs>
        <w:rPr/>
      </w:pPr>
      <w:r>
        <w:rPr/>
        <w:t>1.</w:t>
        <w:tab/>
      </w:r>
      <w:r>
        <w:rPr>
          <w:u w:val="single"/>
        </w:rPr>
        <w:t>Definitions</w:t>
      </w:r>
      <w:r>
        <w:rPr/>
        <w:t>.  When used herein with initial capital letters, the following terms shall have the following meanings:</w:t>
      </w:r>
    </w:p>
    <w:p>
      <w:pPr>
        <w:pStyle w:val="BodyText"/>
        <w:numPr>
          <w:ilvl w:val="0"/>
          <w:numId w:val="3"/>
        </w:numPr>
        <w:tabs>
          <w:tab w:val="clear" w:pos="907"/>
          <w:tab w:val="clear" w:pos="1440"/>
        </w:tabs>
        <w:ind w:firstLine="360" w:start="0" w:end="0"/>
        <w:rPr>
          <w:rFonts w:ascii="Times" w:hAnsi="Times" w:cs="Times"/>
        </w:rPr>
      </w:pPr>
      <w:r>
        <w:rPr>
          <w:rFonts w:cs="Times" w:ascii="Times" w:hAnsi="Times"/>
        </w:rPr>
        <w:t>“</w:t>
      </w:r>
      <w:r>
        <w:rPr>
          <w:rFonts w:cs="Times" w:ascii="Times" w:hAnsi="Times"/>
        </w:rPr>
        <w:t>Acceptance Date”</w:t>
      </w:r>
      <w:r>
        <w:rPr/>
        <w:t xml:space="preserve"> shall have the meaning given that term in Section 2(b) below.</w:t>
      </w:r>
    </w:p>
    <w:p>
      <w:pPr>
        <w:pStyle w:val="BodyText"/>
        <w:numPr>
          <w:ilvl w:val="0"/>
          <w:numId w:val="3"/>
        </w:numPr>
        <w:tabs>
          <w:tab w:val="clear" w:pos="907"/>
          <w:tab w:val="clear" w:pos="1440"/>
        </w:tabs>
        <w:ind w:firstLine="360" w:start="0" w:end="0"/>
        <w:rPr>
          <w:rFonts w:ascii="Times" w:hAnsi="Times" w:cs="Times"/>
        </w:rPr>
      </w:pPr>
      <w:r>
        <w:rPr/>
        <w:t>“</w:t>
      </w:r>
      <w:r>
        <w:rPr/>
        <w:t>AEP Business” means AEP’s and its Affiliates’ energy and energy-related businesses.</w:t>
      </w:r>
    </w:p>
    <w:p>
      <w:pPr>
        <w:pStyle w:val="BodyText"/>
        <w:numPr>
          <w:ilvl w:val="0"/>
          <w:numId w:val="3"/>
        </w:numPr>
        <w:tabs>
          <w:tab w:val="clear" w:pos="907"/>
          <w:tab w:val="clear" w:pos="1440"/>
        </w:tabs>
        <w:ind w:firstLine="360" w:start="0" w:end="0"/>
        <w:rPr/>
      </w:pPr>
      <w:r>
        <w:rPr/>
        <w:t>“</w:t>
      </w:r>
      <w:r>
        <w:rPr/>
        <w:t>AEP Derivative Work” shall have the meaning given that term in Section 3(d)(iii) below.</w:t>
      </w:r>
    </w:p>
    <w:p>
      <w:pPr>
        <w:pStyle w:val="BodyText"/>
        <w:numPr>
          <w:ilvl w:val="0"/>
          <w:numId w:val="3"/>
        </w:numPr>
        <w:tabs>
          <w:tab w:val="clear" w:pos="907"/>
          <w:tab w:val="clear" w:pos="1440"/>
        </w:tabs>
        <w:ind w:firstLine="360" w:start="0" w:end="0"/>
        <w:rPr/>
      </w:pPr>
      <w:r>
        <w:rPr/>
        <w:t>“</w:t>
      </w:r>
      <w:r>
        <w:rPr/>
        <w:t>AEP Know-how” means the technical, proprietary data or knowledge, specifications and information that AEP creates, develops or uses in relation to the AEP Derivative Works or independent of Enron.</w:t>
      </w:r>
    </w:p>
    <w:p>
      <w:pPr>
        <w:pStyle w:val="BodyText"/>
        <w:numPr>
          <w:ilvl w:val="0"/>
          <w:numId w:val="3"/>
        </w:numPr>
        <w:tabs>
          <w:tab w:val="clear" w:pos="907"/>
          <w:tab w:val="clear" w:pos="1440"/>
        </w:tabs>
        <w:ind w:firstLine="360" w:start="0" w:end="0"/>
        <w:rPr/>
      </w:pPr>
      <w:r>
        <w:rPr/>
        <w:t>“</w:t>
      </w:r>
      <w:r>
        <w:rPr/>
        <w:t>Affiliate” means, with respect to any Person, (from time to time) any other Person, which, directly or indirectly controls, is controlled by, or is under common control with, the specified Person.  For purposes of the foregoing, the terms “control,” “controlled by” and “under common control” shall mean the possession, directly or indirectly, of the power to direct or cause the direction of the management and policies of such Person, whether through the ownership of voting securities or by contract or otherwise.</w:t>
      </w:r>
    </w:p>
    <w:p>
      <w:pPr>
        <w:pStyle w:val="BodyText"/>
        <w:numPr>
          <w:ilvl w:val="0"/>
          <w:numId w:val="3"/>
        </w:numPr>
        <w:tabs>
          <w:tab w:val="clear" w:pos="907"/>
          <w:tab w:val="clear" w:pos="1440"/>
        </w:tabs>
        <w:ind w:firstLine="360" w:start="0" w:end="0"/>
        <w:rPr/>
      </w:pPr>
      <w:r>
        <w:rPr/>
        <w:t>“</w:t>
      </w:r>
      <w:r>
        <w:rPr/>
        <w:t>Assistance” means assistance reasonably necessary to render the Software usable by AEP on AEP’s hardware in accordance with the Documentation.</w:t>
      </w:r>
    </w:p>
    <w:p>
      <w:pPr>
        <w:pStyle w:val="BodyText"/>
        <w:numPr>
          <w:ilvl w:val="0"/>
          <w:numId w:val="3"/>
        </w:numPr>
        <w:tabs>
          <w:tab w:val="clear" w:pos="907"/>
          <w:tab w:val="clear" w:pos="1440"/>
        </w:tabs>
        <w:ind w:firstLine="360" w:start="0" w:end="0"/>
        <w:rPr/>
      </w:pPr>
      <w:r>
        <w:rPr/>
        <w:t>“</w:t>
      </w:r>
      <w:r>
        <w:rPr/>
        <w:t>Confidential Information” shall have the meaning given that term in Section 8(a) below.</w:t>
      </w:r>
    </w:p>
    <w:p>
      <w:pPr>
        <w:pStyle w:val="BodyText"/>
        <w:numPr>
          <w:ilvl w:val="0"/>
          <w:numId w:val="3"/>
        </w:numPr>
        <w:tabs>
          <w:tab w:val="clear" w:pos="907"/>
          <w:tab w:val="clear" w:pos="1440"/>
        </w:tabs>
        <w:ind w:firstLine="360" w:start="0" w:end="0"/>
        <w:rPr/>
      </w:pPr>
      <w:r>
        <w:rPr/>
        <w:t>“</w:t>
      </w:r>
      <w:r>
        <w:rPr/>
        <w:t>Delivery Date” shall have the meaning given that term in Section 2(a).</w:t>
      </w:r>
    </w:p>
    <w:p>
      <w:pPr>
        <w:pStyle w:val="BodyText"/>
        <w:numPr>
          <w:ilvl w:val="0"/>
          <w:numId w:val="3"/>
        </w:numPr>
        <w:tabs>
          <w:tab w:val="clear" w:pos="907"/>
          <w:tab w:val="clear" w:pos="1440"/>
        </w:tabs>
        <w:ind w:firstLine="360" w:start="0" w:end="0"/>
        <w:rPr/>
      </w:pPr>
      <w:r>
        <w:rPr/>
        <w:t>“</w:t>
      </w:r>
      <w:r>
        <w:rPr/>
        <w:t>Derivative Works” means: (i) any modification of or revisions or improvements to the Software or Documentation, including, without limitation, any computer program, addition, enhancement, new version, adaptation, or interface element, in any form or medium whatsoever, that is derived in any manner from the Software or Documentation, or any part or aspect thereof, or that uses or incorporates the Software or Documentation or any part or aspect thereof; and (ii) any “derivative work” of the Software or Documentation, or any part or aspect thereof, as defined in the Copyright Law of the United States of America, 17 U.S.C. § 101 et. seq.</w:t>
      </w:r>
    </w:p>
    <w:p>
      <w:pPr>
        <w:pStyle w:val="BodyText"/>
        <w:numPr>
          <w:ilvl w:val="0"/>
          <w:numId w:val="3"/>
        </w:numPr>
        <w:tabs>
          <w:tab w:val="clear" w:pos="907"/>
          <w:tab w:val="clear" w:pos="1440"/>
        </w:tabs>
        <w:ind w:firstLine="360" w:start="0" w:end="0"/>
        <w:rPr/>
      </w:pPr>
      <w:r>
        <w:rPr/>
        <w:t>“</w:t>
      </w:r>
      <w:r>
        <w:rPr/>
        <w:t>Documentation” means the manuals and other documentation or explanatory material describing the functions and principles for using the Software as identified in and/or attached hereto as part of Exhibit A, whether in electronic or hard copy medium, and any Updates thereto that Enron may provide pursuant to its support and maintenance obligations, if any.</w:t>
      </w:r>
    </w:p>
    <w:p>
      <w:pPr>
        <w:pStyle w:val="BodyText"/>
        <w:numPr>
          <w:ilvl w:val="0"/>
          <w:numId w:val="3"/>
        </w:numPr>
        <w:tabs>
          <w:tab w:val="clear" w:pos="907"/>
          <w:tab w:val="clear" w:pos="1440"/>
        </w:tabs>
        <w:ind w:firstLine="360" w:start="0" w:end="0"/>
        <w:rPr/>
      </w:pPr>
      <w:r>
        <w:rPr/>
        <w:t>“</w:t>
      </w:r>
      <w:r>
        <w:rPr/>
        <w:t>Enron Materials” shall have the meaning given that term in Section 3(d) below.</w:t>
      </w:r>
    </w:p>
    <w:p>
      <w:pPr>
        <w:pStyle w:val="BodyText"/>
        <w:numPr>
          <w:ilvl w:val="0"/>
          <w:numId w:val="3"/>
        </w:numPr>
        <w:tabs>
          <w:tab w:val="clear" w:pos="907"/>
          <w:tab w:val="clear" w:pos="1440"/>
        </w:tabs>
        <w:ind w:firstLine="360" w:start="0" w:end="0"/>
        <w:rPr/>
      </w:pPr>
      <w:r>
        <w:rPr/>
        <w:t>“</w:t>
      </w:r>
      <w:r>
        <w:rPr/>
        <w:t>Enron Derivative Work” shall have the meaning given that term in Section 3(d)(ii) below.</w:t>
      </w:r>
    </w:p>
    <w:p>
      <w:pPr>
        <w:pStyle w:val="BodyText"/>
        <w:numPr>
          <w:ilvl w:val="0"/>
          <w:numId w:val="3"/>
        </w:numPr>
        <w:tabs>
          <w:tab w:val="clear" w:pos="907"/>
          <w:tab w:val="clear" w:pos="1440"/>
        </w:tabs>
        <w:ind w:firstLine="360" w:start="0" w:end="0"/>
        <w:rPr/>
      </w:pPr>
      <w:r>
        <w:rPr/>
        <w:t>“</w:t>
      </w:r>
      <w:r>
        <w:rPr/>
        <w:t>Intellectual Property Rights” means all copyrights, patent rights, trademark rights, trade secrets, moral rights, contract rights, and any other proprietary rights throughout the world.</w:t>
      </w:r>
    </w:p>
    <w:p>
      <w:pPr>
        <w:pStyle w:val="BodyText"/>
        <w:numPr>
          <w:ilvl w:val="0"/>
          <w:numId w:val="3"/>
        </w:numPr>
        <w:tabs>
          <w:tab w:val="clear" w:pos="907"/>
          <w:tab w:val="clear" w:pos="1440"/>
        </w:tabs>
        <w:ind w:firstLine="360" w:start="0" w:end="0"/>
        <w:rPr/>
      </w:pPr>
      <w:r>
        <w:rPr/>
        <w:t>“</w:t>
      </w:r>
      <w:r>
        <w:rPr/>
        <w:t xml:space="preserve">Knowledge Transfer Services” means the knowledge transfer services described on Exhibit C hereto.  </w:t>
      </w:r>
    </w:p>
    <w:p>
      <w:pPr>
        <w:pStyle w:val="BodyText"/>
        <w:numPr>
          <w:ilvl w:val="0"/>
          <w:numId w:val="3"/>
        </w:numPr>
        <w:tabs>
          <w:tab w:val="clear" w:pos="907"/>
          <w:tab w:val="clear" w:pos="1440"/>
        </w:tabs>
        <w:ind w:firstLine="360" w:start="0" w:end="0"/>
        <w:rPr/>
      </w:pPr>
      <w:r>
        <w:rPr/>
        <w:t>“</w:t>
      </w:r>
      <w:r>
        <w:rPr/>
        <w:t>Licensed Know-how” means all technical, proprietary data or knowledge, specifications and information relating to the Software or the Documentation and any other information disclosed to AEP prior to Effective Date or as a consequence of the Knowledge Transfer Services or services provided pursuant to the Services Agreement.</w:t>
      </w:r>
    </w:p>
    <w:p>
      <w:pPr>
        <w:pStyle w:val="BodyText"/>
        <w:numPr>
          <w:ilvl w:val="0"/>
          <w:numId w:val="3"/>
        </w:numPr>
        <w:tabs>
          <w:tab w:val="clear" w:pos="907"/>
          <w:tab w:val="clear" w:pos="1440"/>
        </w:tabs>
        <w:ind w:firstLine="360" w:start="0" w:end="0"/>
        <w:rPr/>
      </w:pPr>
      <w:r>
        <w:rPr/>
        <w:t>“</w:t>
      </w:r>
      <w:r>
        <w:rPr/>
        <w:t>Person” means any individual, sole proprietorship, partnership, limited liability company, limited liability partnership, corporation, unincorporated association, business trust, joint stock corporation, joint venture, trust or any other entity or any government or any agency or instrumentality or political subdivision thereof.</w:t>
      </w:r>
    </w:p>
    <w:p>
      <w:pPr>
        <w:pStyle w:val="BodyText"/>
        <w:numPr>
          <w:ilvl w:val="0"/>
          <w:numId w:val="3"/>
        </w:numPr>
        <w:tabs>
          <w:tab w:val="clear" w:pos="907"/>
          <w:tab w:val="clear" w:pos="1440"/>
        </w:tabs>
        <w:ind w:firstLine="360" w:start="0" w:end="0"/>
        <w:rPr/>
      </w:pPr>
      <w:r>
        <w:rPr/>
        <w:t>“</w:t>
      </w:r>
      <w:r>
        <w:rPr/>
        <w:t>Services Agreement” means the IT Services Agreement, by and among AEP, Houston Pipeline Company and Enron North America Corp, effective as of December 27, 2000.</w:t>
      </w:r>
    </w:p>
    <w:p>
      <w:pPr>
        <w:pStyle w:val="BodyText"/>
        <w:numPr>
          <w:ilvl w:val="0"/>
          <w:numId w:val="3"/>
        </w:numPr>
        <w:tabs>
          <w:tab w:val="clear" w:pos="907"/>
          <w:tab w:val="clear" w:pos="1440"/>
        </w:tabs>
        <w:ind w:firstLine="360" w:start="0" w:end="0"/>
        <w:rPr/>
      </w:pPr>
      <w:r>
        <w:rPr/>
        <w:t>“</w:t>
      </w:r>
      <w:r>
        <w:rPr/>
        <w:t>Software” means those Enron proprietary software (including the Source Code) identified in the attached Exhibit A, and any Updates thereto that Enron may provide pursuant to its support and maintenance obligations, if any.</w:t>
      </w:r>
    </w:p>
    <w:p>
      <w:pPr>
        <w:pStyle w:val="BodyText"/>
        <w:numPr>
          <w:ilvl w:val="0"/>
          <w:numId w:val="3"/>
        </w:numPr>
        <w:tabs>
          <w:tab w:val="clear" w:pos="907"/>
          <w:tab w:val="clear" w:pos="1440"/>
        </w:tabs>
        <w:ind w:firstLine="360" w:start="0" w:end="0"/>
        <w:rPr/>
      </w:pPr>
      <w:r>
        <w:rPr/>
        <w:t xml:space="preserve"> “</w:t>
      </w:r>
      <w:r>
        <w:rPr/>
        <w:t>Source Code” shall mean the human readable version of the Software, and any Derivative Works thereof, and the associated source documentation pertaining thereto.</w:t>
      </w:r>
    </w:p>
    <w:p>
      <w:pPr>
        <w:pStyle w:val="BodyText"/>
        <w:numPr>
          <w:ilvl w:val="0"/>
          <w:numId w:val="3"/>
        </w:numPr>
        <w:tabs>
          <w:tab w:val="clear" w:pos="907"/>
          <w:tab w:val="clear" w:pos="1440"/>
        </w:tabs>
        <w:ind w:firstLine="360" w:start="0" w:end="0"/>
        <w:rPr/>
      </w:pPr>
      <w:r>
        <w:rPr/>
        <w:t xml:space="preserve"> “</w:t>
      </w:r>
      <w:r>
        <w:rPr/>
        <w:t>Term” shall have the meaning given such term in Section 6(a) below.</w:t>
      </w:r>
    </w:p>
    <w:p>
      <w:pPr>
        <w:pStyle w:val="BodyText"/>
        <w:numPr>
          <w:ilvl w:val="0"/>
          <w:numId w:val="3"/>
        </w:numPr>
        <w:tabs>
          <w:tab w:val="clear" w:pos="907"/>
          <w:tab w:val="clear" w:pos="1440"/>
        </w:tabs>
        <w:ind w:firstLine="360" w:start="0" w:end="0"/>
        <w:rPr/>
      </w:pPr>
      <w:r>
        <w:rPr/>
        <w:t xml:space="preserve"> “</w:t>
      </w:r>
      <w:r>
        <w:rPr/>
        <w:t>Update” means any enhancement, upgrade, modification or extension of the Software or Documentation that Enron makes available to AEP.</w:t>
      </w:r>
    </w:p>
    <w:p>
      <w:pPr>
        <w:pStyle w:val="Level1"/>
        <w:rPr/>
      </w:pPr>
      <w:r>
        <w:rPr/>
        <w:t>2.</w:t>
        <w:tab/>
      </w:r>
      <w:r>
        <w:rPr>
          <w:u w:val="single"/>
        </w:rPr>
        <w:t>Delivery of Software and Documentation</w:t>
      </w:r>
      <w:r>
        <w:rPr>
          <w:u w:val="double"/>
        </w:rPr>
        <w:t xml:space="preserve">; </w:t>
      </w:r>
      <w:r>
        <w:rPr>
          <w:u w:val="single"/>
        </w:rPr>
        <w:t>Testing and Acceptance.</w:t>
      </w:r>
    </w:p>
    <w:p>
      <w:pPr>
        <w:pStyle w:val="BodyText"/>
        <w:rPr/>
      </w:pPr>
      <w:r>
        <w:rPr/>
        <w:t>(a)</w:t>
        <w:tab/>
      </w:r>
      <w:r>
        <w:rPr>
          <w:u w:val="single"/>
        </w:rPr>
        <w:t>Delivery</w:t>
      </w:r>
      <w:r>
        <w:rPr/>
        <w:t>.  As soon as reasonably practicable following the Effective Date but in no event later than 5 business days thereafter (the “Delivery Date”), Enron shall arrange for delivery to AEP of (i) one copy of the Software, including its Source Code, as the same exists as of the Effective Date, each in a form reasonably acceptable to AEP, and (ii) one copy, in printed or electronic form, of the Documentation as of the Effective Date.  All of the foregoing shall be used by AEP solely in accordance with the terms of this Agreement.</w:t>
      </w:r>
    </w:p>
    <w:p>
      <w:pPr>
        <w:pStyle w:val="BodyText"/>
        <w:rPr>
          <w:b/>
          <w:i/>
          <w:i/>
          <w:iCs/>
          <w:caps/>
          <w:highlight w:val="yellow"/>
        </w:rPr>
      </w:pPr>
      <w:r>
        <w:rPr>
          <w:bCs/>
        </w:rPr>
        <w:t>(b)</w:t>
        <w:tab/>
      </w:r>
      <w:r>
        <w:rPr>
          <w:bCs/>
          <w:u w:val="single"/>
        </w:rPr>
        <w:t>Testing and Acceptance</w:t>
      </w:r>
      <w:r>
        <w:rPr>
          <w:bCs/>
        </w:rPr>
        <w:t xml:space="preserve">.  AEP and/or its Affiliates shall have thirty (30) business days from the Delivery Date to test the Software based upon the operational, performance and functionality specifications provided in the Documentation (“Testing Period”).  If the Software operates in accordance with the Documentation, AEP shall accept the Software by written notice to Enron on or before the termination date of Testing Period (the “Acceptance Date”).  If the Software does not operate in accordance with the Documentation in AEP’s sole discretion, AEP shall reject the Software by written notice to Enron detailing the reasons for rejection of the Software and Enron shall render Assistance at no cost to AEP necessary to cure such failure(s) of the Software.  If AEP and/or its Affiliates are unable to accept the Software because the Software does not operate in accordance with the Documentation within sixty (60) business days from the Delivery Date, AEP may, at its option: (i) reject the Software and upon rejection, </w:t>
      </w:r>
      <w:r>
        <w:rPr/>
        <w:t>Enron shall promptly refund AEP all of fees and expenses paid to Enron and this Agreement shall be terminated; or (ii) permit Enron to continue to render Assistance in accordance with this Section 2(b) until such time as AEP accepts the Software.</w:t>
      </w:r>
    </w:p>
    <w:p>
      <w:pPr>
        <w:pStyle w:val="BodyText"/>
        <w:rPr>
          <w:b/>
        </w:rPr>
      </w:pPr>
      <w:r>
        <w:rPr/>
        <w:t>(c)</w:t>
        <w:tab/>
      </w:r>
      <w:r>
        <w:rPr>
          <w:u w:val="single"/>
        </w:rPr>
        <w:t>Knowledge Transfer Services</w:t>
      </w:r>
      <w:r>
        <w:rPr/>
        <w:t>.  After the Effective Date and within the first ninety (90) days after the Acceptance Date, Enron will provide up to forty (40) man-hours of Knowledge Transfer Services at no cost to AEP.  In addition, upon AEP’s request, Enron will provide up to 320 additional man-hours of Knowledge Transfer Services to AEP at terms and conditions set forth in Exhibit C.</w:t>
      </w:r>
    </w:p>
    <w:p>
      <w:pPr>
        <w:pStyle w:val="BodyText"/>
        <w:rPr/>
      </w:pPr>
      <w:r>
        <w:rPr/>
        <w:t>(d)</w:t>
        <w:tab/>
      </w:r>
      <w:r>
        <w:rPr>
          <w:u w:val="single"/>
        </w:rPr>
        <w:t>Support and Maintenance Services</w:t>
      </w:r>
      <w:r>
        <w:rPr/>
        <w:t>.  AEP shall have no right to receive support, maintenance, installation, update or similar services for the Software from Enron except Assistance, Knowledge Transfer Services and except pursuant to a separate support and maintenance agreement entered into between Enron and AEP.  Any Updates that are provided to AEP under any such support and maintenance agreement shall be deemed part of the Software and Documentation licensed hereunder and shall be subject to the terms and conditions of this Agreement.</w:t>
      </w:r>
    </w:p>
    <w:p>
      <w:pPr>
        <w:pStyle w:val="Level1"/>
        <w:rPr/>
      </w:pPr>
      <w:r>
        <w:rPr/>
        <w:t>3.</w:t>
        <w:tab/>
      </w:r>
      <w:r>
        <w:rPr>
          <w:u w:val="single"/>
        </w:rPr>
        <w:t>License</w:t>
      </w:r>
      <w:r>
        <w:rPr/>
        <w:t>.</w:t>
      </w:r>
    </w:p>
    <w:p>
      <w:pPr>
        <w:pStyle w:val="BodyText"/>
        <w:rPr/>
      </w:pPr>
      <w:r>
        <w:rPr/>
        <w:t>(a)</w:t>
        <w:tab/>
      </w:r>
      <w:r>
        <w:rPr>
          <w:u w:val="single"/>
        </w:rPr>
        <w:t>License</w:t>
      </w:r>
      <w:r>
        <w:rPr/>
        <w:t>.  During the Term, and subject to the terms and conditions of this Agreement including, but not limited to, payment of the fees set forth in Section 5 of this Agreement, Enron hereby grants to AEP a world-wide, perpetual, non-exclusive, non-sublicenseable and non-transferable right and license to use, display, publish and transmit the Software (including the Source Code), the Documentation and the Licensed Know-how solely for the purpose of conducting AEP Business and creating Derivative Works for use solely in the AEP Business.  For the avoidance of doubt, Section 3(a)(i) shall permit AEP and its Affiliates to decompile, reverse engineer, develop and modify the Software and combine and/or interface the Software with other technology (including other software), in each case, solely for the purpose of conducting the AEP Business and creating Derivative Works for use solely in the AEP Business.</w:t>
      </w:r>
    </w:p>
    <w:p>
      <w:pPr>
        <w:pStyle w:val="BodyText"/>
        <w:rPr/>
      </w:pPr>
      <w:r>
        <w:rPr/>
        <w:t>(b)</w:t>
        <w:tab/>
      </w:r>
      <w:r>
        <w:rPr>
          <w:u w:val="single"/>
        </w:rPr>
        <w:t>Copies</w:t>
      </w:r>
      <w:r>
        <w:rPr/>
        <w:t>.  The license granted pursuant to Section 3(a) shall permit AEP and its Affiliates to make such copies of the Software (in object code and source code) and the Documentation as is reasonably necessary for AEP to enjoy the full benefit of this Agreement.</w:t>
      </w:r>
    </w:p>
    <w:p>
      <w:pPr>
        <w:pStyle w:val="BodyText"/>
        <w:rPr/>
      </w:pPr>
      <w:r>
        <w:rPr/>
        <w:t>(b)</w:t>
        <w:tab/>
      </w:r>
      <w:r>
        <w:rPr>
          <w:u w:val="single"/>
        </w:rPr>
        <w:t>Use by Affiliates</w:t>
      </w:r>
      <w:r>
        <w:rPr/>
        <w:t>.  The foregoing rights and licenses granted this Section 3 shall apply only to AEP and its Affiliates provided that each such Affiliate shall agree in writing to be bound by all of the terms of this Agreement as fully as if they were AEP herein.  AEP agrees that it shall remain responsible and liable for ensuring each Affiliate's compliance with all the terms and conditions of this Agreement.</w:t>
      </w:r>
    </w:p>
    <w:p>
      <w:pPr>
        <w:pStyle w:val="BodyText"/>
        <w:rPr/>
      </w:pPr>
      <w:r>
        <w:rPr/>
        <w:t>(c)</w:t>
        <w:tab/>
      </w:r>
      <w:r>
        <w:rPr>
          <w:u w:val="single"/>
        </w:rPr>
        <w:t>Reservation</w:t>
      </w:r>
      <w:r>
        <w:rPr/>
        <w:t>.  Enron hereby reserves to itself all right, title and interest in and to the Enron Materials not expressly granted to AEP in this Section 3.  No other license, whether by implication or otherwise, is granted by Enron except as expressly and unambiguously set forth in Section 3(a) above.</w:t>
      </w:r>
    </w:p>
    <w:p>
      <w:pPr>
        <w:pStyle w:val="BodyText"/>
        <w:numPr>
          <w:ilvl w:val="0"/>
          <w:numId w:val="4"/>
        </w:numPr>
        <w:tabs>
          <w:tab w:val="clear" w:pos="907"/>
          <w:tab w:val="left" w:pos="900" w:leader="none"/>
          <w:tab w:val="left" w:pos="1440" w:leader="none"/>
        </w:tabs>
        <w:rPr/>
      </w:pPr>
      <w:r>
        <w:rPr>
          <w:u w:val="single"/>
        </w:rPr>
        <w:t>Ownership</w:t>
      </w:r>
      <w:r>
        <w:rPr/>
        <w:t xml:space="preserve">.  </w:t>
      </w:r>
    </w:p>
    <w:p>
      <w:pPr>
        <w:pStyle w:val="BodyText"/>
        <w:numPr>
          <w:ilvl w:val="0"/>
          <w:numId w:val="2"/>
        </w:numPr>
        <w:tabs>
          <w:tab w:val="clear" w:pos="1440"/>
          <w:tab w:val="left" w:pos="907" w:leader="none"/>
        </w:tabs>
        <w:rPr/>
      </w:pPr>
      <w:r>
        <w:rPr/>
        <w:t xml:space="preserve">AEP acknowledges that (x) all materials provided by Enron to AEP under this Agreement, including, but not limited to, all Software, Documentation, Source Code, object code, class libraries, scripts, algorithms, designs, flow-charts, procedures, processes, systems, methodologies, information, and Licensed Know-how; (y) any documentation embodying or relating to any of the foregoing; and (z) all Intellectual Property Rights in any of the foregoing (collectively, “Enron Materials”) are and shall remain the sole and exclusive property of Enron and its suppliers. </w:t>
      </w:r>
    </w:p>
    <w:p>
      <w:pPr>
        <w:pStyle w:val="BodyText"/>
        <w:numPr>
          <w:ilvl w:val="0"/>
          <w:numId w:val="2"/>
        </w:numPr>
        <w:tabs>
          <w:tab w:val="clear" w:pos="1440"/>
          <w:tab w:val="left" w:pos="907" w:leader="none"/>
        </w:tabs>
        <w:rPr>
          <w:rFonts w:ascii="Times" w:hAnsi="Times" w:cs="Times"/>
        </w:rPr>
      </w:pPr>
      <w:r>
        <w:rPr/>
        <w:t xml:space="preserve">If Enron creates, designs or develops any Derivative Works, Enron shall own title and all Intellectual Property Rights therein (each, an “Enron Derivative Work”).  </w:t>
      </w:r>
    </w:p>
    <w:p>
      <w:pPr>
        <w:pStyle w:val="BodyText"/>
        <w:numPr>
          <w:ilvl w:val="0"/>
          <w:numId w:val="2"/>
        </w:numPr>
        <w:tabs>
          <w:tab w:val="clear" w:pos="1440"/>
          <w:tab w:val="left" w:pos="907" w:leader="none"/>
        </w:tabs>
        <w:rPr/>
      </w:pPr>
      <w:r>
        <w:rPr/>
        <w:t xml:space="preserve">If AEP creates, designs or develops any Derivative Works, AEP shall own title and all Intellectual Property Rights therein (each, an “AEP Derivative Work”) and in the relevant AEP Know-how, subject to Enron’s rights in the original work.  </w:t>
      </w:r>
    </w:p>
    <w:p>
      <w:pPr>
        <w:pStyle w:val="BodyText"/>
        <w:numPr>
          <w:ilvl w:val="0"/>
          <w:numId w:val="2"/>
        </w:numPr>
        <w:tabs>
          <w:tab w:val="clear" w:pos="1440"/>
          <w:tab w:val="left" w:pos="907" w:leader="none"/>
        </w:tabs>
        <w:rPr/>
      </w:pPr>
      <w:r>
        <w:rPr/>
        <w:t>If AEP creates, designs or develops any technology (including software) or documentation that will work in conjunction or combination with, or is based upon any Software, Documentation or Derivative Work, but is not itself a Derivative Work, AEP shall own title and all Intellectual Property Rights therein.</w:t>
      </w:r>
    </w:p>
    <w:p>
      <w:pPr>
        <w:pStyle w:val="BodyText"/>
        <w:numPr>
          <w:ilvl w:val="0"/>
          <w:numId w:val="2"/>
        </w:numPr>
        <w:tabs>
          <w:tab w:val="clear" w:pos="1440"/>
          <w:tab w:val="left" w:pos="907" w:leader="none"/>
        </w:tabs>
        <w:rPr/>
      </w:pPr>
      <w:r>
        <w:rPr>
          <w:bCs/>
        </w:rPr>
        <w:t xml:space="preserve">If Enron creates, designs or develops any technology (including software) or documentation that will work in conjunction or combination with, or is based upon any Software, Documentation or Derivative Work, but is not itself a Derivative Work, Enron shall own title and all Intellectual Property Rights therein.  </w:t>
      </w:r>
    </w:p>
    <w:p>
      <w:pPr>
        <w:pStyle w:val="Level1"/>
        <w:rPr/>
      </w:pPr>
      <w:r>
        <w:rPr/>
        <w:t>4.</w:t>
        <w:tab/>
      </w:r>
      <w:r>
        <w:rPr>
          <w:u w:val="single"/>
        </w:rPr>
        <w:t>Restrictions</w:t>
      </w:r>
      <w:r>
        <w:rPr/>
        <w:t>.</w:t>
      </w:r>
    </w:p>
    <w:p>
      <w:pPr>
        <w:pStyle w:val="BodyText"/>
        <w:rPr/>
      </w:pPr>
      <w:r>
        <w:rPr/>
        <w:t>(a)</w:t>
        <w:tab/>
      </w:r>
      <w:r>
        <w:rPr>
          <w:u w:val="single"/>
        </w:rPr>
        <w:t>Proprietary Notices</w:t>
      </w:r>
      <w:r>
        <w:rPr/>
        <w:t xml:space="preserve">.  AEP shall not alter, remove or obscure any copyright, patent, trademark or other proprietary or restrictive notice or legend contained in or included with any Software or Documentation, or any copies thereof, in whatever media or form.  AEP shall reproduce and include all such notices and legends on each copy and on each partial copy of the Software, the Documentation and Derivative Works of the foregoing. </w:t>
      </w:r>
    </w:p>
    <w:p>
      <w:pPr>
        <w:pStyle w:val="BodyText"/>
        <w:rPr/>
      </w:pPr>
      <w:r>
        <w:rPr/>
        <w:t>(b)</w:t>
        <w:tab/>
      </w:r>
      <w:r>
        <w:rPr>
          <w:u w:val="single"/>
        </w:rPr>
        <w:t>Use of Software</w:t>
      </w:r>
      <w:r>
        <w:rPr/>
        <w:t>.  Nothing in this Agreement shall be construed to grant AEP the right to, and AEP shall not, and shall not permit any Affiliate, or any employees of it or its Affiliates or other third party to: (i) disclose the Source Code, in whole or in part, to any third party other than AEP’s and its Affiliates’ agents and consultants; (ii) create any right or license in or to any Intellectual Property Right of Enron or its suppliers except as expressly and ambiguously set forth herein; (iii) use, reproduce or modify the Software or the Documentation except as expressly allowed in Section 3(a) above; (iv) provide, lease, distribute, use for timesharing or service bureau purposes, or otherwise provide or use the Software and Documentation, in any format, to or for the benefit of any third party; or (v) create or use more copies of the Source Code than reasonably necessary for AEP’s permitted use hereunder.  AEP shall cooperate with Enron, and shall render all reasonable assistance requested by Enron, to assist Enron in preventing and identifying any violation of the terms and restrictions of the license granted herein or any other breach of this Agreement.</w:t>
      </w:r>
    </w:p>
    <w:p>
      <w:pPr>
        <w:pStyle w:val="BodyText"/>
        <w:rPr/>
      </w:pPr>
      <w:r>
        <w:rPr/>
        <w:t>(c)</w:t>
        <w:tab/>
      </w:r>
      <w:r>
        <w:rPr>
          <w:u w:val="single"/>
        </w:rPr>
        <w:t>Protection of Source Code</w:t>
      </w:r>
      <w:r>
        <w:rPr/>
        <w:t>.  The licenses granted in Section 3(a) above require, and AEP shall, at all times keep the Source Code in a secure environment (and if on a computer network, in a secure area of such computer network), with access restricted to only those who have a “need to know” in order to exercise AEP’s rights under this Agreement.  AEP will maintain a log (which shall include, at a minimum, the name, employee number (if any), and time period when any such persons had access to such information, and will submit the log to Enron for review at Enron’s reasonable request.  AEP shall remove all access to the Source Code from any AEP or Affiliate employee at Enron’s reasonable request and promptly notify Enron in writing immediately upon the occurrence of any unauthorized release or use of the Source Code and will cooperate with Enron in all reasonable ways to help Enron regain possession of the Source Code and prevent its further release or use.</w:t>
      </w:r>
    </w:p>
    <w:p>
      <w:pPr>
        <w:pStyle w:val="Level1"/>
        <w:rPr>
          <w:b/>
        </w:rPr>
      </w:pPr>
      <w:r>
        <w:rPr/>
        <w:t>5.</w:t>
        <w:tab/>
      </w:r>
      <w:r>
        <w:rPr>
          <w:u w:val="single"/>
        </w:rPr>
        <w:t>Fees and Payments</w:t>
      </w:r>
      <w:r>
        <w:rPr/>
        <w:t xml:space="preserve">. </w:t>
      </w:r>
    </w:p>
    <w:p>
      <w:pPr>
        <w:pStyle w:val="BodyText"/>
        <w:rPr/>
      </w:pPr>
      <w:r>
        <w:rPr/>
        <w:t>(a)</w:t>
        <w:tab/>
      </w:r>
      <w:r>
        <w:rPr>
          <w:u w:val="single"/>
        </w:rPr>
        <w:t>Fees</w:t>
      </w:r>
      <w:r>
        <w:rPr/>
        <w:t>.  In consideration of rights granted by Enron herein and the Knowledge Transfer Services to be rendered pursuant to this Agreement, AEP shall pay Enron the fees in the amounts and on the terms and conditions as set forth on Exhibit D.</w:t>
      </w:r>
    </w:p>
    <w:p>
      <w:pPr>
        <w:pStyle w:val="BodyText"/>
        <w:rPr/>
      </w:pPr>
      <w:r>
        <w:rPr/>
        <w:t>(b)</w:t>
        <w:tab/>
      </w:r>
      <w:r>
        <w:rPr>
          <w:u w:val="single"/>
        </w:rPr>
        <w:t>Expenses</w:t>
      </w:r>
      <w:r>
        <w:rPr/>
        <w:t>.  AEP shall also reimburse Enron for all reasonable expenses, if any, incurred by Enron personnel in the course of providing the Knowledge Transfer Services.</w:t>
      </w:r>
    </w:p>
    <w:p>
      <w:pPr>
        <w:pStyle w:val="BodyText"/>
        <w:rPr/>
      </w:pPr>
      <w:r>
        <w:rPr/>
        <w:t>(c)</w:t>
        <w:tab/>
      </w:r>
      <w:r>
        <w:rPr>
          <w:u w:val="single"/>
        </w:rPr>
        <w:t>Taxes</w:t>
      </w:r>
      <w:r>
        <w:rPr/>
        <w:t>.  All amounts due Enron hereunder are exclusive of any state, local, and other taxes and charges (other than income or franchise taxes payable by Enron) directly applicable to this Agreement or the Knowledge Transfer Services.  In the event any taxing authority assesses or collects from Enron any such taxes, however designated or levied, AEP shall defend, protect, indemnify and hold Enron harmless from and against any such collection or assessment.</w:t>
      </w:r>
    </w:p>
    <w:p>
      <w:pPr>
        <w:pStyle w:val="BodyText"/>
        <w:rPr/>
      </w:pPr>
      <w:r>
        <w:rPr/>
        <w:t>(d)</w:t>
        <w:tab/>
      </w:r>
      <w:r>
        <w:rPr>
          <w:u w:val="single"/>
        </w:rPr>
        <w:t>Invoices</w:t>
      </w:r>
      <w:r>
        <w:rPr/>
        <w:t>.  Unless otherwise indicated in this Agreement, the amounts set forth in any invoice provided by Enron to AEP under this Agreement shall be due and payable by AEP within thirty (30) calendar days after its receipt of Enron’s invoice.</w:t>
      </w:r>
    </w:p>
    <w:p>
      <w:pPr>
        <w:pStyle w:val="BodyText"/>
        <w:rPr/>
      </w:pPr>
      <w:r>
        <w:rPr/>
        <w:t>(e)</w:t>
        <w:tab/>
      </w:r>
      <w:r>
        <w:rPr>
          <w:u w:val="single"/>
        </w:rPr>
        <w:t>Late Payments</w:t>
      </w:r>
      <w:r>
        <w:rPr/>
        <w:t>.  AEP shall pay interest on all payments made more than ten (10) calendar days after the due date of such payment at the rate of the lesser of one and one-half percent (1.5%) per month or the maximum rate allowed by law. AEP shall reimburse Enron for all reasonable expenses incurred by Enron in collecting any overdue amounts including, without limitation, reasonable attorneys’ fees and expenses.</w:t>
      </w:r>
    </w:p>
    <w:p>
      <w:pPr>
        <w:pStyle w:val="Level1"/>
        <w:rPr>
          <w:b/>
        </w:rPr>
      </w:pPr>
      <w:r>
        <w:rPr/>
        <w:t>6.</w:t>
        <w:tab/>
      </w:r>
      <w:r>
        <w:rPr>
          <w:u w:val="single"/>
        </w:rPr>
        <w:t>Term and Termination</w:t>
      </w:r>
      <w:r>
        <w:rPr/>
        <w:t>.</w:t>
      </w:r>
    </w:p>
    <w:p>
      <w:pPr>
        <w:pStyle w:val="BodyText"/>
        <w:rPr/>
      </w:pPr>
      <w:r>
        <w:rPr/>
        <w:t>(a)</w:t>
        <w:tab/>
      </w:r>
      <w:r>
        <w:rPr>
          <w:u w:val="single"/>
        </w:rPr>
        <w:t>Term</w:t>
      </w:r>
      <w:r>
        <w:rPr/>
        <w:t>.  The term of this Agreement shall commence on the Effective Date and shall continue in perpetuity unless termination occurs pursuant to this Section 6 (the “Term”).</w:t>
      </w:r>
    </w:p>
    <w:p>
      <w:pPr>
        <w:pStyle w:val="BodyText"/>
        <w:rPr>
          <w:b/>
          <w:bCs/>
        </w:rPr>
      </w:pPr>
      <w:r>
        <w:rPr/>
        <w:t>(b)</w:t>
        <w:tab/>
      </w:r>
      <w:r>
        <w:rPr>
          <w:u w:val="single"/>
        </w:rPr>
        <w:t>Termination for Material Breach</w:t>
      </w:r>
      <w:r>
        <w:rPr/>
        <w:t>.  Either party shall be entitled to terminate this Agreement immediately upon written notice in the event that the other party breaches any material provision of this Agreement and fails to cure such breach within thirty (30) days after receipt from the non-breaching party of written notice detailing such breach; provided that if the non-breaching party contests the notice in good faith and seeks a disposition, this Agreement shall continue until such disposition.</w:t>
      </w:r>
    </w:p>
    <w:p>
      <w:pPr>
        <w:pStyle w:val="BodyText"/>
        <w:rPr/>
      </w:pPr>
      <w:r>
        <w:rPr/>
        <w:t>(c)</w:t>
        <w:tab/>
      </w:r>
      <w:r>
        <w:rPr>
          <w:u w:val="single"/>
        </w:rPr>
        <w:t>Termination for Bankruptcy</w:t>
      </w:r>
      <w:r>
        <w:rPr/>
        <w:t>.  Either party may terminate this Agreement immediately upon written notice if: (i) the other party becomes insolvent or unable to pay its debts as they mature in the ordinary course of business or makes an assignment for the benefit of its creditors; or (ii) proceedings (whether voluntary or involuntary) are commenced against the other party under any bankruptcy, insolvency or debtor’s relief law and such proceedings are not vacated or set aside within sixty (60) days from the commencement thereof.</w:t>
      </w:r>
    </w:p>
    <w:p>
      <w:pPr>
        <w:pStyle w:val="BodyText"/>
        <w:rPr/>
      </w:pPr>
      <w:r>
        <w:rPr/>
        <w:t>(d)</w:t>
        <w:tab/>
      </w:r>
      <w:r>
        <w:rPr>
          <w:u w:val="single"/>
        </w:rPr>
        <w:t>Termination for Convenience</w:t>
      </w:r>
      <w:r>
        <w:rPr/>
        <w:t>.  This Agreement may be terminated by AEP at any time and for any reason or no reason upon thirty (30) days prior written notice to Enron.</w:t>
      </w:r>
    </w:p>
    <w:p>
      <w:pPr>
        <w:pStyle w:val="BodyText"/>
        <w:rPr/>
      </w:pPr>
      <w:r>
        <w:rPr/>
        <w:t>(e)</w:t>
        <w:tab/>
      </w:r>
      <w:r>
        <w:rPr>
          <w:u w:val="single"/>
        </w:rPr>
        <w:t>Events Upon Termination</w:t>
      </w:r>
      <w:r>
        <w:rPr/>
        <w:t>.  Upon the expiration or termination of this Agreement for any reason: (i) Enron shall invoice AEP for all accrued fees and reimbursable expenses, if any, and AEP shall pay the invoiced amount immediately upon receipt of such invoice; (ii) AEP shall immediately cease all use of the Software and the Documentation; and (iii) each party will return or destroy (at the request of the disclosing party) all documented Confidential Information of the other party in its possession or control, and certify its compliance with this provision to the disclosing party in writing.</w:t>
      </w:r>
    </w:p>
    <w:p>
      <w:pPr>
        <w:pStyle w:val="BodyText"/>
        <w:rPr/>
      </w:pPr>
      <w:r>
        <w:rPr/>
        <w:t>(f)</w:t>
        <w:tab/>
      </w:r>
      <w:r>
        <w:rPr>
          <w:u w:val="single"/>
        </w:rPr>
        <w:t>Survival</w:t>
      </w:r>
      <w:r>
        <w:rPr/>
        <w:t>. Any continuing payment obligations, the definitions contained in Section 1, the provisions of Sections 6(e), 6(f), 7(c), and 8 through 11, and any right of action for breach of this Agreement prior to termination shall survive any expiration or termination of this Agreement.  The provisions of Section 8 shall remain in effect until Confidential Information is publicly known and made generally available through no action or inaction of the receiving party.</w:t>
      </w:r>
    </w:p>
    <w:p>
      <w:pPr>
        <w:pStyle w:val="Level1"/>
        <w:rPr/>
      </w:pPr>
      <w:r>
        <w:rPr/>
        <w:t>7.</w:t>
        <w:tab/>
      </w:r>
      <w:r>
        <w:rPr>
          <w:u w:val="single"/>
        </w:rPr>
        <w:t>Representations and Warranties</w:t>
      </w:r>
      <w:r>
        <w:rPr/>
        <w:t>.</w:t>
      </w:r>
    </w:p>
    <w:p>
      <w:pPr>
        <w:pStyle w:val="BodyTextNumbered"/>
        <w:numPr>
          <w:ilvl w:val="0"/>
          <w:numId w:val="1"/>
        </w:numPr>
        <w:ind w:firstLine="360" w:start="0" w:end="0"/>
        <w:rPr>
          <w:u w:val="single"/>
        </w:rPr>
      </w:pPr>
      <w:r>
        <w:rPr>
          <w:u w:val="single"/>
        </w:rPr>
        <w:t>Software and Documentation</w:t>
      </w:r>
      <w:r>
        <w:rPr/>
        <w:t>.  Enron hereby represents and warrants to AEP that (i) the Software and the Documentation do not infringe the Intellectual Property Rights of any third party; (ii) the Software has satisfactorily performed in all</w:t>
      </w:r>
      <w:r>
        <w:rPr>
          <w:bCs/>
        </w:rPr>
        <w:t xml:space="preserve"> material </w:t>
      </w:r>
      <w:r>
        <w:rPr/>
        <w:t xml:space="preserve">respects for the management of </w:t>
      </w:r>
      <w:r>
        <w:rPr>
          <w:bCs/>
        </w:rPr>
        <w:t>Houston Pipe Line Company’s operations</w:t>
      </w:r>
      <w:r>
        <w:rPr/>
        <w:t>, including with respect to the system features outlined in Exhibit B and provided in the Documentation; and (iii) the Software is free of viruses and disabling devices (including a “time bomb”) that would enable Enron or a third party to disable the Software or interfere with AEP’s enjoyment of the Software.</w:t>
      </w:r>
    </w:p>
    <w:p>
      <w:pPr>
        <w:pStyle w:val="BodyTextNumbered"/>
        <w:numPr>
          <w:ilvl w:val="0"/>
          <w:numId w:val="1"/>
        </w:numPr>
        <w:ind w:firstLine="360" w:start="0" w:end="0"/>
        <w:rPr/>
      </w:pPr>
      <w:r>
        <w:rPr>
          <w:u w:val="single"/>
        </w:rPr>
        <w:t>Services</w:t>
      </w:r>
      <w:r>
        <w:rPr/>
        <w:t>.  Enron represents and warrants that the Assistance and Knowledge Transfer Services shall be performed by qualified personnel in a professional and workmanlike manner.  AEP agrees that it shall make available to Enron such employees with requisite knowledge and experience to readily allow the transfer of knowledge contemplated the Knowledge Transfer Services.  AEP’s sole remedy for breach of this warranty shall be re-performance of the nonconforming services, provided that AEP shall have initially provided such employees for such transfer and that Enron must have received written notice of the nonconformity from AEP no later than thirty (30) days after the original performance of such services by Enron.</w:t>
      </w:r>
    </w:p>
    <w:p>
      <w:pPr>
        <w:pStyle w:val="BodyTextNumbered"/>
        <w:numPr>
          <w:ilvl w:val="0"/>
          <w:numId w:val="1"/>
        </w:numPr>
        <w:ind w:firstLine="360" w:start="0" w:end="0"/>
        <w:rPr/>
      </w:pPr>
      <w:r>
        <w:rPr>
          <w:u w:val="single"/>
        </w:rPr>
        <w:t>Authority</w:t>
      </w:r>
      <w:r>
        <w:rPr/>
        <w:t>.  Each party represents and warrants that it has full power and authority to enter into this Agreement and convey the rights conveyed herein.  Each party further represents that it has not entered into nor will it enter into any agreements that would conflict with its obligations hereunder or render it incapable of satisfactorily performing hereunder.</w:t>
      </w:r>
    </w:p>
    <w:p>
      <w:pPr>
        <w:pStyle w:val="BodyTextNumbered"/>
        <w:numPr>
          <w:ilvl w:val="0"/>
          <w:numId w:val="1"/>
        </w:numPr>
        <w:ind w:firstLine="360" w:start="0" w:end="0"/>
        <w:rPr/>
      </w:pPr>
      <w:r>
        <w:rPr>
          <w:u w:val="single"/>
        </w:rPr>
        <w:t>Disclaimer</w:t>
      </w:r>
      <w:r>
        <w:rPr/>
        <w:t>.  OTHER THAN THE WARRANTIES EXPRESSLY SET FORTH IN THIS SECTION 7, ENRON MAKES NO REPRESENTATIONS OR WARRANTIES TO ANY PERSON OR ENTITY WITH RESPECT TO THE SOFTWARE, THE KNOWLEDGE TRANSFER SERVICES, OR ANY OTHER SUBJECT MATTER OF THIS AGREEMENT.  EXCEPT AS PROVIDED IN THIS SECTION 7, THE SOFTWARE IS PROVIDED TO AEP “AS IS” WITHOUT WARRANTY OF ANY KIND.  FURTHER, ENRON DOES NOT WARRANT, GUARANTEE, OR MAKE ANY REPRESENTATIONS REGARDING THE USE, OR THE RESULTS OF THE USE, OF THE SOFTWARE OR ANY INFORMATION PROVIDED PURSUANT TO THIS AGREEMENT, OR OF THE KNOWLEDGE TRANSFER SERVICES, IN TERMS OF CORRECTNESS, ACCURACY, RELIABILITY OR OTHERWISE.  WITHOUT LIMITING THE FOREGOING, ENRON SPECIFICALLY DISCLAIMS ALL EXPRESS WARRANTIES NOT STATED HEREIN AND ALL IMPLIED WARRANTIES, INCLUDING, WITHOUT LIMITATION, THE IMPLIED WARRANTIES OF MERCHANTABILITY, FITNESS FOR A PARTICULAR PURPOSE AND NON-INFRINGEMENT.  NO ENRON AGENT OR EMPLOYEE IS AUTHORIZED TO MAKE ANY EXPANSION, MODIFICATION OR ADDITION TO THIS LIMITATION AND EXCLUSION OF WARRANTIES IN THIS AGREEMENT.</w:t>
      </w:r>
    </w:p>
    <w:p>
      <w:pPr>
        <w:pStyle w:val="BodyTextNumbered"/>
        <w:ind w:hanging="360" w:start="360" w:end="0"/>
        <w:rPr>
          <w:b/>
          <w:bCs/>
        </w:rPr>
      </w:pPr>
      <w:r>
        <w:rPr/>
        <w:t>8.</w:t>
        <w:tab/>
      </w:r>
      <w:r>
        <w:rPr>
          <w:u w:val="single"/>
        </w:rPr>
        <w:t>Confidentiality</w:t>
      </w:r>
      <w:r>
        <w:rPr/>
        <w:t xml:space="preserve">.  </w:t>
      </w:r>
    </w:p>
    <w:p>
      <w:pPr>
        <w:pStyle w:val="BodyText"/>
        <w:rPr/>
      </w:pPr>
      <w:r>
        <w:rPr/>
        <w:t>(a)</w:t>
        <w:tab/>
      </w:r>
      <w:r>
        <w:rPr>
          <w:u w:val="single"/>
        </w:rPr>
        <w:t>Definition</w:t>
      </w:r>
      <w:r>
        <w:rPr/>
        <w:t>.  Each party (the “Receiving Party”) may receive the information relating to the other party (the “Disclosing Party”) that is a confidential or proprietary nature (“Confidential Information”). Such Confidential Information shall include, without limitation, the Software, the Source Code, and the Documentation, and all copies and Derivative Works of the foregoing, all errors or limitations or any Enron Materials, and all business, financial, and marketing information, plans and data.</w:t>
      </w:r>
    </w:p>
    <w:p>
      <w:pPr>
        <w:pStyle w:val="BodyText"/>
        <w:rPr/>
      </w:pPr>
      <w:r>
        <w:rPr/>
        <w:t>(b)</w:t>
        <w:tab/>
      </w:r>
      <w:r>
        <w:rPr>
          <w:u w:val="single"/>
        </w:rPr>
        <w:t>Protection</w:t>
      </w:r>
      <w:r>
        <w:rPr/>
        <w:t>.  Except as expressly and unambiguously allowed in Section 8(c) or elsewhere herein, The Receiving Party agrees for a period of five (5) years from the Effective Date: (i) to hold the Confidential Information of the Disclosing Party and any information derived therefrom in strict confidence and use all reasonable efforts with respect to the handling and protection of such Confidential Information (including, without limitation, all precautions it employs with respect to its own confidential information); and (ii) to only use such Confidential Information in its performance of its obligations under this Agreement and its exercise of those rights set forth in this Agreement.  Further, the Receiving Party agrees not to circulate Confidential Information of the Disclosing Party within its organization except to those employees, agents, consultants, officers, and directors who have a legitimate “need to know” such information and who agree to be bound by the confidentiality provisions set forth in this Agreement, and each party acknowledges and agrees that it is responsible and liable for such persons compliance with such confidentiality obligations.</w:t>
      </w:r>
    </w:p>
    <w:p>
      <w:pPr>
        <w:pStyle w:val="BodyText"/>
        <w:rPr/>
      </w:pPr>
      <w:r>
        <w:rPr/>
        <w:t>(c)</w:t>
        <w:tab/>
      </w:r>
      <w:r>
        <w:rPr>
          <w:u w:val="single"/>
        </w:rPr>
        <w:t>Permitted Disclosures</w:t>
      </w:r>
      <w:r>
        <w:rPr/>
        <w:t>.  The Receiving Party shall not be obligated under Section 8(b) with respect to information (including Confidential Information) that it can document: (i) is or becomes, through no fault of Receiving Party (or its Affiliates, agents, consultants or employees), readily publicly available; (ii) is received, without restriction, from a third party lawfully in possession of such information and lawfully empowered to disclose such information to the Receiving Party; (iii) was rightfully in the Receiving Party’s possession without restriction prior to its disclosure by the Disclosing Party; (iv) is required by law or court order to be disclosed, provided that the Receiving Party uses diligent efforts, at Disclosing Party’s expense, to obtain confidential treatment and/or a protective order, and notifies the Disclosing Party in sufficient time to allow the Disclosing Party to meaningfully participate in the proceedings; (v) is independently developed by AEP’s or Affiliates’ employees or consultants having no access to any Confidential Information; or (vi) is hereinafter disclosed by Enron to a third party without restriction on disclosure.</w:t>
      </w:r>
    </w:p>
    <w:p>
      <w:pPr>
        <w:pStyle w:val="BodyText"/>
        <w:rPr/>
      </w:pPr>
      <w:r>
        <w:rPr/>
        <w:t>(d)</w:t>
        <w:tab/>
      </w:r>
      <w:r>
        <w:rPr>
          <w:u w:val="single"/>
        </w:rPr>
        <w:t>Injunction</w:t>
      </w:r>
      <w:r>
        <w:rPr/>
        <w:t>.  The Receiving Party acknowledges and agrees that due to the unique nature of the Disclosing Party’s Confidential Information, there can be no adequate remedy at law for any breach of its obligations hereunder, and that any such breach will result in irreparable harm to the Disclosing Party.  Accordingly, upon any such breach or threat thereof, the Disclosing Party shall be entitled to injunctive relief, in addition to any other remedies available at law, equity, contract or otherwise, without the payment of any bond.</w:t>
      </w:r>
    </w:p>
    <w:p>
      <w:pPr>
        <w:pStyle w:val="Level1"/>
        <w:rPr/>
      </w:pPr>
      <w:r>
        <w:rPr/>
        <w:t>9.</w:t>
        <w:tab/>
      </w:r>
      <w:r>
        <w:rPr>
          <w:u w:val="single"/>
        </w:rPr>
        <w:t>Indemnification</w:t>
      </w:r>
      <w:r>
        <w:rPr/>
        <w:t>.</w:t>
      </w:r>
    </w:p>
    <w:p>
      <w:pPr>
        <w:pStyle w:val="BodyText"/>
        <w:rPr/>
      </w:pPr>
      <w:r>
        <w:rPr/>
        <w:t>(a)</w:t>
        <w:tab/>
      </w:r>
      <w:r>
        <w:rPr>
          <w:u w:val="single"/>
        </w:rPr>
        <w:t>By Enron</w:t>
      </w:r>
      <w:r>
        <w:rPr/>
        <w:t xml:space="preserve">.  Enron shall defend or settle at its expense any third party claim or suit instituted against AEP alleging that the Software, Documentation or Derivative Work infringes upon or misappropriates any Intellectual Property Rights of a third party.  Enron shall indemnify and hold AEP harmless from and against any liabilities, obligations, losses, damages, penalties, actions, judgments, suits, claims, costs, attorneys' fees, expenses and disbursements of any kind which may be imposed upon, incurred by or asserted against AEP or its Affiliates by any third party alleging that the Software or the Documentation infringe upon or misappropriate any Intellectual Property Rights of a third party.  In the event that any of AEP’s licensed rights in the Software are enjoined, Enron shall, at its sole option and expense, either: (i) procure for AEP the rights necessary to continue exercising AEP’s licensed rights; or (ii) replace or modify the infringing portion of the Software so that it no longer infringes or misappropriates the third party’s rights.  </w:t>
      </w:r>
      <w:r>
        <w:rPr>
          <w:b/>
        </w:rPr>
        <w:t xml:space="preserve">[If Enron, in its sole discretion, determines that neither of these options is commercially reasonable, Enron may terminate this Agreement with respect to the infringing rights or the infringing portion of the Software.  The indemnity set forth in this Section 9(a) shall be AEP’s exclusive remedy for any claim of infringement or misappropriation in connection with any subject matter of this Agreement.]  </w:t>
      </w:r>
    </w:p>
    <w:p>
      <w:pPr>
        <w:pStyle w:val="BodyText"/>
        <w:rPr/>
      </w:pPr>
      <w:r>
        <w:rPr/>
        <w:t>(b)</w:t>
        <w:tab/>
      </w:r>
      <w:r>
        <w:rPr>
          <w:u w:val="single"/>
        </w:rPr>
        <w:t>Exceptions</w:t>
      </w:r>
      <w:r>
        <w:rPr/>
        <w:t>. Enron’s indemnification obligations under Section 9(a) above shall not apply if and to the extent that a claim arises from: (i) material not supplied by Enron; (ii) modifications to the Software made by any person other than Enron including, without limitation, any Derivative Works made by AEP; (iii) AEP’s use of the Software other than in accordance with this Agreement or the Documentation; (iv) use of the Software in any manner incident to an infringement not resulting primarily from the Software; or (vi) AEP’s continued allegedly infringing activity after being provided with any material that would have avoided the alleged infringement.  In addition, Enron’s indemnification obligations under Section 9(a) above will not apply to any alleged infringement occurring after AEP has received notice of such suit or proceeding or other communication alleging the infringement unless Enron has given written permission for such continuing infringement.</w:t>
      </w:r>
    </w:p>
    <w:p>
      <w:pPr>
        <w:pStyle w:val="BodyText"/>
        <w:rPr/>
      </w:pPr>
      <w:r>
        <w:rPr/>
        <w:t>(c)</w:t>
        <w:tab/>
      </w:r>
      <w:r>
        <w:rPr>
          <w:u w:val="single"/>
        </w:rPr>
        <w:t>By AEP</w:t>
      </w:r>
      <w:r>
        <w:rPr/>
        <w:t>.  AEP shall indemnify and hold Enron harmless from and against any liabilities, obligations, losses, damages, penalties, actions, judgments, suits, claims, costs, attorneys' fees, expenses and disbursements of any kind which may be imposed upon, incurred by or asserted against Enron in connection with any claim or suit instituted against Enron on account of: (i) any claim of misappropriation or infringement of any Intellectual Property Rights excluded from Enron’s indemnity obligation by Section 9(b) above to the extent any such misappropriation or infringement is caused by actions taken or allowed by AEP or AEP’s Affiliates; or (ii) the conduct of AEP’s or its Affiliates’ business, including without limitation the use by AEP or its Affiliates of the Software and/or any Derivative Works.</w:t>
      </w:r>
    </w:p>
    <w:p>
      <w:pPr>
        <w:pStyle w:val="BodyText"/>
        <w:rPr/>
      </w:pPr>
      <w:r>
        <w:rPr/>
        <w:t>(d)</w:t>
        <w:tab/>
      </w:r>
      <w:r>
        <w:rPr>
          <w:u w:val="single"/>
        </w:rPr>
        <w:t>Procedures</w:t>
      </w:r>
      <w:r>
        <w:rPr/>
        <w:t>.  Each party’s indemnification obligations under this Section 9 are contingent upon: (i) the party claiming indemnification promptly providing written notice to the other party of any such claim or suit, provided that the party claiming indemnification’s failure to so notify the indemnitor shall not relieve the indemnitor from any obligation which the indemnitor would otherwise have pursuant to this Agreement except to the extent that the indemnitor has been materially prejudiced by such failure to so notify; (ii) the indemnitee furnishing to the indemnitor, on request, non-privileged information reasonably available to the indemnitee for such defense; and (iii) the indemnitor having the opportunity to assume sole control of the defense and settlement of such claim, demand or cause of action, except that the indemnitor shall not enter into any agreement, agreed order, consent judgment, or the like which is binding on the indemnitee without the indemnitee’s consent unless a full and unconditional release is provided to the indemnitee and no agreed order, consent judgment or the like is entered to the prejudice of the indemnitee.  Notwithstanding the election of the indemnitor to assume the defense and investigation of any such claim or suit, the indemnitee shall have the right to employ separate counsel and participate in the defense and investigation of such claim or suit at its sole cost.</w:t>
      </w:r>
    </w:p>
    <w:p>
      <w:pPr>
        <w:pStyle w:val="Level1"/>
        <w:rPr/>
      </w:pPr>
      <w:r>
        <w:rPr/>
        <w:t>10.</w:t>
        <w:tab/>
      </w:r>
      <w:r>
        <w:rPr>
          <w:u w:val="single"/>
        </w:rPr>
        <w:t>Limitation of Liability</w:t>
      </w:r>
      <w:r>
        <w:rPr/>
        <w:t>.  TO THE EXTENT PERMITTED UNDER APPLICABLE LAW, EXCEPT AS PROVIDED IN THIS AGREEMENT, ENRON SHALL NOT BE RESPONSIBLE OR LIABLE WITH RESPECT TO ANY SUBJECT MATTER OF THIS AGREEMENT UNDER ANY CONTRACT, NEGLIGENCE, STRICT LIABILITY OR OTHER THEORY: (A) FOR THE COST OF PROCUREMENT OF SUBSTITUTE GOODS, SERVICES OR TECHNOLOGY; OR (B) FOR ANY INDIRECT, INCIDENTAL, CONSEQUENTIAL, EXEMPLARY OR PUNITIVE DAMAGES INCLUDING, BUT NOT LIMITED TO, LOSS OF PROFITS, EVEN IF ENRON IS MADE AWARE OF THE POSSIBILITY OF SUCH DAMAGES.</w:t>
      </w:r>
    </w:p>
    <w:p>
      <w:pPr>
        <w:pStyle w:val="Level1"/>
        <w:rPr/>
      </w:pPr>
      <w:r>
        <w:rPr/>
        <w:t>11.</w:t>
        <w:tab/>
      </w:r>
      <w:r>
        <w:rPr>
          <w:u w:val="single"/>
        </w:rPr>
        <w:t>General</w:t>
      </w:r>
      <w:r>
        <w:rPr/>
        <w:t>.</w:t>
      </w:r>
    </w:p>
    <w:p>
      <w:pPr>
        <w:pStyle w:val="BodyText"/>
        <w:rPr/>
      </w:pPr>
      <w:r>
        <w:rPr/>
        <w:t>(a)</w:t>
        <w:tab/>
        <w:t xml:space="preserve">AEP shall not have the right to assign, transfer, or sublicense any obligations or benefit under this Agreement without the prior written consent of Enron, which consent shall not be unreasonably withheld; </w:t>
      </w:r>
      <w:r>
        <w:rPr>
          <w:u w:val="single"/>
        </w:rPr>
        <w:t>provided</w:t>
      </w:r>
      <w:r>
        <w:rPr/>
        <w:t xml:space="preserve"> that a change of control of AEP shall not constitute an assignment of this Agreement.  For the avoidance of doubt, Enron may assign, delegate and/or subcontract all, but not less than all, of its rights and obligations hereunder.  Except as otherwise provided herein, this Agreement shall be binding on and inure to the benefit of the respective successors and permitted assigns of the parties.</w:t>
      </w:r>
    </w:p>
    <w:p>
      <w:pPr>
        <w:pStyle w:val="BodyText"/>
        <w:rPr/>
      </w:pPr>
      <w:r>
        <w:rPr/>
        <w:t>(b)</w:t>
        <w:tab/>
        <w:t>All notices under this Agreement shall be in writing, and shall be deemed given when personally delivered, when mailed by prepaid certified or registered U.S. mail, when sent by commercial overnight courier service with tracking capabilities or by facsimile (if confirmed by one of the other methods permitted hereunder within forty-eight (48) hours after such facsimile transmission), to the respective addressee of each party at the address or facsimile number below, or such other address or facsimile number as such party last provided to the other party by written notice.</w:t>
      </w:r>
    </w:p>
    <w:p>
      <w:pPr>
        <w:pStyle w:val="BodyText"/>
        <w:rPr/>
      </w:pPr>
      <w:r>
        <w:rPr/>
        <w:t>(c)</w:t>
        <w:tab/>
        <w:t xml:space="preserve">The failure of either party to enforce its rights under this Agreement at any time for any period shall not be construed as a waiver of such rights. </w:t>
      </w:r>
    </w:p>
    <w:p>
      <w:pPr>
        <w:pStyle w:val="BodyText"/>
        <w:rPr/>
      </w:pPr>
      <w:r>
        <w:rPr/>
        <w:t>(d)</w:t>
        <w:tab/>
        <w:t>Notwithstanding any provision hereof, for all purposes of this Agreement each party shall be and act as an independent contractor and not as partner, joint venturer or agent of the other party and shall not bind nor attempt to bind the other party to any contract.</w:t>
      </w:r>
    </w:p>
    <w:p>
      <w:pPr>
        <w:pStyle w:val="BodyText"/>
        <w:rPr/>
      </w:pPr>
      <w:r>
        <w:rPr/>
        <w:t>(e)</w:t>
        <w:tab/>
        <w:t>No changes or modifications to or waivers of any provision of this Agreement (including this provision) shall be effective unless evidenced in a written amendment that is signed by both parties.</w:t>
      </w:r>
    </w:p>
    <w:p>
      <w:pPr>
        <w:pStyle w:val="BodyText"/>
        <w:rPr/>
      </w:pPr>
      <w:r>
        <w:rPr/>
        <w:t>(f)</w:t>
        <w:tab/>
        <w:t>If any provision of this Agreement is prohibited by law or held to be unenforceable, the remaining provisions hereof shall not be affected, and this Agreement shall continue in full force and effect as if such unenforceable provision had never constituted a part hereof, and the unenforceable provision shall be automatically amended so as best to accomplish the objectives of such unenforceable provision within the limits of applicable law.</w:t>
      </w:r>
    </w:p>
    <w:p>
      <w:pPr>
        <w:pStyle w:val="BodyText"/>
        <w:rPr>
          <w:sz w:val="20"/>
        </w:rPr>
      </w:pPr>
      <w:r>
        <w:rPr/>
        <w:t>(g)</w:t>
        <w:tab/>
        <w:t xml:space="preserve">This Agreement shall be deemed to have been made in, and shall be construed pursuant to the laws of, the State of New York without regard to conflicts of laws provisions thereof.  Any dispute or claim arising out of this Agreement or the interpretation, making, performance, breach or termination hereof, shall be subject to the exclusive jurisdiction and venue of the Texas state courts of New York County, New York (or, if there is exclusive federal jurisdiction, the federal courts for the Southern District of New York), and the parties consent to the personal and exclusive jurisdiction of these courts.  If legal proceedings are brought to enforce the terms of this Agreement, the prevailing party will be entitled to attorneys’ fees in addition to any other relief to which that party may be entitled.  </w:t>
      </w:r>
      <w:r>
        <w:rPr>
          <w:b/>
          <w:caps/>
        </w:rPr>
        <w:t>[arbitration provision under review at STB]</w:t>
      </w:r>
      <w:r>
        <w:rPr/>
        <w:t xml:space="preserve">  </w:t>
      </w:r>
    </w:p>
    <w:p>
      <w:pPr>
        <w:pStyle w:val="BodyText"/>
        <w:rPr/>
      </w:pPr>
      <w:r>
        <w:rPr/>
        <w:t>(h)</w:t>
        <w:tab/>
        <w:t>Headings herein are for convenience of reference only and shall in no way affect interpretation of the Agreement.</w:t>
      </w:r>
    </w:p>
    <w:p>
      <w:pPr>
        <w:pStyle w:val="BodyText"/>
        <w:rPr/>
      </w:pPr>
      <w:r>
        <w:rPr/>
        <w:t>(i)</w:t>
        <w:tab/>
        <w:t>Enron may suspend or delay its performance hereunder upon the occurrence of any event beyond Enron’s reasonable control including, but not limited to, wars, terrorist acts, hostilities, revolutions, riots, civil commotion, national emergency, strikes, lockouts, unavailability of supplies, epidemics, fire, flood, earthquake, force of nature, explosion, embargo, or any other act of God, internet, electric power or communications outage, or any law, proclamation, regulation, ordinance of any court, government or governmental agency.</w:t>
      </w:r>
    </w:p>
    <w:p>
      <w:pPr>
        <w:pStyle w:val="BodyText"/>
        <w:rPr/>
      </w:pPr>
      <w:r>
        <w:rPr/>
        <w:t>(j)</w:t>
        <w:tab/>
        <w:t>This Agreement, including all exhibits hereto, constitutes the entire agreement between the parties with respect to the subject matter of this Agreement and supersedes all proposals, oral or written, all negotiations, conversations, discussions or agreements between or among the parties relating to the subject matter.</w:t>
      </w:r>
    </w:p>
    <w:p>
      <w:pPr>
        <w:pStyle w:val="BodyText"/>
        <w:rPr/>
      </w:pPr>
      <w:r>
        <w:rPr/>
        <w:t>(k)</w:t>
        <w:tab/>
        <w:t xml:space="preserve">This Agreement may be executed in counterparts, each of which will be deemed an original but all of which together shall constitute one and the same Agreement. </w:t>
      </w:r>
    </w:p>
    <w:p>
      <w:pPr>
        <w:sectPr>
          <w:type w:val="continuous"/>
          <w:pgSz w:w="12240" w:h="15840"/>
          <w:pgMar w:left="1440" w:right="1440" w:gutter="0" w:header="720" w:top="1440" w:footer="720" w:bottom="1440"/>
          <w:formProt w:val="false"/>
          <w:textDirection w:val="lrTb"/>
          <w:docGrid w:type="default" w:linePitch="360" w:charSpace="0"/>
        </w:sectPr>
      </w:pPr>
    </w:p>
    <w:p>
      <w:pPr>
        <w:pStyle w:val="Normal"/>
        <w:jc w:val="both"/>
        <w:rPr/>
      </w:pPr>
      <w:r>
        <w:rPr/>
        <w:t>IN WITNESS WHEREOF, the parties hereto have executed this Agreement as of the Effective Date.</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snapToGrid w:val="false"/>
              <w:jc w:val="both"/>
              <w:rPr/>
            </w:pPr>
            <w:r>
              <w:rPr/>
            </w:r>
          </w:p>
        </w:tc>
        <w:tc>
          <w:tcPr>
            <w:tcW w:w="5148" w:type="dxa"/>
            <w:tcBorders/>
          </w:tcPr>
          <w:p>
            <w:pPr>
              <w:pStyle w:val="Normal"/>
              <w:tabs>
                <w:tab w:val="clear" w:pos="720"/>
                <w:tab w:val="left" w:pos="612" w:leader="none"/>
              </w:tabs>
              <w:jc w:val="both"/>
              <w:rPr/>
            </w:pPr>
            <w:r>
              <w:rPr/>
              <w:t>ENRON CORPORATION</w:t>
            </w:r>
          </w:p>
          <w:p>
            <w:pPr>
              <w:pStyle w:val="Normal"/>
              <w:tabs>
                <w:tab w:val="clear" w:pos="720"/>
                <w:tab w:val="left" w:pos="612" w:leader="none"/>
              </w:tabs>
              <w:jc w:val="both"/>
              <w:rPr/>
            </w:pPr>
            <w:r>
              <w:rPr/>
            </w:r>
          </w:p>
          <w:p>
            <w:pPr>
              <w:pStyle w:val="Normal"/>
              <w:tabs>
                <w:tab w:val="clear" w:pos="720"/>
                <w:tab w:val="left" w:pos="612" w:leader="none"/>
              </w:tabs>
              <w:jc w:val="both"/>
              <w:rPr/>
            </w:pPr>
            <w:r>
              <w:rPr/>
            </w:r>
          </w:p>
          <w:p>
            <w:pPr>
              <w:pStyle w:val="Normal"/>
              <w:tabs>
                <w:tab w:val="clear" w:pos="720"/>
                <w:tab w:val="left" w:pos="612" w:leader="none"/>
              </w:tabs>
              <w:jc w:val="both"/>
              <w:rPr/>
            </w:pPr>
            <w:r>
              <w:rPr/>
              <w:t>By:</w:t>
              <w:tab/>
            </w:r>
            <w:r>
              <w:rPr>
                <w:u w:val="single"/>
              </w:rPr>
              <w:tab/>
              <w:tab/>
              <w:tab/>
              <w:tab/>
              <w:tab/>
              <w:tab/>
            </w:r>
          </w:p>
          <w:p>
            <w:pPr>
              <w:pStyle w:val="Level1"/>
              <w:tabs>
                <w:tab w:val="clear" w:pos="360"/>
                <w:tab w:val="left" w:pos="612" w:leader="none"/>
              </w:tabs>
              <w:spacing w:before="0" w:after="0"/>
              <w:rPr/>
            </w:pPr>
            <w:r>
              <w:rPr/>
              <w:tab/>
              <w:t xml:space="preserve">Name:  </w:t>
            </w:r>
          </w:p>
          <w:p>
            <w:pPr>
              <w:pStyle w:val="Normal"/>
              <w:tabs>
                <w:tab w:val="clear" w:pos="720"/>
                <w:tab w:val="left" w:pos="612" w:leader="none"/>
              </w:tabs>
              <w:jc w:val="both"/>
              <w:rPr/>
            </w:pPr>
            <w:r>
              <w:rPr/>
              <w:tab/>
              <w:t xml:space="preserve">Title: </w:t>
            </w:r>
          </w:p>
          <w:p>
            <w:pPr>
              <w:pStyle w:val="Normal"/>
              <w:tabs>
                <w:tab w:val="clear" w:pos="720"/>
                <w:tab w:val="left" w:pos="612" w:leader="none"/>
              </w:tabs>
              <w:jc w:val="both"/>
              <w:rPr/>
            </w:pPr>
            <w:r>
              <w:rPr/>
            </w:r>
          </w:p>
          <w:p>
            <w:pPr>
              <w:pStyle w:val="Normal"/>
              <w:tabs>
                <w:tab w:val="clear" w:pos="720"/>
                <w:tab w:val="left" w:pos="612" w:leader="none"/>
              </w:tabs>
              <w:jc w:val="both"/>
              <w:rPr/>
            </w:pPr>
            <w:r>
              <w:rPr/>
              <w:t xml:space="preserve">Date:  </w:t>
            </w:r>
          </w:p>
          <w:p>
            <w:pPr>
              <w:pStyle w:val="Normal"/>
              <w:tabs>
                <w:tab w:val="clear" w:pos="720"/>
                <w:tab w:val="left" w:pos="612" w:leader="none"/>
              </w:tabs>
              <w:jc w:val="both"/>
              <w:rPr/>
            </w:pPr>
            <w:r>
              <w:rPr/>
            </w:r>
          </w:p>
          <w:p>
            <w:pPr>
              <w:pStyle w:val="Normal"/>
              <w:tabs>
                <w:tab w:val="clear" w:pos="720"/>
                <w:tab w:val="left" w:pos="612" w:leader="none"/>
              </w:tabs>
              <w:jc w:val="both"/>
              <w:rPr/>
            </w:pPr>
            <w:r>
              <w:rPr/>
              <w:t xml:space="preserve">Address for notices: </w:t>
            </w:r>
          </w:p>
          <w:p>
            <w:pPr>
              <w:pStyle w:val="Normal"/>
              <w:tabs>
                <w:tab w:val="clear" w:pos="720"/>
                <w:tab w:val="left" w:pos="612" w:leader="none"/>
              </w:tabs>
              <w:jc w:val="both"/>
              <w:rPr/>
            </w:pPr>
            <w:r>
              <w:rPr/>
              <w:t>Enron Corporation</w:t>
            </w:r>
          </w:p>
          <w:p>
            <w:pPr>
              <w:pStyle w:val="Normal"/>
              <w:tabs>
                <w:tab w:val="clear" w:pos="720"/>
                <w:tab w:val="left" w:pos="612" w:leader="none"/>
              </w:tabs>
              <w:jc w:val="both"/>
              <w:rPr/>
            </w:pPr>
            <w:r>
              <w:rPr/>
              <w:tab/>
            </w:r>
          </w:p>
          <w:p>
            <w:pPr>
              <w:pStyle w:val="Normal"/>
              <w:tabs>
                <w:tab w:val="clear" w:pos="720"/>
                <w:tab w:val="left" w:pos="612" w:leader="none"/>
              </w:tabs>
              <w:jc w:val="both"/>
              <w:rPr/>
            </w:pPr>
            <w:r>
              <w:rPr/>
            </w:r>
          </w:p>
          <w:p>
            <w:pPr>
              <w:pStyle w:val="Normal"/>
              <w:tabs>
                <w:tab w:val="clear" w:pos="720"/>
                <w:tab w:val="left" w:pos="612" w:leader="none"/>
              </w:tabs>
              <w:jc w:val="both"/>
              <w:rPr/>
            </w:pPr>
            <w:r>
              <w:rPr/>
              <w:tab/>
              <w:tab/>
              <w:tab/>
            </w:r>
          </w:p>
          <w:p>
            <w:pPr>
              <w:pStyle w:val="Normal"/>
              <w:tabs>
                <w:tab w:val="clear" w:pos="720"/>
                <w:tab w:val="left" w:pos="612" w:leader="none"/>
              </w:tabs>
              <w:jc w:val="both"/>
              <w:rPr/>
            </w:pPr>
            <w:r>
              <w:rPr/>
              <w:t>Fax:</w:t>
              <w:tab/>
              <w:tab/>
            </w:r>
          </w:p>
          <w:p>
            <w:pPr>
              <w:pStyle w:val="Normal"/>
              <w:tabs>
                <w:tab w:val="clear" w:pos="720"/>
                <w:tab w:val="left" w:pos="612" w:leader="none"/>
              </w:tabs>
              <w:jc w:val="both"/>
              <w:rPr/>
            </w:pPr>
            <w:r>
              <w:rPr/>
              <w:t>Attn:</w:t>
              <w:tab/>
            </w:r>
          </w:p>
        </w:tc>
      </w:tr>
      <w:tr>
        <w:trPr/>
        <w:tc>
          <w:tcPr>
            <w:tcW w:w="4428" w:type="dxa"/>
            <w:tcBorders/>
          </w:tcPr>
          <w:p>
            <w:pPr>
              <w:pStyle w:val="Normal"/>
              <w:snapToGrid w:val="false"/>
              <w:jc w:val="both"/>
              <w:rPr/>
            </w:pPr>
            <w:r>
              <w:rPr/>
            </w:r>
          </w:p>
        </w:tc>
        <w:tc>
          <w:tcPr>
            <w:tcW w:w="5148" w:type="dxa"/>
            <w:tcBorders/>
          </w:tcPr>
          <w:p>
            <w:pPr>
              <w:pStyle w:val="Normal"/>
              <w:tabs>
                <w:tab w:val="clear" w:pos="720"/>
                <w:tab w:val="left" w:pos="612" w:leader="none"/>
              </w:tabs>
              <w:jc w:val="both"/>
              <w:rPr/>
            </w:pPr>
            <w:r>
              <w:rPr/>
              <w:t>AEP ENERGY SERVICES, INC.</w:t>
            </w:r>
          </w:p>
          <w:p>
            <w:pPr>
              <w:pStyle w:val="Normal"/>
              <w:tabs>
                <w:tab w:val="clear" w:pos="720"/>
                <w:tab w:val="left" w:pos="612" w:leader="none"/>
              </w:tabs>
              <w:jc w:val="both"/>
              <w:rPr/>
            </w:pPr>
            <w:r>
              <w:rPr/>
            </w:r>
          </w:p>
          <w:p>
            <w:pPr>
              <w:pStyle w:val="Normal"/>
              <w:tabs>
                <w:tab w:val="clear" w:pos="720"/>
                <w:tab w:val="left" w:pos="612" w:leader="none"/>
              </w:tabs>
              <w:jc w:val="both"/>
              <w:rPr/>
            </w:pPr>
            <w:r>
              <w:rPr/>
            </w:r>
          </w:p>
          <w:p>
            <w:pPr>
              <w:pStyle w:val="Normal"/>
              <w:tabs>
                <w:tab w:val="clear" w:pos="720"/>
                <w:tab w:val="left" w:pos="612" w:leader="none"/>
              </w:tabs>
              <w:jc w:val="both"/>
              <w:rPr/>
            </w:pPr>
            <w:r>
              <w:rPr/>
              <w:t>By:</w:t>
              <w:tab/>
            </w:r>
            <w:r>
              <w:rPr>
                <w:u w:val="single"/>
              </w:rPr>
              <w:tab/>
              <w:tab/>
              <w:tab/>
              <w:tab/>
              <w:tab/>
              <w:tab/>
            </w:r>
          </w:p>
          <w:p>
            <w:pPr>
              <w:pStyle w:val="Normal"/>
              <w:tabs>
                <w:tab w:val="clear" w:pos="720"/>
                <w:tab w:val="left" w:pos="612" w:leader="none"/>
              </w:tabs>
              <w:jc w:val="both"/>
              <w:rPr/>
            </w:pPr>
            <w:r>
              <w:rPr/>
              <w:tab/>
              <w:t xml:space="preserve">Name:  </w:t>
            </w:r>
          </w:p>
          <w:p>
            <w:pPr>
              <w:pStyle w:val="Normal"/>
              <w:tabs>
                <w:tab w:val="clear" w:pos="720"/>
                <w:tab w:val="left" w:pos="612" w:leader="none"/>
              </w:tabs>
              <w:jc w:val="both"/>
              <w:rPr/>
            </w:pPr>
            <w:r>
              <w:rPr/>
              <w:tab/>
              <w:t xml:space="preserve">Title: </w:t>
            </w:r>
          </w:p>
          <w:p>
            <w:pPr>
              <w:pStyle w:val="Normal"/>
              <w:tabs>
                <w:tab w:val="clear" w:pos="720"/>
                <w:tab w:val="left" w:pos="612" w:leader="none"/>
              </w:tabs>
              <w:jc w:val="both"/>
              <w:rPr/>
            </w:pPr>
            <w:r>
              <w:rPr/>
            </w:r>
          </w:p>
          <w:p>
            <w:pPr>
              <w:pStyle w:val="Normal"/>
              <w:tabs>
                <w:tab w:val="clear" w:pos="720"/>
                <w:tab w:val="left" w:pos="612" w:leader="none"/>
              </w:tabs>
              <w:jc w:val="both"/>
              <w:rPr/>
            </w:pPr>
            <w:r>
              <w:rPr/>
              <w:t xml:space="preserve">Date:  </w:t>
            </w:r>
          </w:p>
          <w:p>
            <w:pPr>
              <w:pStyle w:val="Normal"/>
              <w:tabs>
                <w:tab w:val="clear" w:pos="720"/>
                <w:tab w:val="left" w:pos="612" w:leader="none"/>
              </w:tabs>
              <w:jc w:val="both"/>
              <w:rPr/>
            </w:pPr>
            <w:r>
              <w:rPr/>
            </w:r>
          </w:p>
          <w:p>
            <w:pPr>
              <w:pStyle w:val="Normal"/>
              <w:tabs>
                <w:tab w:val="clear" w:pos="720"/>
                <w:tab w:val="left" w:pos="612" w:leader="none"/>
              </w:tabs>
              <w:jc w:val="both"/>
              <w:rPr/>
            </w:pPr>
            <w:r>
              <w:rPr/>
              <w:t xml:space="preserve">Address for notices: </w:t>
            </w:r>
          </w:p>
          <w:p>
            <w:pPr>
              <w:pStyle w:val="Normal"/>
              <w:tabs>
                <w:tab w:val="clear" w:pos="720"/>
                <w:tab w:val="left" w:pos="612" w:leader="none"/>
              </w:tabs>
              <w:jc w:val="both"/>
              <w:rPr/>
            </w:pPr>
            <w:r>
              <w:rPr/>
              <w:t>AEP Energy Services, Inc.</w:t>
            </w:r>
          </w:p>
          <w:p>
            <w:pPr>
              <w:pStyle w:val="Normal"/>
              <w:tabs>
                <w:tab w:val="clear" w:pos="720"/>
                <w:tab w:val="left" w:pos="612" w:leader="none"/>
              </w:tabs>
              <w:jc w:val="both"/>
              <w:rPr/>
            </w:pPr>
            <w:r>
              <w:rPr/>
            </w:r>
          </w:p>
          <w:p>
            <w:pPr>
              <w:pStyle w:val="Normal"/>
              <w:tabs>
                <w:tab w:val="clear" w:pos="720"/>
                <w:tab w:val="left" w:pos="612" w:leader="none"/>
              </w:tabs>
              <w:jc w:val="both"/>
              <w:rPr/>
            </w:pPr>
            <w:r>
              <w:rPr/>
            </w:r>
          </w:p>
          <w:p>
            <w:pPr>
              <w:pStyle w:val="Normal"/>
              <w:tabs>
                <w:tab w:val="clear" w:pos="720"/>
                <w:tab w:val="left" w:pos="612" w:leader="none"/>
              </w:tabs>
              <w:jc w:val="both"/>
              <w:rPr/>
            </w:pPr>
            <w:r>
              <w:rPr/>
              <w:tab/>
              <w:tab/>
              <w:tab/>
              <w:tab/>
            </w:r>
          </w:p>
          <w:p>
            <w:pPr>
              <w:pStyle w:val="Normal"/>
              <w:tabs>
                <w:tab w:val="clear" w:pos="720"/>
                <w:tab w:val="left" w:pos="612" w:leader="none"/>
              </w:tabs>
              <w:jc w:val="both"/>
              <w:rPr/>
            </w:pPr>
            <w:r>
              <w:rPr/>
              <w:t>Fax:</w:t>
              <w:tab/>
              <w:tab/>
            </w:r>
          </w:p>
          <w:p>
            <w:pPr>
              <w:pStyle w:val="Normal"/>
              <w:tabs>
                <w:tab w:val="clear" w:pos="720"/>
                <w:tab w:val="left" w:pos="612" w:leader="none"/>
              </w:tabs>
              <w:jc w:val="both"/>
              <w:rPr/>
            </w:pPr>
            <w:r>
              <w:rPr/>
              <w:t>Attn:</w:t>
              <w:tab/>
            </w:r>
          </w:p>
        </w:tc>
      </w:tr>
    </w:tbl>
    <w:p>
      <w:pPr>
        <w:pStyle w:val="Normal"/>
        <w:jc w:val="both"/>
        <w:rPr/>
      </w:pPr>
      <w:r>
        <w:rPr/>
        <w:tab/>
      </w:r>
      <w:r>
        <w:br w:type="page"/>
      </w:r>
    </w:p>
    <w:p>
      <w:pPr>
        <w:pStyle w:val="Level1"/>
        <w:tabs>
          <w:tab w:val="clear" w:pos="360"/>
        </w:tabs>
        <w:spacing w:before="0" w:after="0"/>
        <w:jc w:val="center"/>
        <w:rPr/>
      </w:pPr>
      <w:r>
        <w:rPr/>
        <w:t>EXHIBIT A</w:t>
      </w:r>
    </w:p>
    <w:p>
      <w:pPr>
        <w:pStyle w:val="Level1"/>
        <w:tabs>
          <w:tab w:val="clear" w:pos="360"/>
        </w:tabs>
        <w:spacing w:before="0" w:after="0"/>
        <w:jc w:val="center"/>
        <w:rPr/>
      </w:pPr>
      <w:r>
        <w:rPr/>
        <w:t>SOFTWARE</w:t>
      </w:r>
    </w:p>
    <w:p>
      <w:pPr>
        <w:pStyle w:val="Level1"/>
        <w:tabs>
          <w:tab w:val="clear" w:pos="360"/>
        </w:tabs>
        <w:spacing w:before="0" w:after="0"/>
        <w:jc w:val="center"/>
        <w:rPr/>
      </w:pPr>
      <w:r>
        <w:rPr/>
      </w:r>
    </w:p>
    <w:p>
      <w:pPr>
        <w:pStyle w:val="Level1"/>
        <w:rPr/>
      </w:pPr>
      <w:r>
        <w:rPr/>
        <w:t>Enron’s proprietary software application known as the Unify Pipeline Operations module or “POPS” (in C and C++ format and all related SQL Plus queries, stored procedures, database triggers, and scripts), which includes the following components:</w:t>
      </w:r>
    </w:p>
    <w:p>
      <w:pPr>
        <w:pStyle w:val="BodyText"/>
        <w:rPr/>
      </w:pPr>
      <w:r>
        <w:rPr/>
        <w:t>(a)</w:t>
        <w:tab/>
        <w:t>executable files and/or daemons;</w:t>
      </w:r>
    </w:p>
    <w:p>
      <w:pPr>
        <w:pStyle w:val="BodyText"/>
        <w:rPr/>
      </w:pPr>
      <w:r>
        <w:rPr/>
        <w:t>(b)</w:t>
        <w:tab/>
        <w:t>Oracle scripts for building database objects; and</w:t>
      </w:r>
    </w:p>
    <w:p>
      <w:pPr>
        <w:pStyle w:val="Normal"/>
        <w:jc w:val="center"/>
        <w:rPr/>
      </w:pPr>
      <w:r>
        <w:rPr/>
        <w:t>(c)</w:t>
        <w:tab/>
        <w:t>class libraries and resource files to compile and build the application objects to support a production deployment.</w:t>
      </w:r>
      <w:r>
        <w:br w:type="page"/>
      </w:r>
    </w:p>
    <w:p>
      <w:pPr>
        <w:pStyle w:val="Normal"/>
        <w:jc w:val="center"/>
        <w:rPr/>
      </w:pPr>
      <w:r>
        <w:rPr/>
        <w:t>EXHIBIT B</w:t>
      </w:r>
    </w:p>
    <w:p>
      <w:pPr>
        <w:pStyle w:val="Normal"/>
        <w:jc w:val="center"/>
        <w:rPr/>
      </w:pPr>
      <w:r>
        <w:rPr/>
        <w:t>DOCUMENTATION</w:t>
      </w:r>
    </w:p>
    <w:p>
      <w:pPr>
        <w:pStyle w:val="Normal"/>
        <w:jc w:val="center"/>
        <w:rPr/>
      </w:pPr>
      <w:r>
        <w:rPr/>
      </w:r>
    </w:p>
    <w:p>
      <w:pPr>
        <w:pStyle w:val="Level1"/>
        <w:rPr/>
      </w:pPr>
      <w:r>
        <w:rPr/>
        <w:t>Enron shall provide AEP with one (1) copy of each of the following material:</w:t>
      </w:r>
    </w:p>
    <w:p>
      <w:pPr>
        <w:pStyle w:val="BodyText"/>
        <w:rPr/>
      </w:pPr>
      <w:r>
        <w:rPr/>
        <w:t>(a)</w:t>
        <w:tab/>
        <w:t>Documentation for chronological or scheduled (CRON) jobs used to launch UNIX maintenance and interface scripts (scheduled jobs or programs that are run on a weekly, daily, or hourly basis to perform certain tasks by the Software);</w:t>
      </w:r>
    </w:p>
    <w:p>
      <w:pPr>
        <w:pStyle w:val="BodyText"/>
        <w:rPr/>
      </w:pPr>
      <w:r>
        <w:rPr/>
        <w:t>(b)</w:t>
        <w:tab/>
        <w:t>Houston Pipe Line Company historical production data including the “Global Reference Data” used by Houston Pipe Line Company, as all such data exists as of the Effective Date;</w:t>
      </w:r>
    </w:p>
    <w:p>
      <w:pPr>
        <w:pStyle w:val="BodyText"/>
        <w:rPr/>
      </w:pPr>
      <w:r>
        <w:rPr/>
        <w:t>(c)</w:t>
        <w:tab/>
        <w:t>Entity relationship diagram (ERD) (consisting of an entity relationship diagram or data model that shows how the different data fields within the Software database relate to on another);</w:t>
      </w:r>
    </w:p>
    <w:p>
      <w:pPr>
        <w:pStyle w:val="BodyText"/>
        <w:rPr/>
      </w:pPr>
      <w:r>
        <w:rPr/>
        <w:t>(d)</w:t>
        <w:tab/>
        <w:t>Data dictionary that defines data elements used by the Software;</w:t>
      </w:r>
    </w:p>
    <w:p>
      <w:pPr>
        <w:pStyle w:val="BodyText"/>
        <w:rPr/>
      </w:pPr>
      <w:r>
        <w:rPr/>
        <w:t>(e)</w:t>
        <w:tab/>
        <w:t>Object model (defining collections of code or components that execute certain processes that can be called and reused by different areas of the Software, and how the different objects relate to one another);</w:t>
      </w:r>
    </w:p>
    <w:p>
      <w:pPr>
        <w:pStyle w:val="BodyText"/>
        <w:rPr/>
      </w:pPr>
      <w:r>
        <w:rPr/>
        <w:t>(f)</w:t>
        <w:tab/>
        <w:t>Functional specifications (defining how the Software should perform and what functions are delivered by the processes contained therein in layman’s terms);</w:t>
      </w:r>
    </w:p>
    <w:p>
      <w:pPr>
        <w:pStyle w:val="BodyText"/>
        <w:rPr/>
      </w:pPr>
      <w:r>
        <w:rPr/>
        <w:t>(g)</w:t>
        <w:tab/>
        <w:t>Error handling manual;</w:t>
      </w:r>
    </w:p>
    <w:p>
      <w:pPr>
        <w:pStyle w:val="BodyText"/>
        <w:rPr/>
      </w:pPr>
      <w:r>
        <w:rPr/>
        <w:t>(h)</w:t>
        <w:tab/>
        <w:t>Known problems/issues list, as of the Effective Date;</w:t>
      </w:r>
    </w:p>
    <w:p>
      <w:pPr>
        <w:pStyle w:val="BodyText"/>
        <w:rPr/>
      </w:pPr>
      <w:r>
        <w:rPr/>
        <w:t>(i)</w:t>
        <w:tab/>
        <w:t>Production support (system administration) manual;</w:t>
      </w:r>
    </w:p>
    <w:p>
      <w:pPr>
        <w:pStyle w:val="BodyText"/>
        <w:rPr/>
      </w:pPr>
      <w:r>
        <w:rPr/>
        <w:t>(j)</w:t>
        <w:tab/>
        <w:t>User manuals;</w:t>
      </w:r>
    </w:p>
    <w:p>
      <w:pPr>
        <w:pStyle w:val="BodyText"/>
        <w:rPr/>
      </w:pPr>
      <w:r>
        <w:rPr/>
        <w:t>(k)</w:t>
        <w:tab/>
        <w:t>Training manuals;</w:t>
      </w:r>
    </w:p>
    <w:p>
      <w:pPr>
        <w:pStyle w:val="BodyText"/>
        <w:rPr/>
      </w:pPr>
      <w:r>
        <w:rPr/>
        <w:t>(l)</w:t>
        <w:tab/>
        <w:t>Application install instructions (to define which components of the Software need to reside on which hardware, such as dynamic link libraries, EXE files, registry entries, environment variables, and version documentation); and</w:t>
      </w:r>
    </w:p>
    <w:p>
      <w:pPr>
        <w:pStyle w:val="BodyText"/>
        <w:rPr/>
      </w:pPr>
      <w:r>
        <w:rPr/>
        <w:t>(m)</w:t>
        <w:tab/>
        <w:t>Network and server architecture documentation.</w:t>
      </w:r>
      <w:r>
        <w:br w:type="page"/>
      </w:r>
    </w:p>
    <w:p>
      <w:pPr>
        <w:pStyle w:val="BodyText"/>
        <w:spacing w:before="0" w:after="0"/>
        <w:jc w:val="center"/>
        <w:rPr/>
      </w:pPr>
      <w:r>
        <w:rPr/>
        <w:t>EXHIBIT C</w:t>
      </w:r>
    </w:p>
    <w:p>
      <w:pPr>
        <w:pStyle w:val="Level1"/>
        <w:tabs>
          <w:tab w:val="clear" w:pos="360"/>
        </w:tabs>
        <w:spacing w:before="0" w:after="0"/>
        <w:jc w:val="center"/>
        <w:rPr/>
      </w:pPr>
      <w:r>
        <w:rPr/>
        <w:t>KNOWLEDGE TRANSFER SERVICES</w:t>
      </w:r>
    </w:p>
    <w:p>
      <w:pPr>
        <w:pStyle w:val="Level1"/>
        <w:tabs>
          <w:tab w:val="clear" w:pos="360"/>
        </w:tabs>
        <w:spacing w:before="0" w:after="0"/>
        <w:jc w:val="center"/>
        <w:rPr/>
      </w:pPr>
      <w:r>
        <w:rPr/>
      </w:r>
    </w:p>
    <w:p>
      <w:pPr>
        <w:pStyle w:val="Level1"/>
        <w:rPr/>
      </w:pPr>
      <w:r>
        <w:rPr/>
        <w:t>1.</w:t>
        <w:tab/>
        <w:t>Enron shall transfer to the AEP employees described in Section 7(a) such knowledge of how the POPS application is set up within the Enron environment so as to facilitate such AEP employees’ setting up and using the POPS application within the AEP environment.</w:t>
      </w:r>
    </w:p>
    <w:p>
      <w:pPr>
        <w:pStyle w:val="Level1"/>
        <w:rPr/>
      </w:pPr>
      <w:r>
        <w:rPr/>
        <w:t>2.</w:t>
        <w:tab/>
        <w:t>AEP and Enron shall schedule at mutually agreeable times during the first ninety (90) days following the Acceptance Date, up to forty (40) man-hours of instruction by knowledgeable Enron employees to facilitate the Knowledge Transfer Services relating to the POPS application.  Upon AEP’s request, Enron shall provide to AEP and/or its Affiliates and/or their consultants up to 320 additional man-hours of Knowledge Transfer Services at a rate of $150 per hour.  Upon AEP’s request, Enron shall promptly provide an estimate of the costs and expenses of any Knowledge Transfer Services.</w:t>
      </w:r>
    </w:p>
    <w:p>
      <w:pPr>
        <w:pStyle w:val="Level1"/>
        <w:rPr>
          <w:b/>
          <w:bCs/>
        </w:rPr>
      </w:pPr>
      <w:r>
        <w:rPr/>
        <w:t>3.</w:t>
        <w:tab/>
        <w:t>AEP acknowledges that Enron shall have the right, in the exercise of its reasonable discretion, to reject any designated employee who does not satisfy the requirements of Section 7(a).</w:t>
      </w:r>
      <w:r>
        <w:br w:type="page"/>
      </w:r>
    </w:p>
    <w:p>
      <w:pPr>
        <w:pStyle w:val="Level1"/>
        <w:tabs>
          <w:tab w:val="clear" w:pos="360"/>
        </w:tabs>
        <w:jc w:val="center"/>
        <w:rPr/>
      </w:pPr>
      <w:r>
        <w:rPr/>
        <w:t>EXHIBIT D</w:t>
      </w:r>
    </w:p>
    <w:p>
      <w:pPr>
        <w:pStyle w:val="Level1"/>
        <w:tabs>
          <w:tab w:val="clear" w:pos="360"/>
        </w:tabs>
        <w:jc w:val="center"/>
        <w:rPr/>
      </w:pPr>
      <w:r>
        <w:rPr/>
        <w:t>FEES</w:t>
      </w:r>
    </w:p>
    <w:p>
      <w:pPr>
        <w:pStyle w:val="Level1"/>
        <w:rPr/>
      </w:pPr>
      <w:r>
        <w:rPr/>
        <w:t>1.</w:t>
        <w:tab/>
        <w:t>On the Effective Date, AEP shall wire transfer to Enron $583,000.00 at such account as Enron shall designate in writing at such time (“Bank Account”).</w:t>
      </w:r>
    </w:p>
    <w:p>
      <w:pPr>
        <w:pStyle w:val="Level1"/>
        <w:rPr/>
      </w:pPr>
      <w:r>
        <w:rPr/>
        <w:t>2.</w:t>
        <w:tab/>
        <w:t>On the Delivery Date, AEP shall wire transfer to the Bank Account an additional amount equal to $583,000.00.</w:t>
      </w:r>
    </w:p>
    <w:p>
      <w:pPr>
        <w:pStyle w:val="Level1"/>
        <w:rPr/>
      </w:pPr>
      <w:r>
        <w:rPr/>
        <w:t xml:space="preserve">3.  On the Acceptance Date, AEP shall wire transfer to the Bank Account an additional amount equal to $584,000.00  </w:t>
      </w:r>
      <w:r>
        <w:rPr>
          <w:b/>
          <w:bCs/>
        </w:rPr>
        <w:t>[If, however, AEP fails to notify Enron of its acceptance or rejection of the Software upon the termination of the Testing Period, AEP shall be deemed to accept the Software shall be responsible for the total fee.]</w:t>
      </w:r>
    </w:p>
    <w:p>
      <w:pPr>
        <w:pStyle w:val="Normal"/>
        <w:jc w:val="center"/>
        <w:rPr>
          <w:b/>
          <w:bCs/>
        </w:rPr>
      </w:pPr>
      <w:r>
        <w:rPr>
          <w:b/>
          <w:bCs/>
        </w:rPr>
      </w:r>
    </w:p>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ocID"/>
      </w:rPr>
      <w:t>001800-0001-08173-NY02.2131574.4</w:t>
    </w:r>
    <w:r>
      <w:rPr/>
      <w:tab/>
      <w:tab/>
    </w:r>
    <w:r>
      <w:rPr>
        <w:rStyle w:val="DocID"/>
      </w:rPr>
      <w:fldChar w:fldCharType="begin"/>
    </w:r>
    <w:r>
      <w:rPr>
        <w:rStyle w:val="DocID"/>
      </w:rPr>
      <w:instrText xml:space="preserve"> DATE \@"MM\/dd\/yy\ H:mm\ AM/PM" </w:instrText>
    </w:r>
    <w:r>
      <w:rPr>
        <w:rStyle w:val="DocID"/>
      </w:rPr>
      <w:fldChar w:fldCharType="separate"/>
    </w:r>
    <w:r>
      <w:rPr>
        <w:rStyle w:val="DocID"/>
      </w:rPr>
      <w:t>09/28/25 8:08 AM</w:t>
    </w:r>
    <w:r>
      <w:rPr>
        <w:rStyle w:val="DocID"/>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ocID"/>
      </w:rPr>
      <w:fldChar w:fldCharType="begin"/>
    </w:r>
    <w:r>
      <w:rPr>
        <w:rStyle w:val="DocID"/>
      </w:rPr>
      <w:instrText xml:space="preserve"> DOCPROPERTY "DOCID"</w:instrText>
    </w:r>
    <w:r>
      <w:rPr>
        <w:rStyle w:val="DocID"/>
      </w:rPr>
      <w:fldChar w:fldCharType="separate"/>
    </w:r>
    <w:r>
      <w:rPr>
        <w:rStyle w:val="DocID"/>
      </w:rPr>
      <w:t>001800-0001-08173-NY02.2131574.4</w:t>
    </w:r>
    <w:r>
      <w:rPr>
        <w:rStyle w:val="DocID"/>
      </w:rPr>
      <w:fldChar w:fldCharType="end"/>
    </w:r>
    <w:r>
      <w:rPr/>
      <w:tab/>
      <w:tab/>
    </w:r>
    <w:r>
      <w:rPr>
        <w:rStyle w:val="DocID"/>
      </w:rPr>
      <w:fldChar w:fldCharType="begin"/>
    </w:r>
    <w:r>
      <w:rPr>
        <w:rStyle w:val="DocID"/>
      </w:rPr>
      <w:instrText xml:space="preserve"> DATE \@"MM\/dd\/yy\ H:mm\ AM/PM" </w:instrText>
    </w:r>
    <w:r>
      <w:rPr>
        <w:rStyle w:val="DocID"/>
      </w:rPr>
      <w:fldChar w:fldCharType="separate"/>
    </w:r>
    <w:r>
      <w:rPr>
        <w:rStyle w:val="DocID"/>
      </w:rPr>
      <w:t>09/28/25 8:08 AM</w:t>
    </w:r>
    <w:r>
      <w:rPr>
        <w:rStyle w:val="DocID"/>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720" w:hanging="360"/>
      </w:pPr>
    </w:lvl>
  </w:abstractNum>
  <w:abstractNum w:abstractNumId="2">
    <w:lvl w:ilvl="0">
      <w:start w:val="1"/>
      <w:numFmt w:val="lowerRoman"/>
      <w:lvlText w:val="(%1)"/>
      <w:lvlJc w:val="start"/>
      <w:pPr>
        <w:tabs>
          <w:tab w:val="num" w:pos="360"/>
        </w:tabs>
        <w:ind w:start="1260" w:hanging="360"/>
      </w:pPr>
    </w:lvl>
  </w:abstractNum>
  <w:abstractNum w:abstractNumId="3">
    <w:lvl w:ilvl="0">
      <w:start w:val="1"/>
      <w:numFmt w:val="lowerLetter"/>
      <w:lvlText w:val="(%1)"/>
      <w:lvlJc w:val="start"/>
      <w:pPr>
        <w:tabs>
          <w:tab w:val="num" w:pos="720"/>
        </w:tabs>
        <w:ind w:start="360" w:hanging="0"/>
      </w:pPr>
      <w:rPr/>
    </w:lvl>
  </w:abstractNum>
  <w:abstractNum w:abstractNumId="4">
    <w:lvl w:ilvl="0">
      <w:start w:val="4"/>
      <w:numFmt w:val="lowerLetter"/>
      <w:lvlText w:val="(%1)"/>
      <w:lvlJc w:val="start"/>
      <w:pPr>
        <w:tabs>
          <w:tab w:val="num" w:pos="540"/>
        </w:tabs>
        <w:ind w:start="900" w:hanging="54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DefaultParagraphFont">
    <w:name w:val="Default Paragraph Font"/>
    <w:qFormat/>
    <w:rPr/>
  </w:style>
  <w:style w:type="character" w:styleId="DocID">
    <w:name w:val="DocID"/>
    <w:basedOn w:val="DefaultParagraphFont"/>
    <w:qFormat/>
    <w:rPr>
      <w:rFonts w:ascii="Times New Roman" w:hAnsi="Times New Roman" w:cs="Times New Roman"/>
      <w:b w:val="false"/>
      <w:i w:val="false"/>
      <w:caps w:val="false"/>
      <w:smallCaps w:val="false"/>
      <w:strike w:val="false"/>
      <w:dstrike w:val="false"/>
      <w:vanish w:val="false"/>
      <w:sz w:val="14"/>
      <w:u w:val="none"/>
    </w:rPr>
  </w:style>
  <w:style w:type="paragraph" w:styleId="Heading">
    <w:name w:val="Heading"/>
    <w:basedOn w:val="Normal"/>
    <w:next w:val="BodyText"/>
    <w:qFormat/>
    <w:pPr>
      <w:jc w:val="center"/>
    </w:pPr>
    <w:rPr>
      <w:b/>
    </w:rPr>
  </w:style>
  <w:style w:type="paragraph" w:styleId="BodyText">
    <w:name w:val="Body Text"/>
    <w:basedOn w:val="Normal"/>
    <w:pPr>
      <w:tabs>
        <w:tab w:val="clear" w:pos="720"/>
        <w:tab w:val="left" w:pos="907" w:leader="none"/>
        <w:tab w:val="left" w:pos="1440" w:leader="none"/>
      </w:tabs>
      <w:spacing w:before="0" w:after="120"/>
      <w:ind w:firstLine="36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
    <w:name w:val="Block"/>
    <w:basedOn w:val="Normal"/>
    <w:qFormat/>
    <w:pPr>
      <w:spacing w:before="0" w:after="240"/>
    </w:pPr>
    <w:rPr/>
  </w:style>
  <w:style w:type="paragraph" w:styleId="Level1">
    <w:name w:val="Level 1"/>
    <w:basedOn w:val="Normal"/>
    <w:qFormat/>
    <w:pPr>
      <w:tabs>
        <w:tab w:val="clear" w:pos="720"/>
        <w:tab w:val="left" w:pos="360" w:leader="none"/>
      </w:tabs>
      <w:spacing w:before="0" w:after="240"/>
      <w:jc w:val="both"/>
    </w:pPr>
    <w:rPr/>
  </w:style>
  <w:style w:type="paragraph" w:styleId="BodyTextNumbered">
    <w:name w:val="Body Text Numbered"/>
    <w:basedOn w:val="BodyText"/>
    <w:qFormat/>
    <w:pPr>
      <w:tabs>
        <w:tab w:val="clear" w:pos="907"/>
        <w:tab w:val="clear" w:pos="1440"/>
      </w:tabs>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2001-10-23T19:05:00Z</dcterms:created>
  <dc:creator>ST&amp;B</dc:creator>
  <dc:description/>
  <dc:language>en-CA</dc:language>
  <cp:lastModifiedBy>American Electric Power®</cp:lastModifiedBy>
  <dcterms:modified xsi:type="dcterms:W3CDTF">2001-10-23T19:06:00Z</dcterms:modified>
  <cp:revision>3</cp:revision>
  <dc:subject/>
  <dc:title>SOFTWARE LICENSE AND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001800-0001-08173-NY02.2131574.4</vt:lpwstr>
  </property>
</Properties>
</file>