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1"/>
        <w:rPr/>
      </w:pPr>
      <w:r>
        <w:rPr/>
      </w:r>
    </w:p>
    <w:p>
      <w:pPr>
        <w:pStyle w:val="Cover1"/>
        <w:jc w:val="center"/>
        <w:rPr/>
      </w:pPr>
      <w:r>
        <w:rPr/>
      </w:r>
    </w:p>
    <w:p>
      <w:pPr>
        <w:pStyle w:val="Cover1"/>
        <w:jc w:val="center"/>
        <w:rPr/>
      </w:pPr>
      <w:r>
        <w:rPr/>
      </w:r>
    </w:p>
    <w:p>
      <w:pPr>
        <w:pStyle w:val="Cover1"/>
        <w:jc w:val="center"/>
        <w:rPr/>
      </w:pPr>
      <w:r>
        <w:rPr/>
      </w:r>
    </w:p>
    <w:p>
      <w:pPr>
        <w:pStyle w:val="Cover1"/>
        <w:jc w:val="center"/>
        <w:rPr/>
      </w:pPr>
      <w:r>
        <w:rPr/>
        <w:t>Texas Market</w:t>
      </w:r>
    </w:p>
    <w:p>
      <w:pPr>
        <w:pStyle w:val="Cover1"/>
        <w:jc w:val="center"/>
        <w:rPr/>
      </w:pPr>
      <w:r>
        <w:rPr/>
        <w:t>820 Issues</w:t>
      </w:r>
    </w:p>
    <w:p>
      <w:pPr>
        <w:pStyle w:val="Cover1"/>
        <w:jc w:val="center"/>
        <w:rPr/>
      </w:pPr>
      <w:r>
        <w:rPr/>
      </w:r>
    </w:p>
    <w:p>
      <w:pPr>
        <w:pStyle w:val="Cover1"/>
        <w:jc w:val="center"/>
        <w:rPr/>
      </w:pPr>
      <w:r>
        <w:rPr/>
      </w:r>
    </w:p>
    <w:p>
      <w:pPr>
        <w:pStyle w:val="Cover2"/>
        <w:jc w:val="center"/>
        <w:rPr/>
      </w:pPr>
      <w:r>
        <w:rPr/>
      </w:r>
    </w:p>
    <w:p>
      <w:pPr>
        <w:pStyle w:val="Cover2"/>
        <w:jc w:val="center"/>
        <w:rPr/>
      </w:pPr>
      <w:r>
        <w:rPr/>
      </w:r>
    </w:p>
    <w:p>
      <w:pPr>
        <w:pStyle w:val="Cover2"/>
        <w:jc w:val="center"/>
        <w:rPr/>
      </w:pPr>
      <w:r>
        <w:rPr/>
      </w:r>
    </w:p>
    <w:p>
      <w:pPr>
        <w:pStyle w:val="Cover2"/>
        <w:jc w:val="center"/>
        <w:rPr/>
      </w:pPr>
      <w:r>
        <w:rPr/>
      </w:r>
    </w:p>
    <w:p>
      <w:pPr>
        <w:pStyle w:val="Cover2"/>
        <w:jc w:val="center"/>
        <w:rPr/>
      </w:pPr>
      <w:r>
        <w:rPr/>
      </w:r>
    </w:p>
    <w:p>
      <w:pPr>
        <w:pStyle w:val="Cover2"/>
        <w:jc w:val="center"/>
        <w:rPr/>
      </w:pPr>
      <w:r>
        <w:rPr/>
      </w:r>
    </w:p>
    <w:p>
      <w:pPr>
        <w:pStyle w:val="Cover2"/>
        <w:jc w:val="center"/>
        <w:rPr/>
      </w:pPr>
      <w:r>
        <w:rPr/>
      </w:r>
    </w:p>
    <w:p>
      <w:pPr>
        <w:pStyle w:val="Cover2"/>
        <w:jc w:val="center"/>
        <w:rPr/>
      </w:pPr>
      <w:r>
        <w:rPr/>
      </w:r>
    </w:p>
    <w:p>
      <w:pPr>
        <w:pStyle w:val="Cover2"/>
        <w:jc w:val="center"/>
        <w:rPr/>
      </w:pPr>
      <w:r>
        <w:rPr/>
      </w:r>
    </w:p>
    <w:p>
      <w:pPr>
        <w:pStyle w:val="Cover2"/>
        <w:jc w:val="center"/>
        <w:rPr/>
      </w:pPr>
      <w:r>
        <w:rPr/>
      </w:r>
    </w:p>
    <w:p>
      <w:pPr>
        <w:pStyle w:val="Cover2"/>
        <w:jc w:val="center"/>
        <w:rPr/>
      </w:pPr>
      <w:r>
        <w:rPr/>
        <w:t>Prepared By</w:t>
      </w:r>
    </w:p>
    <w:p>
      <w:pPr>
        <w:pStyle w:val="Cover2"/>
        <w:jc w:val="center"/>
        <w:rPr/>
      </w:pPr>
      <w:r>
        <w:rPr/>
      </w:r>
    </w:p>
    <w:p>
      <w:pPr>
        <w:pStyle w:val="Cover2"/>
        <w:jc w:val="center"/>
        <w:rPr/>
      </w:pPr>
      <w:r>
        <w:rPr/>
        <w:t>Shirley Whyte</w:t>
      </w:r>
    </w:p>
    <w:p>
      <w:pPr>
        <w:pStyle w:val="Cover2"/>
        <w:jc w:val="center"/>
        <w:rPr/>
      </w:pPr>
      <w:r>
        <w:rPr/>
      </w:r>
    </w:p>
    <w:p>
      <w:pPr>
        <w:pStyle w:val="Cover2"/>
        <w:jc w:val="center"/>
        <w:rPr/>
      </w:pPr>
      <w:r>
        <w:rPr/>
      </w:r>
    </w:p>
    <w:p>
      <w:pPr>
        <w:pStyle w:val="Cover2"/>
        <w:jc w:val="center"/>
        <w:rPr/>
      </w:pPr>
      <w:r>
        <w:rPr/>
      </w:r>
    </w:p>
    <w:p>
      <w:pPr>
        <w:pStyle w:val="Cover2"/>
        <w:jc w:val="center"/>
        <w:rPr/>
      </w:pPr>
      <w:r>
        <w:rPr/>
      </w:r>
    </w:p>
    <w:p>
      <w:pPr>
        <w:pStyle w:val="Cover2"/>
        <w:jc w:val="center"/>
        <w:rPr/>
      </w:pPr>
      <w:r>
        <w:rPr/>
      </w:r>
    </w:p>
    <w:p>
      <w:pPr>
        <w:pStyle w:val="Cover2"/>
        <w:jc w:val="center"/>
        <w:rPr/>
      </w:pPr>
      <w:r>
        <w:rPr/>
      </w:r>
    </w:p>
    <w:p>
      <w:pPr>
        <w:pStyle w:val="Cover2"/>
        <w:jc w:val="center"/>
        <w:rPr/>
      </w:pPr>
      <w:r>
        <w:rPr/>
      </w:r>
    </w:p>
    <w:p>
      <w:pPr>
        <w:pStyle w:val="Cover2"/>
        <w:jc w:val="center"/>
        <w:rPr/>
      </w:pPr>
      <w:r>
        <w:rPr/>
      </w:r>
    </w:p>
    <w:p>
      <w:pPr>
        <w:pStyle w:val="Cover2"/>
        <w:jc w:val="center"/>
        <w:rPr/>
      </w:pPr>
      <w:r>
        <w:rPr/>
      </w:r>
    </w:p>
    <w:p>
      <w:pPr>
        <w:pStyle w:val="Cover2"/>
        <w:jc w:val="center"/>
        <w:rPr/>
      </w:pPr>
      <w:r>
        <w:rPr/>
      </w:r>
    </w:p>
    <w:p>
      <w:pPr>
        <w:pStyle w:val="Cover2"/>
        <w:jc w:val="center"/>
        <w:rPr/>
      </w:pPr>
      <w:r>
        <w:rPr/>
      </w:r>
    </w:p>
    <w:p>
      <w:pPr>
        <w:pStyle w:val="Cover2"/>
        <w:jc w:val="center"/>
        <w:rPr/>
      </w:pPr>
      <w:r>
        <w:rPr/>
        <w:t>February 4, 2002</w:t>
      </w:r>
      <w:r>
        <w:br w:type="page"/>
      </w:r>
    </w:p>
    <w:p>
      <w:pPr>
        <w:pStyle w:val="Heading1"/>
        <w:tabs>
          <w:tab w:val="clear" w:pos="720"/>
          <w:tab w:val="left" w:pos="6368" w:leader="none"/>
        </w:tabs>
        <w:jc w:val="center"/>
        <w:rPr/>
      </w:pPr>
      <w:r>
        <w:rPr/>
        <w:t>TABLE OF CONTENTS</w:t>
      </w:r>
    </w:p>
    <w:sdt>
      <w:sdtPr>
        <w:docPartObj>
          <w:docPartGallery w:val="Table of Contents"/>
          <w:docPartUnique w:val="true"/>
        </w:docPartObj>
      </w:sdtPr>
      <w:sdtContent>
        <w:p>
          <w:pPr>
            <w:pStyle w:val="TOC1"/>
            <w:tabs>
              <w:tab w:val="clear" w:pos="720"/>
              <w:tab w:val="right" w:pos="10070" w:leader="dot"/>
            </w:tabs>
            <w:rPr>
              <w:rFonts w:ascii="Times New Roman" w:hAnsi="Times New Roman" w:cs="Times New Roman"/>
              <w:b w:val="false"/>
              <w:caps w:val="false"/>
              <w:smallCaps w:val="false"/>
              <w:sz w:val="24"/>
              <w:szCs w:val="24"/>
            </w:rPr>
          </w:pPr>
          <w:r>
            <w:fldChar w:fldCharType="begin"/>
          </w:r>
          <w:r>
            <w:rPr>
              <w:rStyle w:val="IndexLink"/>
            </w:rPr>
            <w:instrText xml:space="preserve"> TOC \o "2-2" \h \z \t "Heading 1,1" </w:instrText>
          </w:r>
          <w:r>
            <w:rPr>
              <w:rStyle w:val="IndexLink"/>
            </w:rPr>
            <w:fldChar w:fldCharType="separate"/>
          </w:r>
          <w:hyperlink w:anchor="__RefHeading___Toc350104">
            <w:r>
              <w:rPr>
                <w:rStyle w:val="IndexLink"/>
              </w:rPr>
              <w:t>820 Issues Overview</w:t>
              <w:tab/>
              <w:t>3</w:t>
            </w:r>
          </w:hyperlink>
        </w:p>
        <w:p>
          <w:pPr>
            <w:pStyle w:val="TOC2"/>
            <w:tabs>
              <w:tab w:val="clear" w:pos="720"/>
              <w:tab w:val="right" w:pos="10070" w:leader="dot"/>
            </w:tabs>
            <w:rPr>
              <w:rFonts w:ascii="Times New Roman" w:hAnsi="Times New Roman" w:cs="Times New Roman"/>
              <w:caps w:val="false"/>
              <w:smallCaps w:val="false"/>
              <w:szCs w:val="24"/>
              <w:lang w:val="en-CA" w:eastAsia="en-CA"/>
            </w:rPr>
          </w:pPr>
          <w:hyperlink w:anchor="__RefHeading___Toc350105">
            <w:r>
              <w:rPr>
                <w:rStyle w:val="IndexLink"/>
                <w:lang w:val="en-CA" w:eastAsia="en-CA"/>
              </w:rPr>
              <w:t>Background</w:t>
              <w:tab/>
              <w:t>3</w:t>
            </w:r>
          </w:hyperlink>
        </w:p>
        <w:p>
          <w:pPr>
            <w:pStyle w:val="TOC2"/>
            <w:tabs>
              <w:tab w:val="clear" w:pos="720"/>
              <w:tab w:val="right" w:pos="10070" w:leader="dot"/>
            </w:tabs>
            <w:rPr>
              <w:rFonts w:ascii="Times New Roman" w:hAnsi="Times New Roman" w:cs="Times New Roman"/>
              <w:caps w:val="false"/>
              <w:smallCaps w:val="false"/>
              <w:szCs w:val="24"/>
              <w:lang w:val="en-CA" w:eastAsia="en-CA"/>
            </w:rPr>
          </w:pPr>
          <w:hyperlink w:anchor="__RefHeading___Toc350106">
            <w:r>
              <w:rPr>
                <w:rStyle w:val="IndexLink"/>
                <w:lang w:val="en-CA" w:eastAsia="en-CA"/>
              </w:rPr>
              <w:t>Process</w:t>
              <w:tab/>
              <w:t>3</w:t>
            </w:r>
          </w:hyperlink>
        </w:p>
        <w:p>
          <w:pPr>
            <w:pStyle w:val="TOC1"/>
            <w:tabs>
              <w:tab w:val="clear" w:pos="720"/>
              <w:tab w:val="right" w:pos="10070" w:leader="dot"/>
            </w:tabs>
            <w:rPr>
              <w:rFonts w:ascii="Times New Roman" w:hAnsi="Times New Roman" w:cs="Times New Roman"/>
              <w:b w:val="false"/>
              <w:caps w:val="false"/>
              <w:smallCaps w:val="false"/>
              <w:sz w:val="24"/>
              <w:szCs w:val="24"/>
            </w:rPr>
          </w:pPr>
          <w:hyperlink w:anchor="__RefHeading___Toc350107">
            <w:r>
              <w:rPr>
                <w:rStyle w:val="IndexLink"/>
              </w:rPr>
              <w:t>Market Issues to be Further Investigated</w:t>
              <w:tab/>
              <w:t>4</w:t>
            </w:r>
          </w:hyperlink>
        </w:p>
        <w:p>
          <w:pPr>
            <w:pStyle w:val="TOC2"/>
            <w:tabs>
              <w:tab w:val="clear" w:pos="720"/>
              <w:tab w:val="right" w:pos="10070" w:leader="dot"/>
            </w:tabs>
            <w:rPr>
              <w:rFonts w:ascii="Times New Roman" w:hAnsi="Times New Roman" w:cs="Times New Roman"/>
              <w:caps w:val="false"/>
              <w:smallCaps w:val="false"/>
              <w:szCs w:val="24"/>
              <w:lang w:val="en-CA" w:eastAsia="en-CA"/>
            </w:rPr>
          </w:pPr>
          <w:hyperlink w:anchor="__RefHeading___Toc350108">
            <w:r>
              <w:rPr>
                <w:rStyle w:val="IndexLink"/>
                <w:lang w:val="en-CA" w:eastAsia="en-CA"/>
              </w:rPr>
              <w:t>How Cancels/Restatements Affect Payment and Remittance</w:t>
              <w:tab/>
              <w:t>4</w:t>
            </w:r>
          </w:hyperlink>
        </w:p>
        <w:p>
          <w:pPr>
            <w:pStyle w:val="TOC2"/>
            <w:tabs>
              <w:tab w:val="clear" w:pos="720"/>
              <w:tab w:val="right" w:pos="10070" w:leader="dot"/>
            </w:tabs>
            <w:rPr>
              <w:rFonts w:ascii="Times New Roman" w:hAnsi="Times New Roman" w:cs="Times New Roman"/>
              <w:caps w:val="false"/>
              <w:smallCaps w:val="false"/>
              <w:szCs w:val="24"/>
              <w:lang w:val="en-CA" w:eastAsia="en-CA"/>
            </w:rPr>
          </w:pPr>
          <w:hyperlink w:anchor="__RefHeading___Toc350109">
            <w:r>
              <w:rPr>
                <w:rStyle w:val="IndexLink"/>
                <w:lang w:val="en-CA" w:eastAsia="en-CA"/>
              </w:rPr>
              <w:t>Credit Amounts Reported on Remittance Advice</w:t>
              <w:tab/>
              <w:t>4</w:t>
            </w:r>
          </w:hyperlink>
        </w:p>
        <w:p>
          <w:pPr>
            <w:pStyle w:val="TOC2"/>
            <w:tabs>
              <w:tab w:val="clear" w:pos="720"/>
              <w:tab w:val="right" w:pos="10070" w:leader="dot"/>
            </w:tabs>
            <w:rPr>
              <w:rFonts w:ascii="Times New Roman" w:hAnsi="Times New Roman" w:cs="Times New Roman"/>
              <w:caps w:val="false"/>
              <w:smallCaps w:val="false"/>
              <w:szCs w:val="24"/>
              <w:lang w:val="en-CA" w:eastAsia="en-CA"/>
            </w:rPr>
          </w:pPr>
          <w:hyperlink w:anchor="__RefHeading___Toc350110">
            <w:r>
              <w:rPr>
                <w:rStyle w:val="IndexLink"/>
                <w:lang w:val="en-CA" w:eastAsia="en-CA"/>
              </w:rPr>
              <w:t>Reassociating Trace Number in 820_02 with Payment</w:t>
              <w:tab/>
              <w:t>8</w:t>
            </w:r>
          </w:hyperlink>
        </w:p>
        <w:p>
          <w:pPr>
            <w:pStyle w:val="TOC2"/>
            <w:tabs>
              <w:tab w:val="clear" w:pos="720"/>
              <w:tab w:val="right" w:pos="10070" w:leader="dot"/>
            </w:tabs>
            <w:rPr>
              <w:rFonts w:ascii="Times New Roman" w:hAnsi="Times New Roman" w:cs="Times New Roman"/>
              <w:caps w:val="false"/>
              <w:smallCaps w:val="false"/>
              <w:szCs w:val="24"/>
              <w:lang w:val="en-CA" w:eastAsia="en-CA"/>
            </w:rPr>
          </w:pPr>
          <w:hyperlink w:anchor="__RefHeading___Toc350111">
            <w:r>
              <w:rPr>
                <w:rStyle w:val="IndexLink"/>
                <w:lang w:val="en-CA" w:eastAsia="en-CA"/>
              </w:rPr>
              <w:t>Remittance Advice Total Matches Payment Total</w:t>
              <w:tab/>
              <w:t>10</w:t>
            </w:r>
          </w:hyperlink>
        </w:p>
        <w:p>
          <w:pPr>
            <w:pStyle w:val="TOC2"/>
            <w:tabs>
              <w:tab w:val="clear" w:pos="720"/>
              <w:tab w:val="right" w:pos="10070" w:leader="dot"/>
            </w:tabs>
            <w:rPr>
              <w:rFonts w:ascii="Times New Roman" w:hAnsi="Times New Roman" w:cs="Times New Roman"/>
              <w:caps w:val="false"/>
              <w:smallCaps w:val="false"/>
              <w:szCs w:val="24"/>
              <w:lang w:val="en-CA" w:eastAsia="en-CA"/>
            </w:rPr>
          </w:pPr>
          <w:hyperlink w:anchor="__RefHeading___Toc350112">
            <w:r>
              <w:rPr>
                <w:rStyle w:val="IndexLink"/>
                <w:lang w:val="en-CA" w:eastAsia="en-CA"/>
              </w:rPr>
              <w:t>Warehousing an 820_02 Remittance Advice</w:t>
              <w:tab/>
              <w:t>10</w:t>
            </w:r>
          </w:hyperlink>
        </w:p>
        <w:p>
          <w:pPr>
            <w:pStyle w:val="TOC2"/>
            <w:tabs>
              <w:tab w:val="clear" w:pos="720"/>
              <w:tab w:val="right" w:pos="10070" w:leader="dot"/>
            </w:tabs>
            <w:rPr>
              <w:rFonts w:ascii="Times New Roman" w:hAnsi="Times New Roman" w:cs="Times New Roman"/>
              <w:caps w:val="false"/>
              <w:smallCaps w:val="false"/>
              <w:szCs w:val="24"/>
              <w:lang w:val="en-CA" w:eastAsia="en-CA"/>
            </w:rPr>
          </w:pPr>
          <w:hyperlink w:anchor="__RefHeading___Toc350113">
            <w:r>
              <w:rPr>
                <w:rStyle w:val="IndexLink"/>
                <w:lang w:val="en-CA" w:eastAsia="en-CA"/>
              </w:rPr>
              <w:t>Requirements for Changing Banking Institutions</w:t>
              <w:tab/>
              <w:t>11</w:t>
            </w:r>
          </w:hyperlink>
        </w:p>
        <w:p>
          <w:pPr>
            <w:pStyle w:val="TOC2"/>
            <w:tabs>
              <w:tab w:val="clear" w:pos="720"/>
              <w:tab w:val="right" w:pos="10070" w:leader="dot"/>
            </w:tabs>
            <w:rPr>
              <w:rFonts w:ascii="Times New Roman" w:hAnsi="Times New Roman" w:cs="Times New Roman"/>
              <w:caps w:val="false"/>
              <w:smallCaps w:val="false"/>
              <w:szCs w:val="24"/>
              <w:lang w:val="en-CA" w:eastAsia="en-CA"/>
            </w:rPr>
          </w:pPr>
          <w:hyperlink w:anchor="__RefHeading___Toc350114">
            <w:r>
              <w:rPr>
                <w:rStyle w:val="IndexLink"/>
                <w:lang w:val="en-CA" w:eastAsia="en-CA"/>
              </w:rPr>
              <w:t>Bank Generated 820 Payment and Remittance Advice (Combo) vs. Payment and Remittance Advice Originating Separately</w:t>
              <w:tab/>
              <w:t>12</w:t>
            </w:r>
          </w:hyperlink>
        </w:p>
        <w:p>
          <w:pPr>
            <w:pStyle w:val="TOC2"/>
            <w:tabs>
              <w:tab w:val="clear" w:pos="720"/>
              <w:tab w:val="right" w:pos="10070" w:leader="dot"/>
            </w:tabs>
            <w:rPr>
              <w:rFonts w:ascii="Times New Roman" w:hAnsi="Times New Roman" w:cs="Times New Roman"/>
              <w:caps w:val="false"/>
              <w:smallCaps w:val="false"/>
              <w:szCs w:val="24"/>
              <w:lang w:val="en-CA" w:eastAsia="en-CA"/>
            </w:rPr>
          </w:pPr>
          <w:hyperlink w:anchor="__RefHeading___Toc350115">
            <w:r>
              <w:rPr>
                <w:rStyle w:val="IndexLink"/>
                <w:lang w:val="en-CA" w:eastAsia="en-CA"/>
              </w:rPr>
              <w:t>Late Payment Assessments</w:t>
              <w:tab/>
              <w:t>12</w:t>
            </w:r>
          </w:hyperlink>
        </w:p>
        <w:p>
          <w:pPr>
            <w:pStyle w:val="TOC2"/>
            <w:tabs>
              <w:tab w:val="clear" w:pos="720"/>
              <w:tab w:val="right" w:pos="10070" w:leader="dot"/>
            </w:tabs>
            <w:rPr>
              <w:rFonts w:ascii="Times New Roman" w:hAnsi="Times New Roman" w:cs="Times New Roman"/>
              <w:caps w:val="false"/>
              <w:smallCaps w:val="false"/>
              <w:szCs w:val="24"/>
              <w:lang w:val="en-CA" w:eastAsia="en-CA"/>
            </w:rPr>
          </w:pPr>
          <w:hyperlink w:anchor="__RefHeading___Toc350116">
            <w:r>
              <w:rPr>
                <w:rStyle w:val="IndexLink"/>
                <w:lang w:val="en-CA" w:eastAsia="en-CA"/>
              </w:rPr>
              <w:t>Payment Instruction to Bank</w:t>
              <w:tab/>
              <w:t>12</w:t>
            </w:r>
          </w:hyperlink>
        </w:p>
        <w:p>
          <w:pPr>
            <w:pStyle w:val="TOC2"/>
            <w:tabs>
              <w:tab w:val="clear" w:pos="720"/>
              <w:tab w:val="right" w:pos="10070" w:leader="dot"/>
            </w:tabs>
            <w:rPr>
              <w:rFonts w:ascii="Times New Roman" w:hAnsi="Times New Roman" w:cs="Times New Roman"/>
              <w:caps w:val="false"/>
              <w:smallCaps w:val="false"/>
              <w:szCs w:val="24"/>
              <w:lang w:val="en-CA" w:eastAsia="en-CA"/>
            </w:rPr>
          </w:pPr>
          <w:hyperlink w:anchor="__RefHeading___Toc350117">
            <w:r>
              <w:rPr>
                <w:rStyle w:val="IndexLink"/>
                <w:lang w:val="en-CA" w:eastAsia="en-CA"/>
              </w:rPr>
              <w:t>Mandatory 820 Testing</w:t>
              <w:tab/>
              <w:t>12</w:t>
            </w:r>
          </w:hyperlink>
        </w:p>
        <w:p>
          <w:pPr>
            <w:pStyle w:val="TOC2"/>
            <w:tabs>
              <w:tab w:val="clear" w:pos="720"/>
              <w:tab w:val="right" w:pos="10070" w:leader="dot"/>
            </w:tabs>
            <w:rPr>
              <w:rFonts w:ascii="Times New Roman" w:hAnsi="Times New Roman" w:cs="Times New Roman"/>
              <w:caps w:val="false"/>
              <w:smallCaps w:val="false"/>
              <w:szCs w:val="24"/>
              <w:lang w:val="en-CA" w:eastAsia="en-CA"/>
            </w:rPr>
          </w:pPr>
          <w:hyperlink w:anchor="__RefHeading___Toc350118">
            <w:r>
              <w:rPr>
                <w:rStyle w:val="IndexLink"/>
                <w:lang w:val="en-CA" w:eastAsia="en-CA"/>
              </w:rPr>
              <w:t>824 to Accept or Reject the Remittance Advice</w:t>
              <w:tab/>
              <w:t>13</w:t>
            </w:r>
          </w:hyperlink>
        </w:p>
        <w:p>
          <w:pPr>
            <w:pStyle w:val="TOC2"/>
            <w:tabs>
              <w:tab w:val="clear" w:pos="720"/>
              <w:tab w:val="right" w:pos="10070" w:leader="dot"/>
            </w:tabs>
            <w:rPr>
              <w:rFonts w:ascii="Times New Roman" w:hAnsi="Times New Roman" w:cs="Times New Roman"/>
              <w:caps w:val="false"/>
              <w:smallCaps w:val="false"/>
              <w:szCs w:val="24"/>
              <w:lang w:val="en-CA" w:eastAsia="en-CA"/>
            </w:rPr>
          </w:pPr>
          <w:hyperlink w:anchor="__RefHeading___Toc350119">
            <w:r>
              <w:rPr>
                <w:rStyle w:val="IndexLink"/>
                <w:lang w:val="en-CA" w:eastAsia="en-CA"/>
              </w:rPr>
              <w:t>TC Discount</w:t>
              <w:tab/>
              <w:t>14</w:t>
            </w:r>
          </w:hyperlink>
        </w:p>
        <w:p>
          <w:pPr>
            <w:pStyle w:val="TOC2"/>
            <w:tabs>
              <w:tab w:val="clear" w:pos="720"/>
              <w:tab w:val="right" w:pos="10070" w:leader="dot"/>
            </w:tabs>
            <w:rPr>
              <w:rFonts w:ascii="Times New Roman" w:hAnsi="Times New Roman" w:cs="Times New Roman"/>
              <w:caps w:val="false"/>
              <w:smallCaps w:val="false"/>
              <w:szCs w:val="24"/>
              <w:lang w:val="en-CA" w:eastAsia="en-CA"/>
            </w:rPr>
          </w:pPr>
          <w:hyperlink w:anchor="__RefHeading___Toc350120">
            <w:r>
              <w:rPr>
                <w:rStyle w:val="IndexLink"/>
                <w:lang w:val="en-CA" w:eastAsia="en-CA"/>
              </w:rPr>
              <w:t>Costs associated with ACH and FED WIRE</w:t>
              <w:tab/>
              <w:t>14</w:t>
            </w:r>
          </w:hyperlink>
        </w:p>
        <w:p>
          <w:pPr>
            <w:pStyle w:val="TOC2"/>
            <w:tabs>
              <w:tab w:val="clear" w:pos="720"/>
              <w:tab w:val="right" w:pos="10070" w:leader="dot"/>
            </w:tabs>
            <w:rPr>
              <w:rFonts w:ascii="Times New Roman" w:hAnsi="Times New Roman" w:cs="Times New Roman"/>
              <w:szCs w:val="24"/>
              <w:lang w:val="en-CA" w:eastAsia="en-CA"/>
            </w:rPr>
          </w:pPr>
          <w:hyperlink w:anchor="__RefHeading___Toc350121">
            <w:r>
              <w:rPr>
                <w:rStyle w:val="IndexLink"/>
                <w:caps w:val="false"/>
                <w:smallCaps w:val="false"/>
                <w:lang w:val="en-CA" w:eastAsia="en-CA"/>
              </w:rPr>
              <w:t>RMS Financial EDI Educational Workshop</w:t>
              <w:tab/>
              <w:t>15</w:t>
            </w:r>
          </w:hyperlink>
          <w:r>
            <w:rPr>
              <w:rStyle w:val="IndexLink"/>
              <w:smallCaps w:val="false"/>
              <w:caps w:val="false"/>
              <w:lang w:val="en-CA" w:eastAsia="en-CA"/>
            </w:rPr>
            <w:fldChar w:fldCharType="end"/>
          </w:r>
        </w:p>
      </w:sdtContent>
    </w:sdt>
    <w:p>
      <w:pPr>
        <w:pStyle w:val="TOC3"/>
        <w:ind w:start="0" w:end="0"/>
        <w:rPr>
          <w:rFonts w:ascii="Verdana" w:hAnsi="Verdana" w:cs="Verdana"/>
          <w:b/>
          <w:bCs/>
          <w:i/>
          <w:i/>
          <w:iCs/>
          <w:smallCaps/>
          <w:sz w:val="22"/>
          <w:szCs w:val="28"/>
          <w:lang w:val="en-CA" w:eastAsia="en-CA"/>
        </w:rPr>
      </w:pPr>
      <w:r>
        <w:rPr>
          <w:rFonts w:cs="Verdana" w:ascii="Verdana" w:hAnsi="Verdana"/>
          <w:b/>
          <w:bCs/>
          <w:i/>
          <w:iCs/>
          <w:smallCaps/>
          <w:sz w:val="22"/>
          <w:szCs w:val="28"/>
          <w:lang w:val="en-CA" w:eastAsia="en-CA"/>
        </w:rPr>
      </w:r>
      <w:r>
        <w:br w:type="page"/>
      </w:r>
    </w:p>
    <w:p>
      <w:pPr>
        <w:pStyle w:val="Heading1"/>
        <w:rPr/>
      </w:pPr>
      <w:bookmarkStart w:id="0" w:name="__RefHeading___Toc350104"/>
      <w:bookmarkEnd w:id="0"/>
      <w:r>
        <w:rPr/>
        <w:t>820 Issues Overview</w:t>
      </w:r>
    </w:p>
    <w:p>
      <w:pPr>
        <w:pStyle w:val="Heading2"/>
        <w:ind w:hanging="0" w:start="0"/>
        <w:rPr/>
      </w:pPr>
      <w:bookmarkStart w:id="1" w:name="__RefHeading___Toc350105"/>
      <w:bookmarkEnd w:id="1"/>
      <w:r>
        <w:rPr/>
        <w:t>Background</w:t>
      </w:r>
    </w:p>
    <w:p>
      <w:pPr>
        <w:pStyle w:val="Normal"/>
        <w:rPr/>
      </w:pPr>
      <w:r>
        <w:rPr/>
        <w:t xml:space="preserve">The Texas Market stipulates for Competitive Retailers (CRs) to move money to the TDSPs using an ACH or Wire Transfer.  The movement of money through the banking system was not included in scripted testing in Flights 3801 or 1001.  Instead, CRs were asked to work directly with TDSPs by performing a pre-note or penny test to ensure that money from the CRs’ bank account was successfully moved into the TDSPs’ bank account.  There does not appear to be problems moving money from one account to another.  </w:t>
      </w:r>
    </w:p>
    <w:p>
      <w:pPr>
        <w:pStyle w:val="Normal"/>
        <w:rPr/>
      </w:pPr>
      <w:r>
        <w:rPr/>
        <w:t>The Texas Market allows for the Remittance Advice (detailing the total dollars paid via ACH or Wire) to be created and sent via the CRs’ bank or directly (point to point) from the CR via the GISB communications protocol.  The 820_02 Remittance Advice details the format and data content for the transaction when a CR elects to send the Remittance Advice directly (point to point).  This process was tested in Flights 3801 and 1001 to ensure that CRs met TX SET standards.</w:t>
      </w:r>
    </w:p>
    <w:p>
      <w:pPr>
        <w:pStyle w:val="Normal"/>
        <w:rPr/>
      </w:pPr>
      <w:r>
        <w:rPr/>
        <w:t xml:space="preserve">There were no scripted tests in Flights 3801 or 1001 to confirm success when the CR elects to have their bank create and send the Remittance Advice along with the Payment to the TDSP.  Each bank formats their Remittance Advice differently according to a different standard.  It is suspected that data, required for TDSPs to accurately process and apply the remittance, may be missing from the bank-generated Remittance Advice.    Although the TDSPs are successfully receiving payments from the CRs, the TDSPs may not be given enough information in the Remittance Advice to determine which CR is making payment (DUNS number identification), which ESI Ids and/or invoices are being paid, etc.  </w:t>
      </w:r>
    </w:p>
    <w:p>
      <w:pPr>
        <w:pStyle w:val="Normal"/>
        <w:rPr/>
      </w:pPr>
      <w:r>
        <w:rPr/>
        <w:t>For CRs that generate a payment and remittance advice separately, a trace/reference number must accompany the payment and that same trace/reference number must be present on the Remittance Advice in order for the TDSP to correctly match and apply the payment.  Missing or inaccurate data makes it difficult or impossible for the TDSPs to correctly apply or reconcile payments with remittance advices</w:t>
      </w:r>
    </w:p>
    <w:p>
      <w:pPr>
        <w:pStyle w:val="Normal"/>
        <w:rPr/>
      </w:pPr>
      <w:r>
        <w:rPr/>
        <w:t>RMS authorized investigation and inquires into the existing process and asked for recommendations on how the current process could be improved.</w:t>
      </w:r>
    </w:p>
    <w:p>
      <w:pPr>
        <w:pStyle w:val="Heading2"/>
        <w:ind w:hanging="0" w:start="0"/>
        <w:rPr/>
      </w:pPr>
      <w:bookmarkStart w:id="2" w:name="__RefHeading___Toc350106"/>
      <w:bookmarkEnd w:id="2"/>
      <w:r>
        <w:rPr/>
        <w:t>Process</w:t>
      </w:r>
    </w:p>
    <w:p>
      <w:pPr>
        <w:pStyle w:val="Normal"/>
        <w:rPr/>
      </w:pPr>
      <w:r>
        <w:rPr/>
        <w:t>The following process was outlined:</w:t>
      </w:r>
    </w:p>
    <w:p>
      <w:pPr>
        <w:pStyle w:val="Normal"/>
        <w:numPr>
          <w:ilvl w:val="0"/>
          <w:numId w:val="7"/>
        </w:numPr>
        <w:rPr/>
      </w:pPr>
      <w:r>
        <w:rPr/>
        <w:t>Interview TDSP Treasury and Accounts Receivable personnel to build issues list</w:t>
      </w:r>
    </w:p>
    <w:p>
      <w:pPr>
        <w:pStyle w:val="List"/>
        <w:numPr>
          <w:ilvl w:val="0"/>
          <w:numId w:val="7"/>
        </w:numPr>
        <w:spacing w:lineRule="auto" w:line="240" w:before="0" w:after="120"/>
        <w:rPr/>
      </w:pPr>
      <w:r>
        <w:rPr/>
        <w:t>Determine data required to process successfully</w:t>
      </w:r>
    </w:p>
    <w:p>
      <w:pPr>
        <w:pStyle w:val="List"/>
        <w:numPr>
          <w:ilvl w:val="1"/>
          <w:numId w:val="7"/>
        </w:numPr>
        <w:spacing w:lineRule="auto" w:line="240" w:before="0" w:after="120"/>
        <w:rPr/>
      </w:pPr>
      <w:r>
        <w:rPr/>
        <w:t>ESI ID</w:t>
      </w:r>
    </w:p>
    <w:p>
      <w:pPr>
        <w:pStyle w:val="List"/>
        <w:numPr>
          <w:ilvl w:val="1"/>
          <w:numId w:val="7"/>
        </w:numPr>
        <w:spacing w:lineRule="auto" w:line="240" w:before="0" w:after="120"/>
        <w:rPr/>
      </w:pPr>
      <w:r>
        <w:rPr>
          <w:rFonts w:eastAsia="Garamond"/>
        </w:rPr>
        <w:t xml:space="preserve"> </w:t>
      </w:r>
      <w:r>
        <w:rPr/>
        <w:t>DUNS Number of Payer, Payee, etc.</w:t>
      </w:r>
    </w:p>
    <w:p>
      <w:pPr>
        <w:pStyle w:val="List"/>
        <w:numPr>
          <w:ilvl w:val="1"/>
          <w:numId w:val="7"/>
        </w:numPr>
        <w:spacing w:lineRule="auto" w:line="240" w:before="0" w:after="120"/>
        <w:rPr/>
      </w:pPr>
      <w:r>
        <w:rPr/>
        <w:t>Invoice Number, etc.</w:t>
      </w:r>
    </w:p>
    <w:p>
      <w:pPr>
        <w:pStyle w:val="List"/>
        <w:numPr>
          <w:ilvl w:val="0"/>
          <w:numId w:val="7"/>
        </w:numPr>
        <w:spacing w:lineRule="auto" w:line="240" w:before="0" w:after="120"/>
        <w:rPr/>
      </w:pPr>
      <w:r>
        <w:rPr/>
        <w:t>Determine if issues are internal to TDSP or Market issues</w:t>
      </w:r>
    </w:p>
    <w:p>
      <w:pPr>
        <w:pStyle w:val="Normal"/>
        <w:numPr>
          <w:ilvl w:val="0"/>
          <w:numId w:val="7"/>
        </w:numPr>
        <w:rPr/>
      </w:pPr>
      <w:r>
        <w:rPr/>
        <w:t>Secure X12 and translated data samples of problem data from TDSP, if necessary</w:t>
      </w:r>
    </w:p>
    <w:p>
      <w:pPr>
        <w:pStyle w:val="Normal"/>
        <w:numPr>
          <w:ilvl w:val="0"/>
          <w:numId w:val="7"/>
        </w:numPr>
        <w:rPr/>
      </w:pPr>
      <w:r>
        <w:rPr/>
        <w:t>Obtain matching data files from CR</w:t>
      </w:r>
    </w:p>
    <w:p>
      <w:pPr>
        <w:pStyle w:val="Normal"/>
        <w:numPr>
          <w:ilvl w:val="0"/>
          <w:numId w:val="7"/>
        </w:numPr>
        <w:rPr/>
      </w:pPr>
      <w:r>
        <w:rPr/>
        <w:t>Ensure CR data can be accommodated in bank format</w:t>
      </w:r>
    </w:p>
    <w:p>
      <w:pPr>
        <w:pStyle w:val="Normal"/>
        <w:numPr>
          <w:ilvl w:val="0"/>
          <w:numId w:val="7"/>
        </w:numPr>
        <w:rPr/>
      </w:pPr>
      <w:r>
        <w:rPr/>
        <w:t>Work to gain market consensus on resolution</w:t>
      </w:r>
    </w:p>
    <w:p>
      <w:pPr>
        <w:pStyle w:val="Normal"/>
        <w:numPr>
          <w:ilvl w:val="0"/>
          <w:numId w:val="7"/>
        </w:numPr>
        <w:rPr/>
      </w:pPr>
      <w:r>
        <w:rPr/>
        <w:t>Enhance 820_02 Guideline to include examples for taking credits, formatting Addenda Record/OBI Field for tracking, etc. and submit to the market for TX SET and RMS review and approval</w:t>
      </w:r>
    </w:p>
    <w:p>
      <w:pPr>
        <w:pStyle w:val="Heading1"/>
        <w:rPr/>
      </w:pPr>
      <w:bookmarkStart w:id="3" w:name="__RefHeading___Toc350107"/>
      <w:bookmarkEnd w:id="3"/>
      <w:r>
        <w:rPr/>
        <w:t>Market Issues to be Further Investigated</w:t>
      </w:r>
    </w:p>
    <w:p>
      <w:pPr>
        <w:pStyle w:val="Heading2"/>
        <w:ind w:hanging="0" w:start="0"/>
        <w:rPr/>
      </w:pPr>
      <w:bookmarkStart w:id="4" w:name="__RefHeading___Toc350108"/>
      <w:bookmarkEnd w:id="4"/>
      <w:r>
        <w:rPr/>
        <w:t>How Cancels/Restatements Affect Payment and Remittance</w:t>
      </w:r>
    </w:p>
    <w:p>
      <w:pPr>
        <w:pStyle w:val="Normal"/>
        <w:rPr/>
      </w:pPr>
      <w:r>
        <w:rPr/>
        <w:t xml:space="preserve">Terms and Conditions state that an invoice sent by the TDSP to the CR must be paid within 35 days – even if the invoice is incorrect.  If a supplier rejects an invoice with a 997 because it is not ANSI compliant or with an 824 because it is not TX SET compliant, that invoice is not subject to the 35-day payment rule.  The CR cannot reject an invoice with an 824 because they do not agree with the billing amount, readings, dates, etc.  A CR is obligated to pay the original invoice even when a cancel and a restatement of usage subsequently cancels the original invoice. </w:t>
      </w:r>
    </w:p>
    <w:p>
      <w:pPr>
        <w:pStyle w:val="Normal"/>
        <w:rPr/>
      </w:pPr>
      <w:r>
        <w:rPr/>
        <w:t xml:space="preserve">Any disputed invoice requires the CR to pay only the Transition Charges.  In order to dispute an invoice the CR must follow the official Dispute Resolution Process </w:t>
      </w:r>
    </w:p>
    <w:p>
      <w:pPr>
        <w:pStyle w:val="Heading2"/>
        <w:ind w:hanging="0" w:start="0"/>
        <w:rPr/>
      </w:pPr>
      <w:bookmarkStart w:id="5" w:name="__RefHeading___Toc350109"/>
      <w:bookmarkEnd w:id="5"/>
      <w:r>
        <w:rPr/>
        <w:t>Credit Amounts Reported on Remittance Advice</w:t>
      </w:r>
    </w:p>
    <w:p>
      <w:pPr>
        <w:pStyle w:val="Normal"/>
        <w:rPr/>
      </w:pPr>
      <w:r>
        <w:rPr/>
        <w:t>Example 1 of 1 of the TX SET defined 820_02 shows an invoice with a credit amount listed 820_02 Remittance Advice.  Clarification should be added to the document to explain how credit amounts are handled to ensure that there is uniformity across the market.  At a minimum, the following examples should be added to the 820.</w:t>
      </w:r>
    </w:p>
    <w:p>
      <w:pPr>
        <w:pStyle w:val="Recommendation"/>
        <w:numPr>
          <w:ilvl w:val="0"/>
          <w:numId w:val="2"/>
        </w:numPr>
        <w:ind w:hanging="0" w:start="0"/>
        <w:rPr/>
      </w:pPr>
      <w:r>
        <w:rPr/>
        <w:t>Recommend reviewing the following examples and determining if the solutions are valid.  Examples must be submitted in a Change Control to TX SET to be included in a redline 820 Implementaiton Guide in a seciton entitled “820 Defnition and Use”.</w:t>
      </w:r>
    </w:p>
    <w:p>
      <w:pPr>
        <w:pStyle w:val="Normal"/>
        <w:rPr/>
      </w:pPr>
      <w:r>
        <w:rPr/>
        <w:t>Example 1 – CR takes credit for a Late Payment charge that has already been paid and then cancelled by the TDSP</w:t>
      </w:r>
    </w:p>
    <w:tbl>
      <w:tblPr>
        <w:tblW w:w="10296" w:type="dxa"/>
        <w:jc w:val="start"/>
        <w:tblInd w:w="0" w:type="dxa"/>
        <w:tblLayout w:type="fixed"/>
        <w:tblCellMar>
          <w:top w:w="0" w:type="dxa"/>
          <w:start w:w="108" w:type="dxa"/>
          <w:bottom w:w="0" w:type="dxa"/>
          <w:end w:w="108" w:type="dxa"/>
        </w:tblCellMar>
      </w:tblPr>
      <w:tblGrid>
        <w:gridCol w:w="5148"/>
        <w:gridCol w:w="5148"/>
      </w:tblGrid>
      <w:tr>
        <w:trPr/>
        <w:tc>
          <w:tcPr>
            <w:tcW w:w="514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120"/>
              <w:rPr/>
            </w:pPr>
            <w:r>
              <w:rPr/>
              <w:t xml:space="preserve">TDSP Sends Invoice </w:t>
            </w:r>
            <w:r>
              <w:rPr>
                <w:b/>
                <w:bCs/>
                <w:color w:val="0000FF"/>
              </w:rPr>
              <w:t xml:space="preserve">123 </w:t>
            </w:r>
            <w:r>
              <w:rPr/>
              <w:t>for $1,000</w:t>
            </w:r>
          </w:p>
        </w:tc>
        <w:tc>
          <w:tcPr>
            <w:tcW w:w="514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120"/>
              <w:rPr/>
            </w:pPr>
            <w:r>
              <w:rPr/>
              <w:t xml:space="preserve">CR Pays Invoice </w:t>
            </w:r>
            <w:r>
              <w:rPr>
                <w:b/>
                <w:bCs/>
                <w:color w:val="0000FF"/>
              </w:rPr>
              <w:t>123</w:t>
            </w:r>
            <w:r>
              <w:rPr>
                <w:b/>
                <w:bCs/>
              </w:rPr>
              <w:t xml:space="preserve"> </w:t>
            </w:r>
            <w:r>
              <w:rPr/>
              <w:t>on day 35 in the amount of $1,000</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120"/>
              <w:rPr/>
            </w:pPr>
            <w:r>
              <w:rPr/>
              <w:t xml:space="preserve">TDSP Sends Late Payment Invoice </w:t>
            </w:r>
            <w:r>
              <w:rPr>
                <w:b/>
                <w:bCs/>
                <w:color w:val="0000FF"/>
              </w:rPr>
              <w:t>124</w:t>
            </w:r>
            <w:r>
              <w:rPr>
                <w:b/>
                <w:bCs/>
              </w:rPr>
              <w:t xml:space="preserve"> </w:t>
            </w:r>
            <w:r>
              <w:rPr/>
              <w:t>for $100 on day 36</w:t>
            </w:r>
          </w:p>
        </w:tc>
        <w:tc>
          <w:tcPr>
            <w:tcW w:w="514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120"/>
              <w:rPr/>
            </w:pPr>
            <w:r>
              <w:rPr/>
              <w:t xml:space="preserve">CR pays Late Payment Invoice </w:t>
            </w:r>
            <w:r>
              <w:rPr>
                <w:b/>
                <w:bCs/>
                <w:color w:val="0000FF"/>
              </w:rPr>
              <w:t>124</w:t>
            </w:r>
            <w:r>
              <w:rPr>
                <w:b/>
                <w:bCs/>
              </w:rPr>
              <w:t xml:space="preserve"> </w:t>
            </w:r>
            <w:r>
              <w:rPr/>
              <w:t>on Day 38 for $100</w:t>
            </w:r>
          </w:p>
        </w:tc>
      </w:tr>
      <w:tr>
        <w:trPr/>
        <w:tc>
          <w:tcPr>
            <w:tcW w:w="5148" w:type="dxa"/>
            <w:tcBorders>
              <w:top w:val="single" w:sz="4" w:space="0" w:color="000000"/>
              <w:start w:val="single" w:sz="4" w:space="0" w:color="000000"/>
              <w:bottom w:val="single" w:sz="4" w:space="0" w:color="000000"/>
              <w:end w:val="single" w:sz="4" w:space="0" w:color="000000"/>
            </w:tcBorders>
          </w:tcPr>
          <w:p>
            <w:pPr>
              <w:pStyle w:val="Picture"/>
              <w:keepNext w:val="false"/>
              <w:spacing w:before="0" w:after="120"/>
              <w:rPr/>
            </w:pPr>
            <w:r>
              <w:rPr/>
              <w:t>TDSP discovers Invoice 123</w:t>
            </w:r>
            <w:r>
              <w:rPr>
                <w:b/>
                <w:bCs/>
              </w:rPr>
              <w:t xml:space="preserve"> </w:t>
            </w:r>
            <w:r>
              <w:rPr/>
              <w:t xml:space="preserve">was paid on time and cancels Invoice 124.   Cancel Invoice </w:t>
            </w:r>
            <w:r>
              <w:rPr>
                <w:b/>
                <w:bCs/>
                <w:color w:val="0000FF"/>
              </w:rPr>
              <w:t>125</w:t>
            </w:r>
            <w:r>
              <w:rPr>
                <w:b/>
                <w:bCs/>
              </w:rPr>
              <w:t xml:space="preserve"> </w:t>
            </w:r>
            <w:r>
              <w:rPr/>
              <w:t>is sent in the amount of $100.</w:t>
            </w:r>
          </w:p>
        </w:tc>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 xml:space="preserve">CR must reference Invoice </w:t>
            </w:r>
            <w:r>
              <w:rPr>
                <w:b/>
                <w:bCs/>
                <w:color w:val="0000FF"/>
              </w:rPr>
              <w:t>125</w:t>
            </w:r>
            <w:r>
              <w:rPr>
                <w:b/>
                <w:bCs/>
              </w:rPr>
              <w:t xml:space="preserve"> </w:t>
            </w:r>
            <w:r>
              <w:rPr/>
              <w:t xml:space="preserve">to take the credit of $100.  </w:t>
            </w:r>
          </w:p>
          <w:p>
            <w:pPr>
              <w:pStyle w:val="Normal"/>
              <w:widowControl/>
              <w:bidi w:val="0"/>
              <w:spacing w:before="0" w:after="120"/>
              <w:rPr/>
            </w:pPr>
            <w:r>
              <w:rPr>
                <w:b/>
                <w:bCs/>
                <w:color w:val="FF0000"/>
              </w:rPr>
              <w:t>THE CR MAY</w:t>
            </w:r>
            <w:r>
              <w:rPr>
                <w:b/>
                <w:bCs/>
              </w:rPr>
              <w:t xml:space="preserve"> </w:t>
            </w:r>
            <w:r>
              <w:rPr>
                <w:b/>
                <w:bCs/>
                <w:color w:val="FF0000"/>
              </w:rPr>
              <w:t>NOT</w:t>
            </w:r>
            <w:r>
              <w:rPr>
                <w:color w:val="FF0000"/>
              </w:rPr>
              <w:t xml:space="preserve"> </w:t>
            </w:r>
            <w:r>
              <w:rPr/>
              <w:t>reference Invoice 124 when taking the credit.</w:t>
            </w:r>
          </w:p>
        </w:tc>
      </w:tr>
    </w:tbl>
    <w:p>
      <w:pPr>
        <w:pStyle w:val="Normal"/>
        <w:rPr/>
      </w:pPr>
      <w:r>
        <w:rPr/>
      </w:r>
      <w:r>
        <w:br w:type="page"/>
      </w:r>
    </w:p>
    <w:p>
      <w:pPr>
        <w:pStyle w:val="Picture"/>
        <w:keepNext w:val="false"/>
        <w:rPr/>
      </w:pPr>
      <w:r>
        <w:rPr/>
      </w:r>
    </w:p>
    <w:p>
      <w:pPr>
        <w:pStyle w:val="Normal"/>
        <w:rPr/>
      </w:pPr>
      <w:r>
        <w:rPr/>
        <w:t>Example 2 – CR is assessed a Late Payment Charge and the TDSP cancels the Late Payment Invoice before the CR has paid the Late Payment Charges.</w:t>
      </w:r>
    </w:p>
    <w:tbl>
      <w:tblPr>
        <w:tblW w:w="10296" w:type="dxa"/>
        <w:jc w:val="start"/>
        <w:tblInd w:w="0" w:type="dxa"/>
        <w:tblLayout w:type="fixed"/>
        <w:tblCellMar>
          <w:top w:w="0" w:type="dxa"/>
          <w:start w:w="108" w:type="dxa"/>
          <w:bottom w:w="0" w:type="dxa"/>
          <w:end w:w="108" w:type="dxa"/>
        </w:tblCellMar>
      </w:tblPr>
      <w:tblGrid>
        <w:gridCol w:w="5148"/>
        <w:gridCol w:w="5148"/>
      </w:tblGrid>
      <w:tr>
        <w:trPr/>
        <w:tc>
          <w:tcPr>
            <w:tcW w:w="514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120"/>
              <w:rPr/>
            </w:pPr>
            <w:r>
              <w:rPr/>
              <w:t xml:space="preserve">TDSP Sends Invoice </w:t>
            </w:r>
            <w:r>
              <w:rPr>
                <w:b/>
                <w:bCs/>
                <w:color w:val="0000FF"/>
              </w:rPr>
              <w:t>123</w:t>
            </w:r>
            <w:r>
              <w:rPr/>
              <w:t xml:space="preserve"> for $1,000</w:t>
            </w:r>
          </w:p>
        </w:tc>
        <w:tc>
          <w:tcPr>
            <w:tcW w:w="514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120"/>
              <w:rPr/>
            </w:pPr>
            <w:r>
              <w:rPr/>
              <w:t xml:space="preserve">CR Pays Invoice </w:t>
            </w:r>
            <w:r>
              <w:rPr>
                <w:b/>
                <w:bCs/>
                <w:color w:val="0000FF"/>
              </w:rPr>
              <w:t>123</w:t>
            </w:r>
            <w:r>
              <w:rPr/>
              <w:t xml:space="preserve"> on day 35 in the amount of $1,000</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120"/>
              <w:rPr/>
            </w:pPr>
            <w:r>
              <w:rPr/>
              <w:t xml:space="preserve">TDSP Sends Late Payment Invoice </w:t>
            </w:r>
            <w:r>
              <w:rPr>
                <w:b/>
                <w:bCs/>
                <w:color w:val="0000FF"/>
              </w:rPr>
              <w:t>124</w:t>
            </w:r>
            <w:r>
              <w:rPr/>
              <w:t xml:space="preserve"> for $100 on Day 36</w:t>
            </w:r>
          </w:p>
        </w:tc>
        <w:tc>
          <w:tcPr>
            <w:tcW w:w="5148" w:type="dxa"/>
            <w:tcBorders>
              <w:top w:val="single" w:sz="4" w:space="0" w:color="000000"/>
              <w:start w:val="single" w:sz="4" w:space="0" w:color="000000"/>
              <w:bottom w:val="single" w:sz="4" w:space="0" w:color="000000"/>
              <w:end w:val="single" w:sz="4" w:space="0" w:color="000000"/>
            </w:tcBorders>
          </w:tcPr>
          <w:p>
            <w:pPr>
              <w:pStyle w:val="Picture"/>
              <w:keepNext w:val="false"/>
              <w:spacing w:before="0" w:after="120"/>
              <w:rPr/>
            </w:pPr>
            <w:r>
              <w:rPr/>
              <w:t>CR does not pay the late payment charge of $100 on Day 36</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120"/>
              <w:rPr/>
            </w:pPr>
            <w:r>
              <w:rPr/>
              <w:t xml:space="preserve">TDSP issues a Cancel Late Payment Invoice </w:t>
            </w:r>
            <w:r>
              <w:rPr>
                <w:b/>
                <w:bCs/>
                <w:color w:val="0000FF"/>
              </w:rPr>
              <w:t>125</w:t>
            </w:r>
            <w:r>
              <w:rPr/>
              <w:t xml:space="preserve"> on Day 38</w:t>
            </w:r>
          </w:p>
        </w:tc>
        <w:tc>
          <w:tcPr>
            <w:tcW w:w="5148" w:type="dxa"/>
            <w:tcBorders>
              <w:top w:val="single" w:sz="4" w:space="0" w:color="000000"/>
              <w:start w:val="single" w:sz="4" w:space="0" w:color="000000"/>
              <w:bottom w:val="single" w:sz="4" w:space="0" w:color="000000"/>
              <w:end w:val="single" w:sz="4" w:space="0" w:color="000000"/>
            </w:tcBorders>
          </w:tcPr>
          <w:p>
            <w:pPr>
              <w:pStyle w:val="Normal"/>
              <w:rPr/>
            </w:pPr>
            <w:r>
              <w:rPr>
                <w:b/>
                <w:bCs/>
                <w:color w:val="FF0000"/>
                <w:u w:val="single"/>
              </w:rPr>
              <w:t>Best Practice</w:t>
            </w:r>
            <w:r>
              <w:rPr>
                <w:b/>
                <w:bCs/>
                <w:color w:val="FF0000"/>
              </w:rPr>
              <w:t>:</w:t>
            </w:r>
            <w:r>
              <w:rPr>
                <w:b/>
                <w:bCs/>
              </w:rPr>
              <w:t xml:space="preserve">  </w:t>
            </w:r>
            <w:r>
              <w:rPr/>
              <w:t xml:space="preserve">CR can reference Late Payment Invoice </w:t>
            </w:r>
            <w:r>
              <w:rPr>
                <w:b/>
                <w:bCs/>
                <w:color w:val="0000FF"/>
              </w:rPr>
              <w:t>124</w:t>
            </w:r>
            <w:r>
              <w:rPr/>
              <w:t xml:space="preserve"> for $100 and Cancel Late Payment Invoice </w:t>
            </w:r>
            <w:r>
              <w:rPr>
                <w:b/>
                <w:bCs/>
                <w:color w:val="0000FF"/>
              </w:rPr>
              <w:t>125</w:t>
            </w:r>
            <w:r>
              <w:rPr/>
              <w:t xml:space="preserve"> for -$100 CR must reference both Invoice 124 and Invoice 125 in order to clear both invoices from the TDSP system.</w:t>
            </w:r>
          </w:p>
          <w:p>
            <w:pPr>
              <w:pStyle w:val="Normal"/>
              <w:widowControl/>
              <w:bidi w:val="0"/>
              <w:spacing w:before="0" w:after="120"/>
              <w:rPr/>
            </w:pPr>
            <w:r>
              <w:rPr>
                <w:b/>
                <w:bCs/>
                <w:color w:val="FF0000"/>
                <w:u w:val="single"/>
              </w:rPr>
              <w:t>THE CR</w:t>
            </w:r>
            <w:r>
              <w:rPr>
                <w:u w:val="single"/>
              </w:rPr>
              <w:t xml:space="preserve"> </w:t>
            </w:r>
            <w:r>
              <w:rPr>
                <w:b/>
                <w:bCs/>
                <w:color w:val="FF0000"/>
                <w:u w:val="single"/>
              </w:rPr>
              <w:t>MAY NOT</w:t>
            </w:r>
            <w:r>
              <w:rPr/>
              <w:t xml:space="preserve"> assume that Invoice 125 cancels out Invoice 124 and no remittance advice reporting is necessary.  Failing to reference Invoice 124 and Invoice 125 leaves these invoices unresolved.  Each Invoice received by the CR must be referenced on the remittance advice.</w:t>
            </w:r>
          </w:p>
        </w:tc>
      </w:tr>
    </w:tbl>
    <w:p>
      <w:pPr>
        <w:pStyle w:val="Normal"/>
        <w:rPr/>
      </w:pPr>
      <w:r>
        <w:rPr/>
      </w:r>
    </w:p>
    <w:p>
      <w:pPr>
        <w:pStyle w:val="Normal"/>
        <w:rPr/>
      </w:pPr>
      <w:r>
        <w:rPr/>
        <w:t>Example 3 – CR Partially pays a Late Payment Invoice</w:t>
      </w:r>
    </w:p>
    <w:tbl>
      <w:tblPr>
        <w:tblW w:w="10296" w:type="dxa"/>
        <w:jc w:val="start"/>
        <w:tblInd w:w="0" w:type="dxa"/>
        <w:tblLayout w:type="fixed"/>
        <w:tblCellMar>
          <w:top w:w="0" w:type="dxa"/>
          <w:start w:w="108" w:type="dxa"/>
          <w:bottom w:w="0" w:type="dxa"/>
          <w:end w:w="108" w:type="dxa"/>
        </w:tblCellMar>
      </w:tblPr>
      <w:tblGrid>
        <w:gridCol w:w="5148"/>
        <w:gridCol w:w="5148"/>
      </w:tblGrid>
      <w:tr>
        <w:trPr/>
        <w:tc>
          <w:tcPr>
            <w:tcW w:w="514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120"/>
              <w:rPr/>
            </w:pPr>
            <w:r>
              <w:rPr/>
              <w:t xml:space="preserve">TDSP Sends Invoice </w:t>
            </w:r>
            <w:r>
              <w:rPr>
                <w:b/>
                <w:bCs/>
                <w:color w:val="0000FF"/>
              </w:rPr>
              <w:t>123</w:t>
            </w:r>
            <w:r>
              <w:rPr/>
              <w:t xml:space="preserve"> for $1,000</w:t>
            </w:r>
          </w:p>
        </w:tc>
        <w:tc>
          <w:tcPr>
            <w:tcW w:w="514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120"/>
              <w:rPr/>
            </w:pPr>
            <w:r>
              <w:rPr/>
              <w:t xml:space="preserve">CR does not Pay Invoice </w:t>
            </w:r>
            <w:r>
              <w:rPr>
                <w:b/>
                <w:bCs/>
                <w:color w:val="0000FF"/>
              </w:rPr>
              <w:t>123</w:t>
            </w:r>
            <w:r>
              <w:rPr/>
              <w:t xml:space="preserve"> on day 35 in the amount of $1,000</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120"/>
              <w:rPr/>
            </w:pPr>
            <w:r>
              <w:rPr/>
              <w:t xml:space="preserve">TDSP Sends Late Payment Invoice </w:t>
            </w:r>
            <w:r>
              <w:rPr>
                <w:b/>
                <w:bCs/>
                <w:color w:val="0000FF"/>
              </w:rPr>
              <w:t>124</w:t>
            </w:r>
            <w:r>
              <w:rPr/>
              <w:t xml:space="preserve"> for $100 on Day 36</w:t>
            </w:r>
          </w:p>
        </w:tc>
        <w:tc>
          <w:tcPr>
            <w:tcW w:w="514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120"/>
              <w:rPr/>
            </w:pPr>
            <w:r>
              <w:rPr/>
              <w:t xml:space="preserve">CR pays $80 Late Payment Invoice </w:t>
            </w:r>
            <w:r>
              <w:rPr>
                <w:b/>
                <w:bCs/>
                <w:color w:val="0000FF"/>
              </w:rPr>
              <w:t>124</w:t>
            </w:r>
            <w:r>
              <w:rPr/>
              <w:t xml:space="preserve"> on Day 38 for $80</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pPr>
            <w:r>
              <w:rPr/>
            </w:r>
          </w:p>
        </w:tc>
        <w:tc>
          <w:tcPr>
            <w:tcW w:w="514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120"/>
              <w:rPr/>
            </w:pPr>
            <w:r>
              <w:rPr/>
              <w:t xml:space="preserve">CR pays Invoice </w:t>
            </w:r>
            <w:r>
              <w:rPr>
                <w:b/>
                <w:bCs/>
                <w:color w:val="0000FF"/>
              </w:rPr>
              <w:t>123</w:t>
            </w:r>
            <w:r>
              <w:rPr/>
              <w:t xml:space="preserve"> for $1,000 on Day 38.</w:t>
            </w:r>
          </w:p>
        </w:tc>
      </w:tr>
      <w:tr>
        <w:trPr/>
        <w:tc>
          <w:tcPr>
            <w:tcW w:w="5148" w:type="dxa"/>
            <w:tcBorders>
              <w:top w:val="single" w:sz="4" w:space="0" w:color="000000"/>
              <w:start w:val="single" w:sz="4" w:space="0" w:color="000000"/>
              <w:bottom w:val="single" w:sz="4" w:space="0" w:color="000000"/>
              <w:end w:val="single" w:sz="4" w:space="0" w:color="000000"/>
            </w:tcBorders>
          </w:tcPr>
          <w:p>
            <w:pPr>
              <w:pStyle w:val="Picture"/>
              <w:keepNext w:val="false"/>
              <w:spacing w:before="0" w:after="120"/>
              <w:rPr/>
            </w:pPr>
            <w:r>
              <w:rPr/>
              <w:t>TDSP discovers Late Payment Invoice 124 was partially paid on time.  That unpaid balance due sits on the TDSP system and is a manual reconciliation effort.  No invoice is generated to alert the CR that they have short-paid the Late Payment Invoice.  In addition, the TDSP cannot assess further Late Payment Charges since a TDSP cannot assess Late Charges on unpaid Late Charges.</w:t>
            </w:r>
          </w:p>
        </w:tc>
        <w:tc>
          <w:tcPr>
            <w:tcW w:w="514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120"/>
              <w:rPr/>
            </w:pPr>
            <w:r>
              <w:rPr>
                <w:b/>
                <w:bCs/>
                <w:color w:val="FF0000"/>
                <w:u w:val="single"/>
              </w:rPr>
              <w:t>Best Practice</w:t>
            </w:r>
            <w:r>
              <w:rPr>
                <w:color w:val="FF0000"/>
              </w:rPr>
              <w:t>:</w:t>
            </w:r>
            <w:r>
              <w:rPr/>
              <w:t xml:space="preserve">  TDSP contacts the CR to let them know they have a balance due on Invoice 123 to avoid CR default.</w:t>
            </w:r>
          </w:p>
        </w:tc>
      </w:tr>
    </w:tbl>
    <w:p>
      <w:pPr>
        <w:pStyle w:val="Picture"/>
        <w:keepNext w:val="false"/>
        <w:rPr/>
      </w:pPr>
      <w:r>
        <w:rPr/>
      </w:r>
      <w:r>
        <w:br w:type="page"/>
      </w:r>
    </w:p>
    <w:p>
      <w:pPr>
        <w:pStyle w:val="Picture"/>
        <w:keepNext w:val="false"/>
        <w:rPr/>
      </w:pPr>
      <w:r>
        <w:rPr/>
      </w:r>
    </w:p>
    <w:p>
      <w:pPr>
        <w:pStyle w:val="Normal"/>
        <w:rPr/>
      </w:pPr>
      <w:r>
        <w:rPr/>
        <w:t>Example 4 – CR Short Pays Late Payment Invoice and TDSP subsequently Cancels the Late Payment Invoice</w:t>
      </w:r>
    </w:p>
    <w:tbl>
      <w:tblPr>
        <w:tblW w:w="10296" w:type="dxa"/>
        <w:jc w:val="start"/>
        <w:tblInd w:w="0" w:type="dxa"/>
        <w:tblLayout w:type="fixed"/>
        <w:tblCellMar>
          <w:top w:w="0" w:type="dxa"/>
          <w:start w:w="108" w:type="dxa"/>
          <w:bottom w:w="0" w:type="dxa"/>
          <w:end w:w="108" w:type="dxa"/>
        </w:tblCellMar>
      </w:tblPr>
      <w:tblGrid>
        <w:gridCol w:w="5148"/>
        <w:gridCol w:w="5148"/>
      </w:tblGrid>
      <w:tr>
        <w:trPr/>
        <w:tc>
          <w:tcPr>
            <w:tcW w:w="514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120"/>
              <w:rPr/>
            </w:pPr>
            <w:r>
              <w:rPr/>
              <w:t xml:space="preserve">TDSP Sends Invoice </w:t>
            </w:r>
            <w:r>
              <w:rPr>
                <w:b/>
                <w:bCs/>
                <w:color w:val="0000FF"/>
              </w:rPr>
              <w:t>123</w:t>
            </w:r>
            <w:r>
              <w:rPr/>
              <w:t xml:space="preserve"> for $1,000</w:t>
            </w:r>
          </w:p>
        </w:tc>
        <w:tc>
          <w:tcPr>
            <w:tcW w:w="514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120"/>
              <w:rPr/>
            </w:pPr>
            <w:r>
              <w:rPr/>
              <w:t xml:space="preserve">CR Pays Invoice </w:t>
            </w:r>
            <w:r>
              <w:rPr>
                <w:b/>
                <w:bCs/>
                <w:color w:val="0000FF"/>
              </w:rPr>
              <w:t>123</w:t>
            </w:r>
            <w:r>
              <w:rPr/>
              <w:t xml:space="preserve"> on day 35 in the amount of $1,000</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120"/>
              <w:rPr/>
            </w:pPr>
            <w:r>
              <w:rPr/>
              <w:t xml:space="preserve">TDSP Sends Late Payment Invoice </w:t>
            </w:r>
            <w:r>
              <w:rPr>
                <w:b/>
                <w:bCs/>
                <w:color w:val="0000FF"/>
              </w:rPr>
              <w:t>124</w:t>
            </w:r>
            <w:r>
              <w:rPr/>
              <w:t xml:space="preserve"> for $100 on Day 36</w:t>
            </w:r>
          </w:p>
        </w:tc>
        <w:tc>
          <w:tcPr>
            <w:tcW w:w="514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120"/>
              <w:rPr/>
            </w:pPr>
            <w:r>
              <w:rPr/>
              <w:t xml:space="preserve">CR pays Late Payment Invoice </w:t>
            </w:r>
            <w:r>
              <w:rPr>
                <w:b/>
                <w:bCs/>
                <w:color w:val="0000FF"/>
              </w:rPr>
              <w:t>124</w:t>
            </w:r>
            <w:r>
              <w:rPr/>
              <w:t xml:space="preserve"> on Day 38 for $80</w:t>
            </w:r>
          </w:p>
        </w:tc>
      </w:tr>
      <w:tr>
        <w:trPr/>
        <w:tc>
          <w:tcPr>
            <w:tcW w:w="5148" w:type="dxa"/>
            <w:tcBorders>
              <w:top w:val="single" w:sz="4" w:space="0" w:color="000000"/>
              <w:start w:val="single" w:sz="4" w:space="0" w:color="000000"/>
              <w:bottom w:val="single" w:sz="4" w:space="0" w:color="000000"/>
              <w:end w:val="single" w:sz="4" w:space="0" w:color="000000"/>
            </w:tcBorders>
          </w:tcPr>
          <w:p>
            <w:pPr>
              <w:pStyle w:val="Picture"/>
              <w:keepNext w:val="false"/>
              <w:spacing w:before="0" w:after="120"/>
              <w:rPr/>
            </w:pPr>
            <w:r>
              <w:rPr/>
              <w:t xml:space="preserve">TDSP discovers Invoice 123 was paid on time and cancels Invoice 124.   Cancel Invoice </w:t>
            </w:r>
            <w:r>
              <w:rPr>
                <w:b/>
                <w:bCs/>
                <w:color w:val="0000FF"/>
              </w:rPr>
              <w:t>125</w:t>
            </w:r>
            <w:r>
              <w:rPr/>
              <w:t xml:space="preserve"> is sent in the amount of $100.</w:t>
            </w:r>
          </w:p>
        </w:tc>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 xml:space="preserve">CR must report Cancel Invoice </w:t>
            </w:r>
            <w:r>
              <w:rPr>
                <w:b/>
                <w:bCs/>
                <w:color w:val="0000FF"/>
              </w:rPr>
              <w:t>125</w:t>
            </w:r>
            <w:r>
              <w:rPr/>
              <w:t xml:space="preserve"> in the amount of -$80.on the 820 in order to take the credit.</w:t>
            </w:r>
          </w:p>
          <w:p>
            <w:pPr>
              <w:pStyle w:val="Normal"/>
              <w:widowControl/>
              <w:bidi w:val="0"/>
              <w:spacing w:before="0" w:after="120"/>
              <w:rPr/>
            </w:pPr>
            <w:r>
              <w:rPr/>
              <w:t>If CR takes $100 Credit on Invoice 125, they will be delinquent.</w:t>
            </w:r>
          </w:p>
        </w:tc>
      </w:tr>
    </w:tbl>
    <w:p>
      <w:pPr>
        <w:pStyle w:val="Picture"/>
        <w:keepNext w:val="false"/>
        <w:rPr/>
      </w:pPr>
      <w:r>
        <w:rPr/>
      </w:r>
    </w:p>
    <w:p>
      <w:pPr>
        <w:pStyle w:val="Normal"/>
        <w:rPr/>
      </w:pPr>
      <w:r>
        <w:rPr/>
        <w:t>Example 5:  TDSP sends invoice, then cancels the invoice and sends a restated invoice that is less than the original invoice.</w:t>
      </w:r>
    </w:p>
    <w:tbl>
      <w:tblPr>
        <w:tblW w:w="10296" w:type="dxa"/>
        <w:jc w:val="start"/>
        <w:tblInd w:w="0" w:type="dxa"/>
        <w:tblLayout w:type="fixed"/>
        <w:tblCellMar>
          <w:top w:w="0" w:type="dxa"/>
          <w:start w:w="108" w:type="dxa"/>
          <w:bottom w:w="0" w:type="dxa"/>
          <w:end w:w="108" w:type="dxa"/>
        </w:tblCellMar>
      </w:tblPr>
      <w:tblGrid>
        <w:gridCol w:w="5148"/>
        <w:gridCol w:w="5148"/>
      </w:tblGrid>
      <w:tr>
        <w:trPr/>
        <w:tc>
          <w:tcPr>
            <w:tcW w:w="514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120"/>
              <w:rPr/>
            </w:pPr>
            <w:r>
              <w:rPr/>
              <w:t xml:space="preserve">TDSP Sends Invoice </w:t>
            </w:r>
            <w:r>
              <w:rPr>
                <w:b/>
                <w:bCs/>
                <w:color w:val="0000FF"/>
              </w:rPr>
              <w:t>123</w:t>
            </w:r>
            <w:r>
              <w:rPr/>
              <w:t xml:space="preserve"> for $1,000</w:t>
            </w:r>
          </w:p>
        </w:tc>
        <w:tc>
          <w:tcPr>
            <w:tcW w:w="514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120"/>
              <w:rPr/>
            </w:pPr>
            <w:r>
              <w:rPr/>
              <w:t xml:space="preserve">CR must pay Invoice </w:t>
            </w:r>
            <w:r>
              <w:rPr>
                <w:b/>
                <w:bCs/>
                <w:color w:val="0000FF"/>
              </w:rPr>
              <w:t>123</w:t>
            </w:r>
            <w:r>
              <w:rPr/>
              <w:t xml:space="preserve"> no later than Day 35.  CR pays $1,000 on Day 35.  CR Pays Invoice </w:t>
            </w:r>
            <w:r>
              <w:rPr>
                <w:b/>
                <w:bCs/>
                <w:color w:val="0000FF"/>
              </w:rPr>
              <w:t>123</w:t>
            </w:r>
            <w:r>
              <w:rPr/>
              <w:t xml:space="preserve"> in the amount of $1000 on Day 35.</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120"/>
              <w:rPr/>
            </w:pPr>
            <w:r>
              <w:rPr/>
              <w:t xml:space="preserve">TDSP Sends a Cancel Invoice </w:t>
            </w:r>
            <w:r>
              <w:rPr>
                <w:b/>
                <w:bCs/>
                <w:color w:val="0000FF"/>
              </w:rPr>
              <w:t>124</w:t>
            </w:r>
            <w:r>
              <w:rPr/>
              <w:t xml:space="preserve"> on Day 36 in the amount of $1,000</w:t>
            </w:r>
          </w:p>
        </w:tc>
        <w:tc>
          <w:tcPr>
            <w:tcW w:w="514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120"/>
              <w:rPr/>
            </w:pPr>
            <w:r>
              <w:rPr/>
              <w:t xml:space="preserve">CR must provide a line item for Invoice </w:t>
            </w:r>
            <w:r>
              <w:rPr>
                <w:b/>
                <w:bCs/>
                <w:color w:val="0000FF"/>
              </w:rPr>
              <w:t>124</w:t>
            </w:r>
            <w:r>
              <w:rPr/>
              <w:t xml:space="preserve"> in the Remittance Advice in the amount of –$1,000.</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120"/>
              <w:rPr/>
            </w:pPr>
            <w:r>
              <w:rPr/>
              <w:t xml:space="preserve">TDSP Sends a Restated Invoice </w:t>
            </w:r>
            <w:r>
              <w:rPr>
                <w:b/>
                <w:bCs/>
                <w:color w:val="0000FF"/>
              </w:rPr>
              <w:t>125</w:t>
            </w:r>
            <w:r>
              <w:rPr/>
              <w:t xml:space="preserve"> on Day 36 in the amount of $900</w:t>
            </w:r>
          </w:p>
        </w:tc>
        <w:tc>
          <w:tcPr>
            <w:tcW w:w="514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120"/>
              <w:rPr/>
            </w:pPr>
            <w:r>
              <w:rPr/>
              <w:t xml:space="preserve">CR must reference Invoice </w:t>
            </w:r>
            <w:r>
              <w:rPr>
                <w:b/>
                <w:bCs/>
                <w:color w:val="0000FF"/>
              </w:rPr>
              <w:t>125</w:t>
            </w:r>
            <w:r>
              <w:rPr/>
              <w:t xml:space="preserve"> in the amount of $900</w:t>
            </w:r>
          </w:p>
        </w:tc>
      </w:tr>
      <w:tr>
        <w:trPr/>
        <w:tc>
          <w:tcPr>
            <w:tcW w:w="5148" w:type="dxa"/>
            <w:tcBorders>
              <w:top w:val="single" w:sz="4" w:space="0" w:color="000000"/>
              <w:start w:val="single" w:sz="4" w:space="0" w:color="000000"/>
              <w:bottom w:val="single" w:sz="4" w:space="0" w:color="000000"/>
              <w:end w:val="single" w:sz="4" w:space="0" w:color="000000"/>
            </w:tcBorders>
          </w:tcPr>
          <w:p>
            <w:pPr>
              <w:pStyle w:val="Picture"/>
              <w:keepNext w:val="false"/>
              <w:spacing w:before="0" w:after="120"/>
              <w:rPr/>
            </w:pPr>
            <w:r>
              <w:rPr/>
              <w:t>NOT</w:t>
            </w:r>
          </w:p>
        </w:tc>
        <w:tc>
          <w:tcPr>
            <w:tcW w:w="5148" w:type="dxa"/>
            <w:tcBorders>
              <w:top w:val="single" w:sz="4" w:space="0" w:color="000000"/>
              <w:start w:val="single" w:sz="4" w:space="0" w:color="000000"/>
              <w:bottom w:val="single" w:sz="4" w:space="0" w:color="000000"/>
              <w:end w:val="single" w:sz="4" w:space="0" w:color="000000"/>
            </w:tcBorders>
          </w:tcPr>
          <w:p>
            <w:pPr>
              <w:pStyle w:val="Normal"/>
              <w:rPr/>
            </w:pPr>
            <w:r>
              <w:rPr>
                <w:b/>
                <w:bCs/>
                <w:color w:val="FF0000"/>
                <w:u w:val="single"/>
              </w:rPr>
              <w:t>Best Practice</w:t>
            </w:r>
            <w:r>
              <w:rPr>
                <w:b/>
                <w:bCs/>
                <w:color w:val="FF0000"/>
              </w:rPr>
              <w:t xml:space="preserve">:  </w:t>
            </w:r>
            <w:r>
              <w:rPr/>
              <w:t xml:space="preserve">CR references Invoice </w:t>
            </w:r>
            <w:r>
              <w:rPr>
                <w:b/>
                <w:bCs/>
                <w:color w:val="0000FF"/>
              </w:rPr>
              <w:t>125</w:t>
            </w:r>
            <w:r>
              <w:rPr/>
              <w:t xml:space="preserve"> for -$100 (the net) and does not need to provide a separate line item for Cancel Invoice 124.</w:t>
            </w:r>
          </w:p>
          <w:p>
            <w:pPr>
              <w:pStyle w:val="Picture"/>
              <w:keepNext w:val="false"/>
              <w:spacing w:before="0" w:after="120"/>
              <w:rPr/>
            </w:pPr>
            <w:r>
              <w:rPr/>
              <w:t>Taking the net on Invoice 125 will leave Invoice 124 open.  Each Invoice received by the CR must be referenced on the remittance advice.</w:t>
            </w:r>
          </w:p>
        </w:tc>
      </w:tr>
    </w:tbl>
    <w:p>
      <w:pPr>
        <w:pStyle w:val="Normal"/>
        <w:rPr/>
      </w:pPr>
      <w:r>
        <w:rPr/>
      </w:r>
      <w:r>
        <w:br w:type="page"/>
      </w:r>
    </w:p>
    <w:p>
      <w:pPr>
        <w:pStyle w:val="Normal"/>
        <w:rPr/>
      </w:pPr>
      <w:r>
        <w:rPr/>
      </w:r>
    </w:p>
    <w:p>
      <w:pPr>
        <w:pStyle w:val="Normal"/>
        <w:rPr/>
      </w:pPr>
      <w:r>
        <w:rPr/>
        <w:t>Example 6:  TDSP sends invoice, then cancels the invoice and sends a restated invoice that is less than the original invoice.</w:t>
      </w:r>
    </w:p>
    <w:tbl>
      <w:tblPr>
        <w:tblW w:w="10296" w:type="dxa"/>
        <w:jc w:val="start"/>
        <w:tblInd w:w="0" w:type="dxa"/>
        <w:tblLayout w:type="fixed"/>
        <w:tblCellMar>
          <w:top w:w="0" w:type="dxa"/>
          <w:start w:w="108" w:type="dxa"/>
          <w:bottom w:w="0" w:type="dxa"/>
          <w:end w:w="108" w:type="dxa"/>
        </w:tblCellMar>
      </w:tblPr>
      <w:tblGrid>
        <w:gridCol w:w="5148"/>
        <w:gridCol w:w="5148"/>
      </w:tblGrid>
      <w:tr>
        <w:trPr/>
        <w:tc>
          <w:tcPr>
            <w:tcW w:w="514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120"/>
              <w:rPr/>
            </w:pPr>
            <w:r>
              <w:rPr/>
              <w:t xml:space="preserve">Day 1 TDSP Sends Invoice </w:t>
            </w:r>
            <w:r>
              <w:rPr>
                <w:b/>
                <w:bCs/>
                <w:color w:val="0000FF"/>
              </w:rPr>
              <w:t>123</w:t>
            </w:r>
            <w:r>
              <w:rPr/>
              <w:t xml:space="preserve"> for $1,000</w:t>
            </w:r>
          </w:p>
        </w:tc>
        <w:tc>
          <w:tcPr>
            <w:tcW w:w="514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120"/>
              <w:rPr/>
            </w:pPr>
            <w:r>
              <w:rPr/>
              <w:t xml:space="preserve">CR must pay Invoice 123 no later than day 35.  </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120"/>
              <w:rPr/>
            </w:pPr>
            <w:r>
              <w:rPr/>
              <w:t xml:space="preserve">Day 3 TDSP Sends a Cancel Invoice </w:t>
            </w:r>
            <w:r>
              <w:rPr>
                <w:b/>
                <w:bCs/>
                <w:color w:val="0000FF"/>
              </w:rPr>
              <w:t>124</w:t>
            </w:r>
            <w:r>
              <w:rPr/>
              <w:t xml:space="preserve"> in the amount of $1,000</w:t>
            </w:r>
          </w:p>
        </w:tc>
        <w:tc>
          <w:tcPr>
            <w:tcW w:w="5148" w:type="dxa"/>
            <w:tcBorders>
              <w:top w:val="single" w:sz="4" w:space="0" w:color="000000"/>
              <w:start w:val="single" w:sz="4" w:space="0" w:color="000000"/>
              <w:bottom w:val="single" w:sz="4" w:space="0" w:color="000000"/>
              <w:end w:val="single" w:sz="4" w:space="0" w:color="000000"/>
            </w:tcBorders>
          </w:tcPr>
          <w:p>
            <w:pPr>
              <w:pStyle w:val="Picture"/>
              <w:keepNext w:val="false"/>
              <w:snapToGrid w:val="false"/>
              <w:spacing w:before="0" w:after="120"/>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120"/>
              <w:rPr/>
            </w:pPr>
            <w:r>
              <w:rPr/>
              <w:t xml:space="preserve">Day 3 TDSP Sends a Restated Invoice </w:t>
            </w:r>
            <w:r>
              <w:rPr>
                <w:b/>
                <w:bCs/>
                <w:color w:val="0000FF"/>
              </w:rPr>
              <w:t xml:space="preserve">125 </w:t>
            </w:r>
            <w:r>
              <w:rPr/>
              <w:t>in the amount of $900</w:t>
            </w:r>
          </w:p>
        </w:tc>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On Day 35, the CR may:</w:t>
            </w:r>
          </w:p>
          <w:p>
            <w:pPr>
              <w:pStyle w:val="Normal"/>
              <w:rPr/>
            </w:pPr>
            <w:r>
              <w:rPr/>
              <w:t xml:space="preserve">CR can reference $1,000 for Invoice </w:t>
            </w:r>
            <w:r>
              <w:rPr>
                <w:b/>
                <w:bCs/>
                <w:color w:val="0000FF"/>
              </w:rPr>
              <w:t>123</w:t>
            </w:r>
            <w:r>
              <w:rPr/>
              <w:t xml:space="preserve"> on Day 35.  On Day 38, the CR can reference one line item for        –$1,000 for Invoice </w:t>
            </w:r>
            <w:r>
              <w:rPr>
                <w:b/>
                <w:bCs/>
                <w:color w:val="0000FF"/>
              </w:rPr>
              <w:t>124</w:t>
            </w:r>
            <w:r>
              <w:rPr/>
              <w:t xml:space="preserve"> and a second line item for $900 for Invoice </w:t>
            </w:r>
            <w:r>
              <w:rPr>
                <w:b/>
                <w:bCs/>
                <w:color w:val="0000FF"/>
              </w:rPr>
              <w:t>125</w:t>
            </w:r>
          </w:p>
          <w:p>
            <w:pPr>
              <w:pStyle w:val="Cover2"/>
              <w:spacing w:before="0" w:after="120"/>
              <w:rPr>
                <w:rFonts w:ascii="Garamond" w:hAnsi="Garamond" w:cs="Garamond"/>
                <w:bCs/>
              </w:rPr>
            </w:pPr>
            <w:r>
              <w:rPr>
                <w:rFonts w:cs="Garamond" w:ascii="Garamond" w:hAnsi="Garamond"/>
                <w:bCs/>
              </w:rPr>
              <w:t>OR</w:t>
            </w:r>
          </w:p>
          <w:p>
            <w:pPr>
              <w:pStyle w:val="Normal"/>
              <w:rPr/>
            </w:pPr>
            <w:r>
              <w:rPr/>
              <w:t xml:space="preserve">CR may send one line item on the remittance advice for the $1,000 for Invoice </w:t>
            </w:r>
            <w:r>
              <w:rPr>
                <w:b/>
                <w:bCs/>
                <w:color w:val="0000FF"/>
              </w:rPr>
              <w:t>123</w:t>
            </w:r>
            <w:r>
              <w:rPr/>
              <w:t xml:space="preserve"> and second line item for –$1,000 for Invoice </w:t>
            </w:r>
            <w:r>
              <w:rPr>
                <w:b/>
                <w:bCs/>
                <w:color w:val="0000FF"/>
              </w:rPr>
              <w:t>124</w:t>
            </w:r>
            <w:r>
              <w:rPr/>
              <w:t xml:space="preserve"> and a third line item for $900 for Invoice </w:t>
            </w:r>
            <w:r>
              <w:rPr>
                <w:b/>
                <w:bCs/>
                <w:color w:val="0000FF"/>
              </w:rPr>
              <w:t>125</w:t>
            </w:r>
          </w:p>
          <w:p>
            <w:pPr>
              <w:pStyle w:val="Picture"/>
              <w:keepNext w:val="false"/>
              <w:rPr>
                <w:b/>
                <w:bCs/>
              </w:rPr>
            </w:pPr>
            <w:r>
              <w:rPr>
                <w:b/>
                <w:bCs/>
                <w:color w:val="FF0000"/>
                <w:u w:val="single"/>
              </w:rPr>
              <w:t>THE CR MAY NOT</w:t>
            </w:r>
            <w:r>
              <w:rPr>
                <w:b/>
                <w:bCs/>
                <w:color w:val="FF0000"/>
              </w:rPr>
              <w:t>:</w:t>
            </w:r>
          </w:p>
          <w:p>
            <w:pPr>
              <w:pStyle w:val="Normal"/>
              <w:rPr/>
            </w:pPr>
            <w:r>
              <w:rPr/>
              <w:t xml:space="preserve">Reference $1,000 for Invoice </w:t>
            </w:r>
            <w:r>
              <w:rPr>
                <w:b/>
                <w:bCs/>
                <w:color w:val="0000FF"/>
              </w:rPr>
              <w:t>123</w:t>
            </w:r>
            <w:r>
              <w:rPr/>
              <w:t xml:space="preserve"> on Day 35 and then on Day 38, take the net difference on Invoice </w:t>
            </w:r>
            <w:r>
              <w:rPr>
                <w:b/>
                <w:bCs/>
                <w:color w:val="0000FF"/>
              </w:rPr>
              <w:t>125</w:t>
            </w:r>
            <w:r>
              <w:rPr/>
              <w:t xml:space="preserve"> for -$100.</w:t>
            </w:r>
          </w:p>
          <w:p>
            <w:pPr>
              <w:pStyle w:val="Normal"/>
              <w:rPr>
                <w:b/>
                <w:bCs/>
              </w:rPr>
            </w:pPr>
            <w:r>
              <w:rPr/>
              <w:t>Take the net on Invoice 125 will leave Invoice 124 open.  Each Invoice received by the CR must be referenced on the remittance advice.</w:t>
            </w:r>
          </w:p>
          <w:p>
            <w:pPr>
              <w:pStyle w:val="Normal"/>
              <w:spacing w:before="0" w:after="120"/>
              <w:rPr>
                <w:b/>
                <w:bCs/>
              </w:rPr>
            </w:pPr>
            <w:r>
              <w:rPr>
                <w:b/>
                <w:bCs/>
              </w:rPr>
            </w:r>
          </w:p>
        </w:tc>
      </w:tr>
    </w:tbl>
    <w:p>
      <w:pPr>
        <w:pStyle w:val="Normal"/>
        <w:rPr/>
      </w:pPr>
      <w:r>
        <w:rPr/>
      </w:r>
      <w:r>
        <w:br w:type="page"/>
      </w:r>
    </w:p>
    <w:p>
      <w:pPr>
        <w:pStyle w:val="Normal"/>
        <w:rPr/>
      </w:pPr>
      <w:r>
        <w:rPr/>
      </w:r>
    </w:p>
    <w:p>
      <w:pPr>
        <w:pStyle w:val="Normal"/>
        <w:rPr/>
      </w:pPr>
      <w:r>
        <w:rPr/>
        <w:t>Example 7:  TDSP sends invoice, then cancels the invoice and sends a restated invoice that is more than the original invoice.</w:t>
      </w:r>
    </w:p>
    <w:tbl>
      <w:tblPr>
        <w:tblW w:w="10296" w:type="dxa"/>
        <w:jc w:val="start"/>
        <w:tblInd w:w="0" w:type="dxa"/>
        <w:tblLayout w:type="fixed"/>
        <w:tblCellMar>
          <w:top w:w="0" w:type="dxa"/>
          <w:start w:w="108" w:type="dxa"/>
          <w:bottom w:w="0" w:type="dxa"/>
          <w:end w:w="108" w:type="dxa"/>
        </w:tblCellMar>
      </w:tblPr>
      <w:tblGrid>
        <w:gridCol w:w="5148"/>
        <w:gridCol w:w="5148"/>
      </w:tblGrid>
      <w:tr>
        <w:trPr/>
        <w:tc>
          <w:tcPr>
            <w:tcW w:w="514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120"/>
              <w:rPr/>
            </w:pPr>
            <w:r>
              <w:rPr/>
              <w:t xml:space="preserve">Day 1 TDSP Sends Invoice </w:t>
            </w:r>
            <w:r>
              <w:rPr>
                <w:b/>
                <w:bCs/>
                <w:color w:val="0000FF"/>
              </w:rPr>
              <w:t xml:space="preserve">123 </w:t>
            </w:r>
            <w:r>
              <w:rPr/>
              <w:t>for $1,000</w:t>
            </w:r>
          </w:p>
        </w:tc>
        <w:tc>
          <w:tcPr>
            <w:tcW w:w="514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120"/>
              <w:rPr/>
            </w:pPr>
            <w:r>
              <w:rPr/>
              <w:t xml:space="preserve">CR must pay Invoice </w:t>
            </w:r>
            <w:r>
              <w:rPr>
                <w:b/>
                <w:bCs/>
                <w:color w:val="0000FF"/>
              </w:rPr>
              <w:t>123</w:t>
            </w:r>
            <w:r>
              <w:rPr>
                <w:b/>
                <w:bCs/>
              </w:rPr>
              <w:t xml:space="preserve"> </w:t>
            </w:r>
            <w:r>
              <w:rPr/>
              <w:t xml:space="preserve">no later than day 35.  </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120"/>
              <w:rPr/>
            </w:pPr>
            <w:r>
              <w:rPr/>
              <w:t xml:space="preserve">Day 3 TDSP Sends a Cancel Invoice </w:t>
            </w:r>
            <w:r>
              <w:rPr>
                <w:b/>
                <w:bCs/>
                <w:color w:val="0000FF"/>
              </w:rPr>
              <w:t>124</w:t>
            </w:r>
            <w:r>
              <w:rPr>
                <w:b/>
                <w:bCs/>
              </w:rPr>
              <w:t xml:space="preserve"> </w:t>
            </w:r>
            <w:r>
              <w:rPr/>
              <w:t>in the amount of $1,000</w:t>
            </w:r>
          </w:p>
        </w:tc>
        <w:tc>
          <w:tcPr>
            <w:tcW w:w="5148"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pPr>
            <w:r>
              <w:rPr/>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120"/>
              <w:rPr/>
            </w:pPr>
            <w:r>
              <w:rPr/>
              <w:t xml:space="preserve">Day 3 TDSP Sends a Restated Invoice </w:t>
            </w:r>
            <w:r>
              <w:rPr>
                <w:b/>
                <w:bCs/>
                <w:color w:val="0000FF"/>
              </w:rPr>
              <w:t>125</w:t>
            </w:r>
            <w:r>
              <w:rPr>
                <w:b/>
                <w:bCs/>
              </w:rPr>
              <w:t xml:space="preserve"> </w:t>
            </w:r>
            <w:r>
              <w:rPr/>
              <w:t>in the amount of $1500</w:t>
            </w:r>
          </w:p>
        </w:tc>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On Day 35, the CR may</w:t>
            </w:r>
          </w:p>
          <w:p>
            <w:pPr>
              <w:pStyle w:val="Normal"/>
              <w:rPr/>
            </w:pPr>
            <w:r>
              <w:rPr/>
              <w:t xml:space="preserve">Send one line item for $1,000 for Invoice </w:t>
            </w:r>
            <w:r>
              <w:rPr>
                <w:b/>
                <w:bCs/>
                <w:color w:val="0000FF"/>
              </w:rPr>
              <w:t xml:space="preserve">123, </w:t>
            </w:r>
            <w:r>
              <w:rPr/>
              <w:t xml:space="preserve">a second line item for  –$1,000 for Invoice </w:t>
            </w:r>
            <w:r>
              <w:rPr>
                <w:b/>
                <w:bCs/>
                <w:color w:val="0000FF"/>
              </w:rPr>
              <w:t>124,</w:t>
            </w:r>
            <w:r>
              <w:rPr>
                <w:b/>
                <w:bCs/>
              </w:rPr>
              <w:t xml:space="preserve"> </w:t>
            </w:r>
            <w:r>
              <w:rPr/>
              <w:t xml:space="preserve">and a third line item for $1500 for Invoice </w:t>
            </w:r>
            <w:r>
              <w:rPr>
                <w:b/>
                <w:bCs/>
                <w:color w:val="0000FF"/>
              </w:rPr>
              <w:t>125</w:t>
            </w:r>
          </w:p>
          <w:p>
            <w:pPr>
              <w:pStyle w:val="Picture"/>
              <w:keepNext w:val="false"/>
              <w:rPr/>
            </w:pPr>
            <w:r>
              <w:rPr/>
              <w:t>OR</w:t>
            </w:r>
          </w:p>
          <w:p>
            <w:pPr>
              <w:pStyle w:val="Normal"/>
              <w:rPr/>
            </w:pPr>
            <w:r>
              <w:rPr/>
              <w:t xml:space="preserve">Send one line item for $1,000 for Invoice </w:t>
            </w:r>
            <w:r>
              <w:rPr>
                <w:b/>
                <w:bCs/>
                <w:color w:val="0000FF"/>
              </w:rPr>
              <w:t>123</w:t>
            </w:r>
            <w:r>
              <w:rPr>
                <w:b/>
                <w:bCs/>
              </w:rPr>
              <w:t xml:space="preserve"> </w:t>
            </w:r>
            <w:r>
              <w:rPr/>
              <w:t xml:space="preserve">on Day 35.  On Day 38, the CR can reference one line item for –$1,000 for Invoice </w:t>
            </w:r>
            <w:r>
              <w:rPr>
                <w:b/>
                <w:bCs/>
                <w:color w:val="0000FF"/>
              </w:rPr>
              <w:t xml:space="preserve">124 </w:t>
            </w:r>
            <w:r>
              <w:rPr/>
              <w:t xml:space="preserve">and a second line item for $1500for Invoice </w:t>
            </w:r>
            <w:r>
              <w:rPr>
                <w:b/>
                <w:bCs/>
                <w:color w:val="0000FF"/>
              </w:rPr>
              <w:t>125</w:t>
            </w:r>
          </w:p>
          <w:p>
            <w:pPr>
              <w:pStyle w:val="Normal"/>
              <w:rPr>
                <w:color w:val="FF0000"/>
                <w:u w:val="single"/>
              </w:rPr>
            </w:pPr>
            <w:r>
              <w:rPr>
                <w:b/>
                <w:bCs/>
                <w:color w:val="FF0000"/>
                <w:u w:val="single"/>
              </w:rPr>
              <w:t>THE CR MAY NOT</w:t>
            </w:r>
          </w:p>
          <w:p>
            <w:pPr>
              <w:pStyle w:val="Normal"/>
              <w:rPr/>
            </w:pPr>
            <w:r>
              <w:rPr/>
              <w:t xml:space="preserve">Reference </w:t>
            </w:r>
            <w:r>
              <w:rPr>
                <w:b/>
                <w:bCs/>
              </w:rPr>
              <w:t>ONLY</w:t>
            </w:r>
            <w:r>
              <w:rPr/>
              <w:t xml:space="preserve"> Invoice </w:t>
            </w:r>
            <w:r>
              <w:rPr>
                <w:b/>
                <w:bCs/>
                <w:color w:val="0000FF"/>
              </w:rPr>
              <w:t>125</w:t>
            </w:r>
            <w:r>
              <w:rPr/>
              <w:t xml:space="preserve"> in the amount of $1500, ignoring Invoice 123 and Invoice 124.</w:t>
            </w:r>
          </w:p>
          <w:p>
            <w:pPr>
              <w:pStyle w:val="Normal"/>
              <w:rPr/>
            </w:pPr>
            <w:r>
              <w:rPr/>
              <w:t xml:space="preserve">OR </w:t>
            </w:r>
          </w:p>
          <w:p>
            <w:pPr>
              <w:pStyle w:val="Normal"/>
              <w:rPr/>
            </w:pPr>
            <w:r>
              <w:rPr/>
              <w:t xml:space="preserve">Reference </w:t>
            </w:r>
            <w:r>
              <w:rPr>
                <w:b/>
                <w:bCs/>
              </w:rPr>
              <w:t>ONLY</w:t>
            </w:r>
            <w:r>
              <w:rPr/>
              <w:t xml:space="preserve"> $1,000 for Invoice </w:t>
            </w:r>
            <w:r>
              <w:rPr>
                <w:b/>
                <w:bCs/>
                <w:color w:val="0000FF"/>
              </w:rPr>
              <w:t>123</w:t>
            </w:r>
            <w:r>
              <w:rPr>
                <w:b/>
                <w:bCs/>
              </w:rPr>
              <w:t xml:space="preserve"> </w:t>
            </w:r>
            <w:r>
              <w:rPr/>
              <w:t xml:space="preserve">on Day 35.  On Day 38, reference the net difference on Invoice </w:t>
            </w:r>
            <w:r>
              <w:rPr>
                <w:b/>
                <w:bCs/>
                <w:color w:val="0000FF"/>
              </w:rPr>
              <w:t>125</w:t>
            </w:r>
            <w:r>
              <w:rPr/>
              <w:t xml:space="preserve"> for $500</w:t>
            </w:r>
          </w:p>
          <w:p>
            <w:pPr>
              <w:pStyle w:val="Normal"/>
              <w:widowControl/>
              <w:bidi w:val="0"/>
              <w:spacing w:before="0" w:after="120"/>
              <w:rPr/>
            </w:pPr>
            <w:r>
              <w:rPr/>
            </w:r>
          </w:p>
        </w:tc>
      </w:tr>
    </w:tbl>
    <w:p>
      <w:pPr>
        <w:pStyle w:val="Normal"/>
        <w:rPr/>
      </w:pPr>
      <w:r>
        <w:rPr/>
      </w:r>
    </w:p>
    <w:p>
      <w:pPr>
        <w:pStyle w:val="Normal"/>
        <w:rPr/>
      </w:pPr>
      <w:r>
        <w:rPr/>
        <w:t>Example 8:  TDSP sends invoice and CR overpays the invoice.</w:t>
      </w:r>
    </w:p>
    <w:tbl>
      <w:tblPr>
        <w:tblW w:w="10296" w:type="dxa"/>
        <w:jc w:val="start"/>
        <w:tblInd w:w="0" w:type="dxa"/>
        <w:tblLayout w:type="fixed"/>
        <w:tblCellMar>
          <w:top w:w="0" w:type="dxa"/>
          <w:start w:w="108" w:type="dxa"/>
          <w:bottom w:w="0" w:type="dxa"/>
          <w:end w:w="108" w:type="dxa"/>
        </w:tblCellMar>
      </w:tblPr>
      <w:tblGrid>
        <w:gridCol w:w="5148"/>
        <w:gridCol w:w="5148"/>
      </w:tblGrid>
      <w:tr>
        <w:trPr/>
        <w:tc>
          <w:tcPr>
            <w:tcW w:w="514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120"/>
              <w:rPr/>
            </w:pPr>
            <w:r>
              <w:rPr/>
              <w:t xml:space="preserve">TDSP Sends Invoice </w:t>
            </w:r>
            <w:r>
              <w:rPr>
                <w:b/>
                <w:bCs/>
                <w:color w:val="0000FF"/>
              </w:rPr>
              <w:t>123</w:t>
            </w:r>
            <w:r>
              <w:rPr/>
              <w:t xml:space="preserve"> for $1,000</w:t>
            </w:r>
          </w:p>
        </w:tc>
        <w:tc>
          <w:tcPr>
            <w:tcW w:w="514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120"/>
              <w:rPr/>
            </w:pPr>
            <w:r>
              <w:rPr/>
              <w:t xml:space="preserve">CR must pay Invoice </w:t>
            </w:r>
            <w:r>
              <w:rPr>
                <w:b/>
                <w:bCs/>
                <w:color w:val="0000FF"/>
              </w:rPr>
              <w:t>123</w:t>
            </w:r>
            <w:r>
              <w:rPr/>
              <w:t xml:space="preserve"> no later than day 35.  CR pays $1,500 on Day 35.</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0" w:after="120"/>
              <w:rPr/>
            </w:pPr>
            <w:r>
              <w:rPr/>
              <w:t>TDSP Sends nothing to indicate the account has been overpaid.</w:t>
            </w:r>
          </w:p>
        </w:tc>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 xml:space="preserve">When the CR discovers the overpayment, they must provide a line item on the Remittance Advice referencing Invoice 123 in the amount of -$500.  This may happen the following month, the following year, or never.  The money overpayment will still be on the account until the CR takes the credit and associates it with Invoice </w:t>
            </w:r>
            <w:r>
              <w:rPr>
                <w:b/>
                <w:bCs/>
                <w:color w:val="0000FF"/>
              </w:rPr>
              <w:t>123</w:t>
            </w:r>
            <w:r>
              <w:rPr/>
              <w:t>.</w:t>
            </w:r>
          </w:p>
          <w:p>
            <w:pPr>
              <w:pStyle w:val="Normal"/>
              <w:widowControl/>
              <w:bidi w:val="0"/>
              <w:spacing w:before="0" w:after="120"/>
              <w:rPr/>
            </w:pPr>
            <w:r>
              <w:rPr>
                <w:b/>
                <w:bCs/>
                <w:color w:val="FF0000"/>
                <w:u w:val="single"/>
              </w:rPr>
              <w:t>Best Practice</w:t>
            </w:r>
            <w:r>
              <w:rPr>
                <w:color w:val="FF0000"/>
                <w:u w:val="single"/>
              </w:rPr>
              <w:t>:</w:t>
            </w:r>
            <w:r>
              <w:rPr/>
              <w:t xml:space="preserve">  TDSP contacts the TDSP to let them know the may take a $500 credit by referencing Invoice 123.</w:t>
            </w:r>
          </w:p>
        </w:tc>
      </w:tr>
    </w:tbl>
    <w:p>
      <w:pPr>
        <w:pStyle w:val="Normal"/>
        <w:rPr/>
      </w:pPr>
      <w:r>
        <w:rPr/>
      </w:r>
    </w:p>
    <w:p>
      <w:pPr>
        <w:pStyle w:val="Normal"/>
        <w:rPr/>
      </w:pPr>
      <w:r>
        <w:rPr/>
        <w:t xml:space="preserve">Note:  There is no true up.  If a CR drops a customer on an ESI ID where the CR has overpaid and still has unused credits there will be no refund to the CR.  The CR is responsible for taking the credit by referencing the appropriate Invoice Number on the remittance advice.  </w:t>
      </w:r>
    </w:p>
    <w:p>
      <w:pPr>
        <w:pStyle w:val="Heading2"/>
        <w:ind w:hanging="0" w:start="0"/>
        <w:rPr/>
      </w:pPr>
      <w:bookmarkStart w:id="6" w:name="__RefHeading___Toc350110"/>
      <w:bookmarkEnd w:id="6"/>
      <w:r>
        <w:rPr/>
        <w:t>Re-associating Trace Number in 820_02 Remittance Advice with Payment</w:t>
      </w:r>
    </w:p>
    <w:p>
      <w:pPr>
        <w:pStyle w:val="Normal"/>
        <w:rPr/>
      </w:pPr>
      <w:r>
        <w:rPr/>
        <w:t xml:space="preserve">The TRN01 shows that “3” – Financial Reassociation Trace Number is the valid code to be sent to allow “the matching of payment and remittance information originated separately”.  </w:t>
      </w:r>
    </w:p>
    <w:p>
      <w:pPr>
        <w:pStyle w:val="Index3"/>
        <w:rPr/>
      </w:pPr>
      <w:r>
        <w:rPr/>
        <w:t>The Automated Clearing House generates a Trace number when the payment is scheduled.  This number allows the CR to track and communicate about a payment with the bank.  This is one method for providing the Trace number.</w:t>
      </w:r>
    </w:p>
    <w:p>
      <w:pPr>
        <w:pStyle w:val="Index4"/>
        <w:numPr>
          <w:ilvl w:val="0"/>
          <w:numId w:val="8"/>
        </w:numPr>
        <w:tabs>
          <w:tab w:val="clear" w:pos="4080"/>
        </w:tabs>
        <w:spacing w:lineRule="auto" w:line="240"/>
        <w:rPr/>
      </w:pPr>
      <w:r>
        <w:rPr/>
        <w:t xml:space="preserve">Another method of reassociating payments and remittance information that originate separately allows for a reference number created by the CR.  This number can be included in a CCD+ that allows one addenda record to accompany payment instruction through ACH system.  The Originator to Beneficiary Information (OBI) Field OBI Field accomplishes the same thing for a Fed Wire.  The addenda record and OBI Field carry the CR-originated reference number.  The ACH system or Fed Wire System passes this addenda record to the TDSP’s banking institution.  The TDSP’s banking institution posts the payment to the TDSP’s account with this reference number.  </w:t>
      </w:r>
    </w:p>
    <w:p>
      <w:pPr>
        <w:pStyle w:val="Normal"/>
        <w:numPr>
          <w:ilvl w:val="0"/>
          <w:numId w:val="8"/>
        </w:numPr>
        <w:rPr/>
      </w:pPr>
      <w:r>
        <w:rPr/>
        <w:t>A CCD does not carry the Addenda Record (80 character reference number) and, therefore, should be prohibited if the payment and remittance advice are delivered separately.</w:t>
      </w:r>
    </w:p>
    <w:p>
      <w:pPr>
        <w:pStyle w:val="Normal"/>
        <w:numPr>
          <w:ilvl w:val="0"/>
          <w:numId w:val="8"/>
        </w:numPr>
        <w:rPr/>
      </w:pPr>
      <w:r>
        <w:rPr/>
        <w:t>Electronic Payment options:</w:t>
      </w:r>
    </w:p>
    <w:p>
      <w:pPr>
        <w:pStyle w:val="Normal"/>
        <w:numPr>
          <w:ilvl w:val="1"/>
          <w:numId w:val="8"/>
        </w:numPr>
        <w:rPr/>
      </w:pPr>
      <w:r>
        <w:rPr/>
        <w:t>CCD – No addenda record to carry trace or reference number (not recommended)</w:t>
      </w:r>
    </w:p>
    <w:p>
      <w:pPr>
        <w:pStyle w:val="Normal"/>
        <w:numPr>
          <w:ilvl w:val="1"/>
          <w:numId w:val="8"/>
        </w:numPr>
        <w:rPr/>
      </w:pPr>
      <w:r>
        <w:rPr/>
        <w:t>CCD+ - 80-Character Addenda record with trace or reference number travels with payment thru bank</w:t>
      </w:r>
    </w:p>
    <w:p>
      <w:pPr>
        <w:pStyle w:val="Normal"/>
        <w:numPr>
          <w:ilvl w:val="1"/>
          <w:numId w:val="8"/>
        </w:numPr>
        <w:rPr/>
      </w:pPr>
      <w:r>
        <w:rPr/>
        <w:t>Fed Wire – 140-Character “Originator to Beneficiary Information” (OBI) Field 6000 of Fed Wire File Layout</w:t>
      </w:r>
    </w:p>
    <w:p>
      <w:pPr>
        <w:pStyle w:val="Normal"/>
        <w:numPr>
          <w:ilvl w:val="1"/>
          <w:numId w:val="8"/>
        </w:numPr>
        <w:rPr/>
      </w:pPr>
      <w:r>
        <w:rPr/>
        <w:t>CTX – Payment instructions and all Remittance Advice information travel together via bank</w:t>
      </w:r>
    </w:p>
    <w:p>
      <w:pPr>
        <w:pStyle w:val="Index3"/>
        <w:rPr/>
      </w:pPr>
      <w:r>
        <w:rPr/>
        <w:t>A one-to-one correlation must be maintained between payments and remittance advices.  For example, every payment trace/reference number must match a remittance advice trace/reference number.  It is acceptable for one payment and one remittance advice to include many invoices.  It is not acceptable for several payments to reference one remittance advice.  The trace/reference number must be unique for each associated payment and remittance advice.</w:t>
      </w:r>
    </w:p>
    <w:p>
      <w:pPr>
        <w:pStyle w:val="Index3"/>
        <w:rPr/>
      </w:pPr>
      <w:r>
        <w:rPr/>
        <w:t xml:space="preserve">The Addenda Record and OBI Field is provided for the benefit of the receiver, which in this case is the TDSP.  This addenda record and OBI Field provides information to assist the TDSP in reconciling the payment with the Remittance advice when they are transmitted via separate methods (e.g., payment via bank and remittance advice via GISB).  </w:t>
      </w:r>
    </w:p>
    <w:p>
      <w:pPr>
        <w:pStyle w:val="Recommendation"/>
        <w:numPr>
          <w:ilvl w:val="0"/>
          <w:numId w:val="2"/>
        </w:numPr>
        <w:ind w:hanging="0" w:start="0"/>
        <w:rPr/>
      </w:pPr>
      <w:r>
        <w:rPr/>
        <w:t>Format the Addenda Record of the CCD+ and the OBI Field of the Fed Wire so that the TDSP can parse out information critical for applying and matching payments to remittance advices. Language prohibiting the use of a CCD and formatting examples must be submitted in a Change Control to TX SET to be included in a redline 820 Implementaiton Guide in a seciton entitled “820 Defnition and Use”.</w:t>
      </w:r>
    </w:p>
    <w:p>
      <w:pPr>
        <w:pStyle w:val="Index3"/>
        <w:rPr/>
      </w:pPr>
      <w:r>
        <w:rPr/>
        <w:t>Since the addenda record and OBI Field is provided for TDSP reconciliation purposes, the market propose a standard format for the Addenda Record (for ACH) and the OBI Field (for Wire Transfer).  A suggested format is as follows:  Field 1: Positions 1 through 15 reserved for DUNS number or DUNS +4 Number; Field 2: Positions 16 – 45 reserved for trace/reference number.  Spaces must be used to pad the DUNS number positions 10-15 if sending DUNS number.  Spaces must be used to pad the DUNS number field positions 14 and 15 if providing DUNS +4 number.  For example:</w:t>
      </w:r>
    </w:p>
    <w:p>
      <w:pPr>
        <w:pStyle w:val="Index3"/>
        <w:rPr/>
      </w:pPr>
      <w:r>
        <w:rPr/>
        <w:t>Addenda Record for ACH and OBI field for Wire Transfer</w:t>
      </w:r>
    </w:p>
    <w:tbl>
      <w:tblPr>
        <w:tblW w:w="9540" w:type="dxa"/>
        <w:jc w:val="start"/>
        <w:tblInd w:w="288" w:type="dxa"/>
        <w:tblLayout w:type="fixed"/>
        <w:tblCellMar>
          <w:top w:w="0" w:type="dxa"/>
          <w:start w:w="108" w:type="dxa"/>
          <w:bottom w:w="0" w:type="dxa"/>
          <w:end w:w="108" w:type="dxa"/>
        </w:tblCellMar>
      </w:tblPr>
      <w:tblGrid>
        <w:gridCol w:w="2250"/>
        <w:gridCol w:w="7290"/>
      </w:tblGrid>
      <w:tr>
        <w:trPr>
          <w:trHeight w:val="728" w:hRule="atLeast"/>
        </w:trPr>
        <w:tc>
          <w:tcPr>
            <w:tcW w:w="2250" w:type="dxa"/>
            <w:tcBorders>
              <w:top w:val="single" w:sz="4" w:space="0" w:color="000000"/>
              <w:start w:val="single" w:sz="4" w:space="0" w:color="000000"/>
              <w:bottom w:val="single" w:sz="4" w:space="0" w:color="000000"/>
              <w:end w:val="single" w:sz="4" w:space="0" w:color="000000"/>
            </w:tcBorders>
          </w:tcPr>
          <w:p>
            <w:pPr>
              <w:pStyle w:val="Index3"/>
              <w:spacing w:before="0" w:after="120"/>
              <w:rPr>
                <w:rFonts w:ascii="Courier New" w:hAnsi="Courier New" w:cs="Courier New"/>
              </w:rPr>
            </w:pPr>
            <w:r>
              <w:rPr>
                <w:rFonts w:cs="Courier New" w:ascii="Courier New" w:hAnsi="Courier New"/>
              </w:rPr>
              <w:t xml:space="preserve">Duns Number </w:t>
            </w:r>
          </w:p>
        </w:tc>
        <w:tc>
          <w:tcPr>
            <w:tcW w:w="7290" w:type="dxa"/>
            <w:tcBorders>
              <w:top w:val="single" w:sz="4" w:space="0" w:color="000000"/>
              <w:start w:val="single" w:sz="4" w:space="0" w:color="000000"/>
              <w:bottom w:val="single" w:sz="4" w:space="0" w:color="000000"/>
              <w:end w:val="single" w:sz="4" w:space="0" w:color="000000"/>
            </w:tcBorders>
          </w:tcPr>
          <w:p>
            <w:pPr>
              <w:pStyle w:val="Index3"/>
              <w:spacing w:before="0" w:after="120"/>
              <w:rPr>
                <w:rFonts w:ascii="Courier New" w:hAnsi="Courier New" w:cs="Courier New"/>
              </w:rPr>
            </w:pPr>
            <w:r>
              <w:rPr>
                <w:rFonts w:cs="Courier New" w:ascii="Courier New" w:hAnsi="Courier New"/>
              </w:rPr>
              <w:t>999888777      TRACE NUMBER 1M345566677BB8877</w:t>
            </w:r>
          </w:p>
        </w:tc>
      </w:tr>
      <w:tr>
        <w:trPr/>
        <w:tc>
          <w:tcPr>
            <w:tcW w:w="2250" w:type="dxa"/>
            <w:tcBorders>
              <w:top w:val="single" w:sz="4" w:space="0" w:color="000000"/>
              <w:start w:val="single" w:sz="4" w:space="0" w:color="000000"/>
              <w:bottom w:val="single" w:sz="4" w:space="0" w:color="000000"/>
              <w:end w:val="single" w:sz="4" w:space="0" w:color="000000"/>
            </w:tcBorders>
          </w:tcPr>
          <w:p>
            <w:pPr>
              <w:pStyle w:val="Index3"/>
              <w:spacing w:before="0" w:after="120"/>
              <w:rPr>
                <w:rFonts w:ascii="Courier New" w:hAnsi="Courier New" w:cs="Courier New"/>
              </w:rPr>
            </w:pPr>
            <w:r>
              <w:rPr>
                <w:rFonts w:cs="Courier New" w:ascii="Courier New" w:hAnsi="Courier New"/>
              </w:rPr>
              <w:t>Duns +4</w:t>
            </w:r>
          </w:p>
        </w:tc>
        <w:tc>
          <w:tcPr>
            <w:tcW w:w="7290" w:type="dxa"/>
            <w:tcBorders>
              <w:top w:val="single" w:sz="4" w:space="0" w:color="000000"/>
              <w:start w:val="single" w:sz="4" w:space="0" w:color="000000"/>
              <w:bottom w:val="single" w:sz="4" w:space="0" w:color="000000"/>
              <w:end w:val="single" w:sz="4" w:space="0" w:color="000000"/>
            </w:tcBorders>
          </w:tcPr>
          <w:p>
            <w:pPr>
              <w:pStyle w:val="Index3"/>
              <w:spacing w:before="0" w:after="120"/>
              <w:rPr>
                <w:rFonts w:ascii="Courier New" w:hAnsi="Courier New" w:cs="Courier New"/>
              </w:rPr>
            </w:pPr>
            <w:r>
              <w:rPr>
                <w:rFonts w:cs="Courier New" w:ascii="Courier New" w:hAnsi="Courier New"/>
              </w:rPr>
              <w:t>9998887770001  TRACE NUMBER 1M345566677BB8877</w:t>
            </w:r>
          </w:p>
        </w:tc>
      </w:tr>
    </w:tbl>
    <w:p>
      <w:pPr>
        <w:pStyle w:val="Index3"/>
        <w:rPr/>
      </w:pPr>
      <w:r>
        <w:rPr/>
      </w:r>
    </w:p>
    <w:p>
      <w:pPr>
        <w:pStyle w:val="Index3"/>
        <w:rPr/>
      </w:pPr>
      <w:r>
        <w:rPr/>
        <w:t xml:space="preserve">This format allows the TDSP to parse through the addenda record and OBI Field and retrieve two pieces of data that are essential for successfully processing payments and matching remittance advices.  TX SET and ERCOT recognize the DUNS number as the official entity identifier.  Providing this unique identifier in the Addenda Record and OBI Field allows the TDSP to apply payments to the correct CR.  The trace/reference number provided in positions 16-45 allows for a 30-character identifier to move with the money through the banking system.  </w:t>
      </w:r>
    </w:p>
    <w:p>
      <w:pPr>
        <w:pStyle w:val="Index3"/>
        <w:rPr/>
      </w:pPr>
      <w:r>
        <w:rPr/>
        <w:t>This same 30-character identifier must be provided in the 820_02 in the TRN segment.  Of course the DUSN or DUNS +4 identifier will be provided in the N1*PR segment.</w:t>
      </w:r>
    </w:p>
    <w:p>
      <w:pPr>
        <w:pStyle w:val="Index3"/>
        <w:rPr/>
      </w:pPr>
      <w:r>
        <w:rPr/>
        <w:t xml:space="preserve">Please note that a CR is not required to provide the entire 30 characters, nor is it required to pad the field with spaces when all 30 characters are not provided. CRs may use any number of characters up to and including 30 characters to uniquely identify payments and remittance.  A combination of Capital Letters and Numbers are acceptable.  Please do not use spaces, dashes, slashes or special characters in the trace/reference number. </w:t>
      </w:r>
    </w:p>
    <w:p>
      <w:pPr>
        <w:pStyle w:val="Heading2"/>
        <w:ind w:hanging="0" w:start="0"/>
        <w:rPr/>
      </w:pPr>
      <w:bookmarkStart w:id="7" w:name="__RefHeading___Toc350111"/>
      <w:bookmarkEnd w:id="7"/>
      <w:r>
        <w:rPr/>
        <w:t>Remittance Advice Total Matches Payment Total</w:t>
      </w:r>
    </w:p>
    <w:p>
      <w:pPr>
        <w:pStyle w:val="Normal"/>
        <w:rPr/>
      </w:pPr>
      <w:r>
        <w:rPr/>
        <w:t xml:space="preserve">The remittance advice total must match the total payment.  If the total amount of the remittance advice is negative resulting in no payment being sent to the bank, the remittance advice is not sent.  The CR must ensure that the remittance advice and the payment instruction have the same (matching) trace /reference numbers.  The TDSP cannot match a remittance advice trace/reference number to a payment when a payment is not made.  </w:t>
      </w:r>
    </w:p>
    <w:p>
      <w:pPr>
        <w:pStyle w:val="Normal"/>
        <w:rPr/>
      </w:pPr>
      <w:r>
        <w:rPr/>
        <w:t>A negative remittance advice must be held for one day with the expectation that the next day’s payments will force the negative remittance advice to a positive status.  If the negative remittance advice does not become positive within one business day, the CR must contact the TDSP to try to resolve the issue manually.  The same process shall be followed for a “zero” dollar payment.  The zero dollar payment shall be held for one business day with the expectation that the following business day will force the payment amount over zero.</w:t>
      </w:r>
    </w:p>
    <w:p>
      <w:pPr>
        <w:pStyle w:val="Normal"/>
        <w:rPr/>
      </w:pPr>
      <w:r>
        <w:rPr/>
        <w:t>ANSI standards must be followed when providing dollar amounts.  The BPR02 and RMR04 are designated as “R”eal numbers.  The describes how to provide a Real Number:</w:t>
      </w:r>
    </w:p>
    <w:p>
      <w:pPr>
        <w:pStyle w:val="Normal"/>
        <w:rPr/>
      </w:pPr>
      <w:r>
        <w:rPr/>
        <w:t>It is not necessary to include the decimal for whole numbers (125.00 or 125.) and do not include leading zeros. Do not include commas in the number (use 1000 rather than 1,000).</w:t>
      </w:r>
    </w:p>
    <w:p>
      <w:pPr>
        <w:pStyle w:val="Normal"/>
        <w:rPr/>
      </w:pPr>
      <w:r>
        <w:rPr/>
        <w:t xml:space="preserve">The minus sign is included if it is negative. Do not include: commas or plus signs. Leading zeros should be suppressed unless needed to satisfy the minimum length. Trailing zeros at the end should be omitted if the value includes a decimal point. Signs and decimal points do not count toward length. </w:t>
      </w:r>
    </w:p>
    <w:p>
      <w:pPr>
        <w:pStyle w:val="Normal"/>
        <w:ind w:end="144"/>
        <w:rPr/>
      </w:pPr>
      <w:r>
        <w:rPr/>
        <w:t>Monetary is sent with a maximum of two digits to the right of the decimal point, e.g., 525.15; while adhering to the ANSI rules for providing Real numbers.  For instance, if the Monetary Amount reported is:</w:t>
      </w:r>
    </w:p>
    <w:p>
      <w:pPr>
        <w:pStyle w:val="Normal"/>
        <w:ind w:end="144"/>
        <w:rPr/>
      </w:pPr>
      <w:r>
        <w:rPr/>
        <w:t>525                     then the BPR02/RMR04 is reported as                525 or 525.00</w:t>
      </w:r>
    </w:p>
    <w:p>
      <w:pPr>
        <w:pStyle w:val="Normal"/>
        <w:ind w:end="144"/>
        <w:rPr/>
      </w:pPr>
      <w:r>
        <w:rPr/>
        <w:t>525.12                then the BPR02/RMR04 is reported as                525.12</w:t>
      </w:r>
    </w:p>
    <w:p>
      <w:pPr>
        <w:pStyle w:val="Normal"/>
        <w:ind w:end="144"/>
        <w:rPr/>
      </w:pPr>
      <w:r>
        <w:rPr/>
        <w:t>525.10                then the BPR02 is reported as                               525.1  or 525.10</w:t>
      </w:r>
    </w:p>
    <w:p>
      <w:pPr>
        <w:pStyle w:val="Normal"/>
        <w:ind w:end="144"/>
        <w:rPr/>
      </w:pPr>
      <w:r>
        <w:rPr/>
        <w:t>-500.15                then the RMR04 is reported as                           -500.15</w:t>
      </w:r>
    </w:p>
    <w:p>
      <w:pPr>
        <w:pStyle w:val="Normal"/>
        <w:ind w:end="144"/>
        <w:rPr/>
      </w:pPr>
      <w:r>
        <w:rPr/>
        <w:t>.90                       then the RMR04/BPR02 is reported as                     .90 or .9</w:t>
      </w:r>
    </w:p>
    <w:p>
      <w:pPr>
        <w:pStyle w:val="Normal"/>
        <w:ind w:end="144"/>
        <w:rPr/>
      </w:pPr>
      <w:r>
        <w:rPr/>
        <w:t xml:space="preserve">Please note that the BPR02 cannot be negative but negative values are acceptable for the RMR04. </w:t>
      </w:r>
    </w:p>
    <w:p>
      <w:pPr>
        <w:pStyle w:val="Normal"/>
        <w:ind w:end="144"/>
        <w:rPr/>
      </w:pPr>
      <w:r>
        <w:rPr/>
        <w:t>Leading zeros are suppressed and trailing zeros are truncated.  Please refer to ANSI ASC X12 Version 004010 for further information on ANSI data elements, segments and loop usage and requirements.</w:t>
      </w:r>
    </w:p>
    <w:p>
      <w:pPr>
        <w:pStyle w:val="Recommendation"/>
        <w:numPr>
          <w:ilvl w:val="0"/>
          <w:numId w:val="2"/>
        </w:numPr>
        <w:ind w:hanging="0" w:start="0"/>
        <w:rPr/>
      </w:pPr>
      <w:r>
        <w:rPr/>
        <w:t>Recommend that this section be agreed on by the market and a Change Control be created for TX SET. Language and examples must be submitted in a Change Control to TX SET to be included in a redline 820 Implementaiton Guide in a seciton entitled “820 Defnition and Use”.</w:t>
      </w:r>
    </w:p>
    <w:p>
      <w:pPr>
        <w:pStyle w:val="Heading2"/>
        <w:ind w:hanging="0" w:start="0"/>
        <w:rPr/>
      </w:pPr>
      <w:bookmarkStart w:id="8" w:name="__RefHeading___Toc350112"/>
      <w:bookmarkEnd w:id="8"/>
      <w:r>
        <w:rPr/>
        <w:t>Warehousing an 820_02 Remittance Advice</w:t>
      </w:r>
    </w:p>
    <w:p>
      <w:pPr>
        <w:pStyle w:val="Normal"/>
        <w:rPr/>
      </w:pPr>
      <w:r>
        <w:rPr/>
        <w:t>There is no documentation that outlines how far in advance of a payment an 820_02 Remittance Advice can be sent point-to-point to the TDSP.  It is assumed that when the payment instruction and the remittance advice are generated separately, the TDSP will probably need to warehouse the 820_02 remittance advice for a few days.  This is because there is normally two-day delay on the bank’s side from the time payment instructions received by the CR’s bank cause the money to be deposited in the TDSP’s account.  .  One TDSP suggested that an 820_02 could be received up to 5 business days prior to the money being deposited their account. If a CR settles with a deposit on Day 35, the CR could send the 820_02 via GISB no earlier than Day 30.</w:t>
      </w:r>
    </w:p>
    <w:p>
      <w:pPr>
        <w:pStyle w:val="Normal"/>
        <w:rPr/>
      </w:pPr>
      <w:r>
        <w:rPr/>
        <w:t>Language shall also be added that clearly states that the CR cannot alter the payment amount in the payment instruction to the bank once the remittance advice has been transmitted to the TDSP.  The trace/reference number provided in the payment must match the remittance advice trace/remittance number and that the payment amount in both transactions must match, so modifying the payment amount or addenda record/OBI Field information after the remittance advice has been sent to the TDSP is prohibited..</w:t>
      </w:r>
    </w:p>
    <w:p>
      <w:pPr>
        <w:pStyle w:val="Recommendation"/>
        <w:numPr>
          <w:ilvl w:val="0"/>
          <w:numId w:val="2"/>
        </w:numPr>
        <w:ind w:hanging="0" w:start="0"/>
        <w:rPr/>
      </w:pPr>
      <w:r>
        <w:rPr/>
        <w:t>Recommend that a when a CR sends a payment and remittance advice separately, the CR may send the remittance advice only up to ten days prior to depositing the funds in the TDSP account.  Language and examples must be submitted in a Change Control to TX SET to be included in a redline 820 Implementaiton Guide in a seciton entitled “820 Defnition and Use”.</w:t>
      </w:r>
    </w:p>
    <w:p>
      <w:pPr>
        <w:pStyle w:val="Heading2"/>
        <w:ind w:hanging="0" w:start="0"/>
        <w:rPr/>
      </w:pPr>
      <w:bookmarkStart w:id="9" w:name="__RefHeading___Toc350113"/>
      <w:bookmarkEnd w:id="9"/>
      <w:r>
        <w:rPr/>
        <w:t>Requirements for Changing Banking Institutions</w:t>
      </w:r>
    </w:p>
    <w:p>
      <w:pPr>
        <w:pStyle w:val="Index2"/>
        <w:rPr/>
      </w:pPr>
      <w:r>
        <w:rPr/>
        <w:t>The 820_02 Remittance Advice and the Retesting Guidelines may need to be modified to provide guidelines to follow when the CR or TDSP changes banking institutions or when a one bank merges with another bank.  The market should outline the guidelines for when and how MPs notify trading partners if:</w:t>
      </w:r>
    </w:p>
    <w:p>
      <w:pPr>
        <w:pStyle w:val="Index2"/>
        <w:numPr>
          <w:ilvl w:val="0"/>
          <w:numId w:val="3"/>
        </w:numPr>
        <w:rPr/>
      </w:pPr>
      <w:r>
        <w:rPr/>
        <w:t>They change banking institutions.  New routing codes and account numbers should be tested.  Remittance advice may be requested if payment and remittance advice travel via the bank.</w:t>
      </w:r>
    </w:p>
    <w:p>
      <w:pPr>
        <w:pStyle w:val="Index2"/>
        <w:numPr>
          <w:ilvl w:val="0"/>
          <w:numId w:val="3"/>
        </w:numPr>
        <w:rPr/>
      </w:pPr>
      <w:r>
        <w:rPr/>
        <w:t>Their bank merges with another bank.  Potentially same issues as above.  In addition, mergers may change the format of the remittance advice.</w:t>
      </w:r>
    </w:p>
    <w:p>
      <w:pPr>
        <w:pStyle w:val="Index2"/>
        <w:numPr>
          <w:ilvl w:val="0"/>
          <w:numId w:val="3"/>
        </w:numPr>
        <w:rPr/>
      </w:pPr>
      <w:r>
        <w:rPr/>
        <w:t>They decide to direct payments to a new account.</w:t>
      </w:r>
    </w:p>
    <w:p>
      <w:pPr>
        <w:pStyle w:val="Index2"/>
        <w:numPr>
          <w:ilvl w:val="0"/>
          <w:numId w:val="3"/>
        </w:numPr>
        <w:rPr/>
      </w:pPr>
      <w:r>
        <w:rPr/>
        <w:t>A TDSP or CR Bank decides to upgrade to a newer release of ANSI standards.</w:t>
      </w:r>
    </w:p>
    <w:p>
      <w:pPr>
        <w:pStyle w:val="Index2"/>
        <w:rPr/>
      </w:pPr>
      <w:r>
        <w:rPr/>
        <w:t>Retesting guidelines should be modified to outline testing requirements for the items above.  Requirements may include:</w:t>
      </w:r>
    </w:p>
    <w:p>
      <w:pPr>
        <w:pStyle w:val="Index2"/>
        <w:numPr>
          <w:ilvl w:val="0"/>
          <w:numId w:val="6"/>
        </w:numPr>
        <w:rPr/>
      </w:pPr>
      <w:r>
        <w:rPr/>
        <w:t xml:space="preserve">Prenote </w:t>
      </w:r>
    </w:p>
    <w:p>
      <w:pPr>
        <w:pStyle w:val="Index2"/>
        <w:numPr>
          <w:ilvl w:val="0"/>
          <w:numId w:val="6"/>
        </w:numPr>
        <w:rPr/>
      </w:pPr>
      <w:r>
        <w:rPr/>
        <w:t>Live invoice payment test where payment is under $10</w:t>
      </w:r>
    </w:p>
    <w:p>
      <w:pPr>
        <w:pStyle w:val="Index2"/>
        <w:numPr>
          <w:ilvl w:val="0"/>
          <w:numId w:val="6"/>
        </w:numPr>
        <w:rPr/>
      </w:pPr>
      <w:r>
        <w:rPr/>
        <w:t>Penny test</w:t>
      </w:r>
    </w:p>
    <w:p>
      <w:pPr>
        <w:pStyle w:val="Index2"/>
        <w:numPr>
          <w:ilvl w:val="0"/>
          <w:numId w:val="6"/>
        </w:numPr>
        <w:rPr/>
      </w:pPr>
      <w:r>
        <w:rPr/>
        <w:t>Testing with trading partners to ensure that payments and remittance advices can be successfully reconciled after a bank upgrade to a new release of ANSI standards.</w:t>
      </w:r>
    </w:p>
    <w:p>
      <w:pPr>
        <w:pStyle w:val="Recommendation"/>
        <w:numPr>
          <w:ilvl w:val="0"/>
          <w:numId w:val="2"/>
        </w:numPr>
        <w:ind w:hanging="0" w:start="0"/>
        <w:rPr/>
      </w:pPr>
      <w:r>
        <w:rPr/>
        <w:t>Recommend modifying the Retesting Guidelines to include examles of when testing is required in situations noted above.  Request should be given for TTPT to revise the document and submit to RMS for approval.</w:t>
      </w:r>
    </w:p>
    <w:p>
      <w:pPr>
        <w:pStyle w:val="Heading2"/>
        <w:ind w:hanging="0" w:start="0"/>
        <w:rPr/>
      </w:pPr>
      <w:bookmarkStart w:id="10" w:name="__RefHeading___Toc350114"/>
      <w:bookmarkEnd w:id="10"/>
      <w:r>
        <w:rPr/>
        <w:t>Bank Generated 820 Payment and Remittance Advice (Combo) vs. Payment and Remittance Advice Originating Separately</w:t>
      </w:r>
    </w:p>
    <w:p>
      <w:pPr>
        <w:pStyle w:val="Normal"/>
        <w:rPr/>
      </w:pPr>
      <w:r>
        <w:rPr/>
        <w:t>Change Control 235 requires trace number, invoice number, associated amount, cross-reference number and ESI ID to be included in a combo 820.  Should the market also require DUNS numbers since this is the agreed-upon standard for MP identification?</w:t>
      </w:r>
    </w:p>
    <w:p>
      <w:pPr>
        <w:pStyle w:val="Recommendation"/>
        <w:numPr>
          <w:ilvl w:val="0"/>
          <w:numId w:val="2"/>
        </w:numPr>
        <w:ind w:hanging="0" w:start="0"/>
        <w:rPr/>
      </w:pPr>
      <w:r>
        <w:rPr/>
        <w:t>Recommend that the market agree on data items that are critical for the TDSP to apply payments.  Change Control 235 should be withdrawn and reissued as a new change control with the items that RMS agree are required.</w:t>
      </w:r>
    </w:p>
    <w:p>
      <w:pPr>
        <w:pStyle w:val="Heading2"/>
        <w:ind w:hanging="0" w:start="0"/>
        <w:rPr/>
      </w:pPr>
      <w:bookmarkStart w:id="11" w:name="__RefHeading___Toc350115"/>
      <w:bookmarkEnd w:id="11"/>
      <w:r>
        <w:rPr/>
        <w:t>Late Payment Assessments</w:t>
      </w:r>
    </w:p>
    <w:p>
      <w:pPr>
        <w:pStyle w:val="Normal"/>
        <w:rPr/>
      </w:pPr>
      <w:r>
        <w:rPr/>
        <w:t>A CR must send a valid payment and a valid 820 (trace numbers must match, payment amount must match, etc.) by Day 35 or the TDSP’s system will assess Late Payment fees.  A CR may make a valid payment and the money may be sitting in the TDSP’s account, but if the Remittance Advice has not been received or does not contain the information necessary to post the payment (trace number, DUNs Number, Invoice Number, etc.) the TDSP is unable to post the payment to the proper account.  When the payment is not posted by Day 35, Late Payment Fees are assessed.  To reiterate, it is necessary for the payment to reach the TDSP’s bank account by 5 PM and a properly formatted, valid remittance advice to reach the TDSP by 5 PM by Day 35 to allow the TDSP to accurately post payment and avoid Late Payment Charges being assessed.</w:t>
      </w:r>
    </w:p>
    <w:p>
      <w:pPr>
        <w:pStyle w:val="Recommendation"/>
        <w:numPr>
          <w:ilvl w:val="0"/>
          <w:numId w:val="2"/>
        </w:numPr>
        <w:ind w:hanging="0" w:start="0"/>
        <w:rPr/>
      </w:pPr>
      <w:r>
        <w:rPr/>
        <w:t>Language and examples to explain that both Payment and Valid Remittance Advice must be received by Day 35 must be submitted in a Change Control to TX SET to be included in a redline 820 Implementaiton Guide in a seciton entitled “820 Defnition and Use”.</w:t>
      </w:r>
    </w:p>
    <w:p>
      <w:pPr>
        <w:pStyle w:val="Heading2"/>
        <w:ind w:hanging="0" w:start="0"/>
        <w:rPr/>
      </w:pPr>
      <w:bookmarkStart w:id="12" w:name="__RefHeading___Toc350116"/>
      <w:bookmarkEnd w:id="12"/>
      <w:r>
        <w:rPr/>
        <w:t>Payment Instruction to Bank</w:t>
      </w:r>
    </w:p>
    <w:p>
      <w:pPr>
        <w:pStyle w:val="Normal"/>
        <w:rPr/>
      </w:pPr>
      <w:r>
        <w:rPr/>
        <w:t>It is imperative that the CR’s bank ensure that the BPR01 = “D” – Make Payment Only when the CR generates the Payment instruction and the Remittance Advice separately.  Transactions are failing because TDSPs are receiving a “C” – Payment Accompanies Remittance Advice when they are NOT sending a COMBO 820 (CTX).  When only the payment is sent via the bank, the CR must provide a “D” in the BPR01 when they send the instruction to their bank.  The CR’s bank must, in turn, pass that “D” on to the TDSP’s bank.  It is also important that the BPR04 accurately reflect the transaction being made:  ACH, FEW, or FWT.  The BPR05 should be “CTX” if a COMBO is sent through the bank.</w:t>
      </w:r>
    </w:p>
    <w:p>
      <w:pPr>
        <w:pStyle w:val="Recommendation"/>
        <w:numPr>
          <w:ilvl w:val="0"/>
          <w:numId w:val="2"/>
        </w:numPr>
        <w:ind w:hanging="0" w:start="0"/>
        <w:rPr/>
      </w:pPr>
      <w:r>
        <w:rPr/>
        <w:t>The 820 implementation guide already clearly states the code to be used in the BPR01.  Recommend investigating which MPs are having problems with this code and work directly with them to correct.</w:t>
      </w:r>
    </w:p>
    <w:p>
      <w:pPr>
        <w:pStyle w:val="Heading2"/>
        <w:ind w:hanging="0" w:start="0"/>
        <w:rPr/>
      </w:pPr>
      <w:bookmarkStart w:id="13" w:name="__RefHeading___Toc350117"/>
      <w:bookmarkEnd w:id="13"/>
      <w:r>
        <w:rPr/>
        <w:t>Mandatory 820 Testing</w:t>
      </w:r>
    </w:p>
    <w:p>
      <w:pPr>
        <w:pStyle w:val="Normal"/>
        <w:rPr/>
      </w:pPr>
      <w:r>
        <w:rPr/>
        <w:t xml:space="preserve">Flight 3801 and Flight 1001 required remittance advice testing only when the CR was originating the 820 payment and remittance advice separately.  Market testing involved transmitting the 820_02 point-to-point via GISB.  The script did not include matching a live payment with the 820_02 point-to-point remittance advice, nor did it allow the TDSPs an advance look at the format of the payment and remittance advice delivered via the bank. </w:t>
      </w:r>
    </w:p>
    <w:p>
      <w:pPr>
        <w:pStyle w:val="Normal"/>
        <w:rPr/>
      </w:pPr>
      <w:r>
        <w:rPr/>
        <w:t>A new test script has been developed for all MPs – regardless of whether the CR makes payment and remittance together through the bank or whether they originate and transmit payment and remittance advice separately.</w:t>
      </w:r>
    </w:p>
    <w:p>
      <w:pPr>
        <w:pStyle w:val="Normal"/>
        <w:rPr/>
      </w:pPr>
      <w:r>
        <w:rPr/>
        <w:t>The new test script is detailed below and would be mandatory for all testing CRs regardless of whether payments and remittance advices are generated together or separately.  Test script stipulates:</w:t>
      </w:r>
    </w:p>
    <w:p>
      <w:pPr>
        <w:pStyle w:val="Normal"/>
        <w:rPr>
          <w:szCs w:val="24"/>
        </w:rPr>
      </w:pPr>
      <w:r>
        <w:rPr/>
        <w:t xml:space="preserve">The TDSP will send the testing CR one to many invoices that total $10 or less.  The invoice can be crafted any way the TDSP chooses and will not reflect real rates or charges.  For instance, Invoice 123 can be in the amount of $2.00, Invoice 124 can be in the amount of $.50, Invoice 125 can be in the amount of $7.50. It is suggested that you send at least one invoice that is followed by a cancel to ensure that credits are provided correctly on the remittance advice.  For instance, a TDSP might include an Invoice 126 for $700 and in the same batch include Cancel Invoice 127 for $700 and a Restatement Invoice for $1.00.  There is no restriction on how many invoices a TDSP can send as part of this test as many invoices as you wish as long as the total requested payment does not exceed the $10.00 total for all invoices combined.  The invoices will be sent point-to-point via GISB. </w:t>
      </w:r>
    </w:p>
    <w:p>
      <w:pPr>
        <w:pStyle w:val="Normal"/>
        <w:rPr/>
      </w:pPr>
      <w:r>
        <w:rPr/>
        <w:t>The CR must schedule the invoices for payment through the bank. The CR must use the payment method they will use in production (either ACH or Wire Transfer).  They must also provide the remittance advice in the manner they will use for production - either via the bank or point-to-point using GISB.</w:t>
      </w:r>
    </w:p>
    <w:p>
      <w:pPr>
        <w:pStyle w:val="Normal"/>
        <w:rPr/>
      </w:pPr>
      <w:r>
        <w:rPr/>
        <w:t>TDSPs will confirm the payment was deposited in the correct account and the payment was reconciled with the remittance advice.  The TDSP repays the funds collected in the test to the CR within 30 days of the conclusion of the test.</w:t>
      </w:r>
    </w:p>
    <w:p>
      <w:pPr>
        <w:pStyle w:val="Recommendation"/>
        <w:numPr>
          <w:ilvl w:val="0"/>
          <w:numId w:val="2"/>
        </w:numPr>
        <w:ind w:hanging="0" w:start="0"/>
        <w:rPr/>
      </w:pPr>
      <w:r>
        <w:rPr/>
        <w:t>A new test script for the 820 has been submitted to TTPT for approval for testing in Flight V1.4F2.  Recommend script be approved immediately.</w:t>
      </w:r>
    </w:p>
    <w:p>
      <w:pPr>
        <w:pStyle w:val="Heading2"/>
        <w:numPr>
          <w:ilvl w:val="0"/>
          <w:numId w:val="0"/>
        </w:numPr>
        <w:ind w:hanging="0" w:start="0"/>
        <w:rPr/>
      </w:pPr>
      <w:bookmarkStart w:id="14" w:name="__RefHeading___Toc350118"/>
      <w:bookmarkEnd w:id="14"/>
      <w:r>
        <w:rPr/>
        <w:t>824 to Accept or Reject the Remittance Advice</w:t>
      </w:r>
    </w:p>
    <w:p>
      <w:pPr>
        <w:pStyle w:val="Index2"/>
        <w:rPr/>
      </w:pPr>
      <w:r>
        <w:rPr/>
        <w:t xml:space="preserve">The 824 has </w:t>
      </w:r>
      <w:r>
        <w:rPr>
          <w:b/>
          <w:bCs/>
        </w:rPr>
        <w:t>not</w:t>
      </w:r>
      <w:r>
        <w:rPr/>
        <w:t xml:space="preserve"> been defined or approved for the TDSP to reject an 820_02 remittance advice that does not comply with TX SET definition.  A TDSP may need to reject the remittance advice for several reasons.  Some of those reasons could include:</w:t>
      </w:r>
    </w:p>
    <w:p>
      <w:pPr>
        <w:pStyle w:val="Index2"/>
        <w:numPr>
          <w:ilvl w:val="0"/>
          <w:numId w:val="4"/>
        </w:numPr>
        <w:rPr/>
      </w:pPr>
      <w:r>
        <w:rPr/>
        <w:t>The total of the RMR segments do not equal the Total in the BPR Segment</w:t>
      </w:r>
    </w:p>
    <w:p>
      <w:pPr>
        <w:pStyle w:val="Index2"/>
        <w:numPr>
          <w:ilvl w:val="0"/>
          <w:numId w:val="4"/>
        </w:numPr>
        <w:rPr/>
      </w:pPr>
      <w:r>
        <w:rPr/>
        <w:t>Invalid BPR02 (monetary amount is negative or format is invalid)</w:t>
      </w:r>
    </w:p>
    <w:p>
      <w:pPr>
        <w:pStyle w:val="Index2"/>
        <w:numPr>
          <w:ilvl w:val="0"/>
          <w:numId w:val="4"/>
        </w:numPr>
        <w:rPr/>
      </w:pPr>
      <w:r>
        <w:rPr/>
        <w:t>Incorrect or missing DUNS number for CR and/or TDSP</w:t>
      </w:r>
    </w:p>
    <w:p>
      <w:pPr>
        <w:pStyle w:val="Index2"/>
        <w:numPr>
          <w:ilvl w:val="0"/>
          <w:numId w:val="4"/>
        </w:numPr>
        <w:rPr/>
      </w:pPr>
      <w:r>
        <w:rPr/>
        <w:t>Invalid or missing Invoice Number</w:t>
      </w:r>
    </w:p>
    <w:p>
      <w:pPr>
        <w:pStyle w:val="Index2"/>
        <w:numPr>
          <w:ilvl w:val="0"/>
          <w:numId w:val="4"/>
        </w:numPr>
        <w:rPr/>
      </w:pPr>
      <w:r>
        <w:rPr/>
        <w:t>Invalid or missing Cross Reference Number</w:t>
      </w:r>
    </w:p>
    <w:p>
      <w:pPr>
        <w:pStyle w:val="Index2"/>
        <w:numPr>
          <w:ilvl w:val="0"/>
          <w:numId w:val="4"/>
        </w:numPr>
        <w:rPr/>
      </w:pPr>
      <w:r>
        <w:rPr/>
        <w:t>Invalid or missing ESI ID</w:t>
      </w:r>
    </w:p>
    <w:p>
      <w:pPr>
        <w:pStyle w:val="Index2"/>
        <w:numPr>
          <w:ilvl w:val="0"/>
          <w:numId w:val="4"/>
        </w:numPr>
        <w:rPr/>
      </w:pPr>
      <w:r>
        <w:rPr/>
        <w:t>Invalid or missing Payment Method Code</w:t>
      </w:r>
    </w:p>
    <w:p>
      <w:pPr>
        <w:pStyle w:val="Index2"/>
        <w:numPr>
          <w:ilvl w:val="0"/>
          <w:numId w:val="4"/>
        </w:numPr>
        <w:rPr/>
      </w:pPr>
      <w:r>
        <w:rPr/>
        <w:t>Duplicate remittance advice</w:t>
      </w:r>
    </w:p>
    <w:p>
      <w:pPr>
        <w:pStyle w:val="Index2"/>
        <w:numPr>
          <w:ilvl w:val="0"/>
          <w:numId w:val="4"/>
        </w:numPr>
        <w:rPr/>
      </w:pPr>
      <w:r>
        <w:rPr/>
        <w:t>Missing trace number or trace number does not match</w:t>
      </w:r>
    </w:p>
    <w:p>
      <w:pPr>
        <w:pStyle w:val="Index2"/>
        <w:rPr/>
      </w:pPr>
      <w:r>
        <w:rPr/>
        <w:t>An 824 Reject sent by the TDSP to the CR rejects only the 820_02 remittance advice.  The TDSP cannot reject the payment.  A CR’s bank is the only entity that can reject a CR payment.  TX SET does not define an 824 acceptance or rejection of a payment by a bank to a CR because that is proprietary communication between a CR and their bank.  A bank might reject a payment because of an invalid routing code, account number, attempting to schedule a negative payment, insufficient funds, etc.  If TX SET were to define an 824 reject for the remittance advice, the transaction would not allow TDSPs to reject payments.</w:t>
      </w:r>
    </w:p>
    <w:p>
      <w:pPr>
        <w:pStyle w:val="Recommendation"/>
        <w:numPr>
          <w:ilvl w:val="0"/>
          <w:numId w:val="2"/>
        </w:numPr>
        <w:ind w:hanging="0" w:start="0"/>
        <w:rPr/>
      </w:pPr>
      <w:r>
        <w:rPr/>
        <w:t>Recommend that TX SET explore the feasability of defining an 824 accept and/or reject for the 820 remittance advice.  The point-to-point 820 would be rejected back directly to the CR.  The 820 “COMBO” would also have to be rejected directly back to the CR.</w:t>
      </w:r>
    </w:p>
    <w:p>
      <w:pPr>
        <w:pStyle w:val="Heading2"/>
        <w:ind w:hanging="0" w:start="0"/>
        <w:rPr/>
      </w:pPr>
      <w:bookmarkStart w:id="15" w:name="__RefHeading___Toc350119"/>
      <w:bookmarkEnd w:id="15"/>
      <w:r>
        <w:rPr/>
        <w:t>TC Discount</w:t>
      </w:r>
    </w:p>
    <w:p>
      <w:pPr>
        <w:pStyle w:val="Normal"/>
        <w:rPr/>
      </w:pPr>
      <w:r>
        <w:rPr/>
        <w:t xml:space="preserve">CPL (AEP) must refund .29% of every CR’s payments.   CPL (AEP) would like to handle this via a check refund on a monthly basis.  They propose to provide check detail that includes the total revenue billed, discount amount of .29% and the refund amount by revenue month.  The first TC Discount Credit and refund check will be cut the first week of March for revenue booked in February for CPL (AEP). </w:t>
      </w:r>
    </w:p>
    <w:p>
      <w:pPr>
        <w:pStyle w:val="Normal"/>
        <w:rPr/>
      </w:pPr>
      <w:r>
        <w:rPr/>
        <w:t>Reliant and Oncor provide a line item credit on each invoice to deduct TC allowance.  No special handling is required in these cases.</w:t>
      </w:r>
    </w:p>
    <w:p>
      <w:pPr>
        <w:pStyle w:val="Recommendation"/>
        <w:numPr>
          <w:ilvl w:val="0"/>
          <w:numId w:val="2"/>
        </w:numPr>
        <w:ind w:hanging="0" w:start="0"/>
        <w:rPr/>
      </w:pPr>
      <w:r>
        <w:rPr/>
        <w:t>Recommend that the Market accept the AEP proposal for the CPL TC credit short term.  Recommend that AEP investigate the possibility of including a line item credit on each invoice as a long-term solution.</w:t>
      </w:r>
    </w:p>
    <w:p>
      <w:pPr>
        <w:pStyle w:val="Heading2"/>
        <w:ind w:hanging="0" w:start="0"/>
        <w:rPr/>
      </w:pPr>
      <w:bookmarkStart w:id="16" w:name="__RefHeading___Toc350120"/>
      <w:bookmarkEnd w:id="16"/>
      <w:r>
        <w:rPr/>
        <w:t>Costs associated with ACH and FED WIRE</w:t>
      </w:r>
    </w:p>
    <w:p>
      <w:pPr>
        <w:pStyle w:val="Normal"/>
        <w:rPr/>
      </w:pPr>
      <w:r>
        <w:rPr/>
        <w:t xml:space="preserve">Market should investigate and document costs associated with TDSPs receiving a bank-generated remittance advice.   </w:t>
      </w:r>
    </w:p>
    <w:p>
      <w:pPr>
        <w:pStyle w:val="Normal"/>
        <w:numPr>
          <w:ilvl w:val="0"/>
          <w:numId w:val="5"/>
        </w:numPr>
        <w:rPr/>
      </w:pPr>
      <w:r>
        <w:rPr/>
        <w:t>CCD+</w:t>
      </w:r>
    </w:p>
    <w:p>
      <w:pPr>
        <w:pStyle w:val="Normal"/>
        <w:numPr>
          <w:ilvl w:val="1"/>
          <w:numId w:val="5"/>
        </w:numPr>
        <w:rPr/>
      </w:pPr>
      <w:r>
        <w:rPr/>
        <w:t>Usually $.10- to $.50. CRs and TDSPs are encouraged to determine the average cost of a CCD+.  This information will be helpful to new MPs that enter the Texas Market.  Costs comparisons may also help current MPs make smart decisions.</w:t>
      </w:r>
    </w:p>
    <w:p>
      <w:pPr>
        <w:pStyle w:val="Normal"/>
        <w:numPr>
          <w:ilvl w:val="0"/>
          <w:numId w:val="5"/>
        </w:numPr>
        <w:rPr/>
      </w:pPr>
      <w:r>
        <w:rPr/>
        <w:t>Wire</w:t>
      </w:r>
    </w:p>
    <w:p>
      <w:pPr>
        <w:pStyle w:val="Normal"/>
        <w:numPr>
          <w:ilvl w:val="1"/>
          <w:numId w:val="5"/>
        </w:numPr>
        <w:rPr/>
      </w:pPr>
      <w:r>
        <w:rPr/>
        <w:t>Usually much more expensive than a CCD+.  Wire’s can be anywhere between $8 to $12 each, depending on the discounts and banking relationship of the initiator.  An average cost should be provided for comparative purposes.</w:t>
      </w:r>
    </w:p>
    <w:p>
      <w:pPr>
        <w:pStyle w:val="Normal"/>
        <w:numPr>
          <w:ilvl w:val="0"/>
          <w:numId w:val="5"/>
        </w:numPr>
        <w:rPr/>
      </w:pPr>
      <w:r>
        <w:rPr/>
        <w:t>CTX</w:t>
      </w:r>
    </w:p>
    <w:p>
      <w:pPr>
        <w:pStyle w:val="Normal"/>
        <w:numPr>
          <w:ilvl w:val="1"/>
          <w:numId w:val="5"/>
        </w:numPr>
        <w:rPr/>
      </w:pPr>
      <w:r>
        <w:rPr/>
        <w:t>Usually includes character charges.  MP should determine if the charges are paid by sender only or by sender and receiver.</w:t>
      </w:r>
    </w:p>
    <w:p>
      <w:pPr>
        <w:pStyle w:val="Normal"/>
        <w:numPr>
          <w:ilvl w:val="0"/>
          <w:numId w:val="5"/>
        </w:numPr>
        <w:rPr/>
      </w:pPr>
      <w:r>
        <w:rPr/>
        <w:t>VAN</w:t>
      </w:r>
    </w:p>
    <w:p>
      <w:pPr>
        <w:pStyle w:val="Normal"/>
        <w:ind w:start="1080" w:end="0"/>
        <w:rPr/>
      </w:pPr>
      <w:r>
        <w:rPr/>
        <w:t>Traditionally, 100% of VAN charges are paid by both parties to the transaction –in this case the TDSP and the CR.</w:t>
      </w:r>
    </w:p>
    <w:p>
      <w:pPr>
        <w:pStyle w:val="Normal"/>
        <w:numPr>
          <w:ilvl w:val="0"/>
          <w:numId w:val="5"/>
        </w:numPr>
        <w:rPr/>
      </w:pPr>
      <w:r>
        <w:rPr/>
        <w:t>Version reformatting charges by TDSP Bank</w:t>
      </w:r>
    </w:p>
    <w:p>
      <w:pPr>
        <w:pStyle w:val="Normal"/>
        <w:numPr>
          <w:ilvl w:val="1"/>
          <w:numId w:val="5"/>
        </w:numPr>
        <w:rPr/>
      </w:pPr>
      <w:r>
        <w:rPr/>
        <w:t>When COMBO 820s (both payment and remittance advice) are sent via the bank in a version other that the 4010 version that TX SET has defined, the TDSP must pay to have the version that is sent by the CR converted to a common version acceptable to the TDSP.  It is not the intention of this document to question the relationship between the CR and the CR’s bank.  However, there is a cost associated with CR’s banks sending different versions of the ANSI Standards.  TDSP’s should investigate whether their bank charges reformatting costs in order to provide the TDSPO with a common format.</w:t>
      </w:r>
    </w:p>
    <w:p>
      <w:pPr>
        <w:pStyle w:val="Recommendation"/>
        <w:numPr>
          <w:ilvl w:val="0"/>
          <w:numId w:val="2"/>
        </w:numPr>
        <w:ind w:hanging="0" w:start="0"/>
        <w:rPr/>
      </w:pPr>
      <w:r>
        <w:rPr/>
        <w:t>Recommend that every MP investigate average costs for the banking services noted above.  .  Language and estimates must be submitted in a Change Control to TX SET to be included in a redline 820 Implementaiton Guide in a seciton entitled “820 Defnition and Use”.  This information will assist new and current MPs in deciding the most cost effective way to make Payments and Remittance Adivces.</w:t>
      </w:r>
    </w:p>
    <w:p>
      <w:pPr>
        <w:pStyle w:val="Heading2"/>
        <w:ind w:hanging="0" w:start="0"/>
        <w:rPr/>
      </w:pPr>
      <w:bookmarkStart w:id="17" w:name="__RefHeading___Toc350121"/>
      <w:bookmarkEnd w:id="17"/>
      <w:r>
        <w:rPr/>
        <w:t>RMS Financial EDI Educational Workshop</w:t>
      </w:r>
    </w:p>
    <w:p>
      <w:pPr>
        <w:pStyle w:val="Normal"/>
        <w:rPr/>
      </w:pPr>
      <w:r>
        <w:rPr/>
        <w:t>It has been suggested that the Market should resolve these issues quickly and conduct a workshop for the financial audience.  Business representatives from Treasury, Accounts Payable, Accounts Receivable and their technical counterparts from both TDSPs and CRs should be brought together to discuss the resolutions and how to implement the changes.  The implementation guides should be reviewed in detail so there are no interpretation issues.  Deadlines for implementation must be defined.  The Texas Test Plan should be consulted to determine if additional testing would be required.</w:t>
      </w:r>
    </w:p>
    <w:p>
      <w:pPr>
        <w:pStyle w:val="Recommendation"/>
        <w:numPr>
          <w:ilvl w:val="0"/>
          <w:numId w:val="2"/>
        </w:numPr>
        <w:spacing w:before="0" w:after="120"/>
        <w:ind w:hanging="0" w:start="0"/>
        <w:rPr/>
      </w:pPr>
      <w:r>
        <w:rPr/>
        <w:t>Recommend that the CRs and TDSPs attend the RMS workshop on February 11, 2002.  It is further recommended that the MPs send representatives from Treasury and Accounts Payable/Receiveable, and their technical counterparts.</w:t>
      </w:r>
    </w:p>
    <w:sectPr>
      <w:headerReference w:type="default" r:id="rId2"/>
      <w:headerReference w:type="first" r:id="rId3"/>
      <w:footerReference w:type="default" r:id="rId4"/>
      <w:footerReference w:type="first" r:id="rId5"/>
      <w:type w:val="nextPage"/>
      <w:pgSz w:w="12240" w:h="15840"/>
      <w:pgMar w:left="1080" w:right="108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Verdana">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ZapfDingbats">
    <w:charset w:val="02"/>
    <w:family w:val="decorative"/>
    <w:pitch w:val="variable"/>
  </w:font>
  <w:font w:name="Times">
    <w:altName w:val="Times New Roman"/>
    <w:charset w:val="00" w:characterSet="windows-1252"/>
    <w:family w:val="roman"/>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590" w:leader="none"/>
        <w:tab w:val="right" w:pos="9360" w:leader="none"/>
      </w:tabs>
      <w:rPr>
        <w:b/>
        <w:caps/>
      </w:rPr>
    </w:pPr>
    <w:r>
      <w:rPr>
        <w:caps/>
        <w:sz w:val="16"/>
      </w:rPr>
      <w:t xml:space="preserve">Revised:  1/24/01 </w:t>
      <w:tab/>
      <w:t xml:space="preserve">Page </w:t>
    </w:r>
    <w:r>
      <w:rPr>
        <w:sz w:val="16"/>
      </w:rPr>
      <w:fldChar w:fldCharType="begin"/>
    </w:r>
    <w:r>
      <w:rPr>
        <w:sz w:val="16"/>
      </w:rPr>
      <w:instrText xml:space="preserve"> PAGE </w:instrText>
    </w:r>
    <w:r>
      <w:rPr>
        <w:sz w:val="16"/>
      </w:rPr>
      <w:fldChar w:fldCharType="separate"/>
    </w:r>
    <w:r>
      <w:rPr>
        <w:sz w:val="16"/>
      </w:rPr>
      <w:t>16</w:t>
    </w:r>
    <w:r>
      <w:rPr>
        <w:sz w:val="16"/>
      </w:rPr>
      <w:fldChar w:fldCharType="end"/>
    </w:r>
    <w:r>
      <w:rPr>
        <w:sz w:val="16"/>
      </w:rPr>
      <w:t xml:space="preserve"> </w:t>
    </w:r>
    <w:r>
      <w:rPr>
        <w:caps/>
        <w:sz w:val="16"/>
      </w:rPr>
      <w:t>of</w:t>
    </w:r>
    <w:r>
      <w:rPr>
        <w:bCs/>
        <w:caps/>
        <w:sz w:val="16"/>
      </w:rPr>
      <w:t xml:space="preserve"> </w:t>
    </w:r>
    <w:r>
      <w:rPr>
        <w:bCs/>
        <w:caps/>
        <w:sz w:val="16"/>
      </w:rPr>
      <w:fldChar w:fldCharType="begin"/>
    </w:r>
    <w:r>
      <w:rPr>
        <w:caps/>
        <w:sz w:val="16"/>
        <w:bCs/>
      </w:rPr>
      <w:instrText xml:space="preserve"> NUMPAGES \* ARABIC </w:instrText>
    </w:r>
    <w:r>
      <w:rPr>
        <w:caps/>
        <w:sz w:val="16"/>
        <w:bCs/>
      </w:rPr>
      <w:fldChar w:fldCharType="separate"/>
    </w:r>
    <w:r>
      <w:rPr>
        <w:caps/>
        <w:sz w:val="16"/>
        <w:bCs/>
      </w:rPr>
      <w:t>16</w:t>
    </w:r>
    <w:r>
      <w:rPr>
        <w:caps/>
        <w:sz w:val="16"/>
        <w:bCs/>
      </w:rPr>
      <w:fldChar w:fldCharType="end"/>
    </w:r>
  </w:p>
  <w:p>
    <w:pPr>
      <w:pStyle w:val="Header"/>
      <w:spacing w:before="0" w:after="120"/>
      <w:jc w:val="center"/>
      <w:rPr>
        <w:rFonts w:ascii="Verdana" w:hAnsi="Verdana" w:cs="Verdana"/>
        <w:b/>
        <w:bCs/>
      </w:rPr>
    </w:pPr>
    <w:r>
      <w:rPr>
        <w:rFonts w:cs="Verdana" w:ascii="Verdana" w:hAnsi="Verdana"/>
        <w:b/>
        <w:bCs/>
      </w:rPr>
      <w:t xml:space="preserve">DRAFT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jc w:val="center"/>
      <w:rPr>
        <w:b/>
        <w:bCs/>
      </w:rPr>
    </w:pPr>
    <w:r>
      <w:rPr>
        <w:b/>
        <w:bCs/>
      </w:rPr>
      <w:t>DRAFT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2410" w:leader="none"/>
        <w:tab w:val="center" w:pos="4320" w:leader="none"/>
        <w:tab w:val="center" w:pos="5040" w:leader="none"/>
        <w:tab w:val="right" w:pos="8640" w:leader="none"/>
      </w:tabs>
      <w:spacing w:before="0" w:after="120"/>
      <w:rPr>
        <w:rFonts w:ascii="Verdana" w:hAnsi="Verdana" w:cs="Verdana"/>
        <w:b/>
        <w:bCs/>
      </w:rPr>
    </w:pPr>
    <w:r>
      <w:rPr>
        <w:rFonts w:cs="Verdana" w:ascii="Verdana" w:hAnsi="Verdana"/>
        <w:b/>
        <w:bCs/>
      </w:rPr>
      <w:tab/>
      <w:tab/>
      <w:tab/>
      <w:t xml:space="preserve">DRAFT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b/>
        <w:bCs/>
      </w:rPr>
    </w:pPr>
    <w:r>
      <w:rPr>
        <w:b/>
        <w:bCs/>
      </w:rPr>
      <w:t>DRAFT – 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decimal"/>
      <w:suff w:val="space"/>
      <w:lvlText w:val="Recommendation %1 - "/>
      <w:lvlJc w:val="start"/>
      <w:pPr>
        <w:tabs>
          <w:tab w:val="num" w:pos="0"/>
        </w:tabs>
        <w:ind w:start="0" w:hanging="0"/>
      </w:pPr>
      <w:rPr/>
    </w:lvl>
    <w:lvl w:ilvl="1">
      <w:start w:val="1"/>
      <w:pStyle w:val="Heading2"/>
      <w:numFmt w:val="none"/>
      <w:suff w:val="nothing"/>
      <w:lvlText w:val=""/>
      <w:lvlJc w:val="start"/>
      <w:pPr>
        <w:tabs>
          <w:tab w:val="num" w:pos="0"/>
        </w:tabs>
        <w:ind w:start="0" w:hanging="0"/>
      </w:pPr>
      <w:rPr/>
    </w:lvl>
    <w:lvl w:ilvl="2">
      <w:start w:val="1"/>
      <w:pStyle w:val="Heading3"/>
      <w:numFmt w:val="none"/>
      <w:suff w:val="nothing"/>
      <w:lvlText w:val=""/>
      <w:lvlJc w:val="start"/>
      <w:pPr>
        <w:tabs>
          <w:tab w:val="num" w:pos="0"/>
        </w:tabs>
        <w:ind w:start="0" w:hanging="0"/>
      </w:pPr>
      <w:rPr/>
    </w:lvl>
    <w:lvl w:ilvl="3">
      <w:start w:val="1"/>
      <w:pStyle w:val="Heading4"/>
      <w:numFmt w:val="none"/>
      <w:suff w:val="nothing"/>
      <w:lvlText w:val=""/>
      <w:lvlJc w:val="start"/>
      <w:pPr>
        <w:tabs>
          <w:tab w:val="num" w:pos="0"/>
        </w:tabs>
        <w:ind w:start="0" w:hanging="0"/>
      </w:pPr>
      <w:rPr/>
    </w:lvl>
    <w:lvl w:ilvl="4">
      <w:start w:val="1"/>
      <w:pStyle w:val="Heading5"/>
      <w:numFmt w:val="none"/>
      <w:suff w:val="nothing"/>
      <w:lvlText w:val=""/>
      <w:lvlJc w:val="start"/>
      <w:pPr>
        <w:tabs>
          <w:tab w:val="num" w:pos="0"/>
        </w:tabs>
        <w:ind w:start="0" w:hanging="0"/>
      </w:pPr>
      <w:rPr/>
    </w:lvl>
    <w:lvl w:ilvl="5">
      <w:start w:val="1"/>
      <w:pStyle w:val="Heading6"/>
      <w:numFmt w:val="none"/>
      <w:suff w:val="nothing"/>
      <w:lvlText w:val=""/>
      <w:lvlJc w:val="start"/>
      <w:pPr>
        <w:tabs>
          <w:tab w:val="num" w:pos="0"/>
        </w:tabs>
        <w:ind w:start="0" w:hanging="0"/>
      </w:pPr>
      <w:rPr/>
    </w:lvl>
    <w:lvl w:ilvl="6">
      <w:start w:val="1"/>
      <w:pStyle w:val="Heading7"/>
      <w:numFmt w:val="none"/>
      <w:suff w:val="nothing"/>
      <w:lvlText w:val=""/>
      <w:lvlJc w:val="start"/>
      <w:pPr>
        <w:tabs>
          <w:tab w:val="num" w:pos="0"/>
        </w:tabs>
        <w:ind w:start="0" w:hanging="0"/>
      </w:pPr>
      <w:rPr/>
    </w:lvl>
    <w:lvl w:ilvl="7">
      <w:start w:val="1"/>
      <w:pStyle w:val="Heading8"/>
      <w:numFmt w:val="none"/>
      <w:suff w:val="nothing"/>
      <w:lvlText w:val=""/>
      <w:lvlJc w:val="start"/>
      <w:pPr>
        <w:tabs>
          <w:tab w:val="num" w:pos="0"/>
        </w:tabs>
        <w:ind w:start="0" w:hanging="0"/>
      </w:pPr>
      <w:rPr/>
    </w:lvl>
    <w:lvl w:ilvl="8">
      <w:start w:val="1"/>
      <w:pStyle w:val="Heading9"/>
      <w:numFmt w:val="none"/>
      <w:suff w:val="nothing"/>
      <w:lvlText w:val=""/>
      <w:lvlJc w:val="start"/>
      <w:pPr>
        <w:tabs>
          <w:tab w:val="num" w:pos="0"/>
        </w:tabs>
        <w:ind w:start="0" w:hanging="0"/>
      </w:pPr>
      <w:rPr/>
    </w:lvl>
  </w:abstractNum>
  <w:abstractNum w:abstractNumId="2">
    <w:lvl w:ilvl="0">
      <w:numFmt w:val="decimal"/>
      <w:suff w:val="space"/>
      <w:lvlText w:val="Recommendation %1 - "/>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3">
    <w:lvl w:ilvl="0">
      <w:start w:val="1"/>
      <w:numFmt w:val="bullet"/>
      <w:lvlText w:val=""/>
      <w:lvlJc w:val="start"/>
      <w:pPr>
        <w:tabs>
          <w:tab w:val="num" w:pos="423"/>
        </w:tabs>
        <w:ind w:start="423" w:hanging="360"/>
      </w:pPr>
      <w:rPr>
        <w:rFonts w:ascii="Symbol" w:hAnsi="Symbol" w:cs="Symbol" w:hint="default"/>
      </w:rPr>
    </w:lvl>
  </w:abstractNum>
  <w:abstractNum w:abstractNumId="4">
    <w:lvl w:ilvl="0">
      <w:start w:val="1"/>
      <w:numFmt w:val="bullet"/>
      <w:lvlText w:val=""/>
      <w:lvlJc w:val="start"/>
      <w:pPr>
        <w:tabs>
          <w:tab w:val="num" w:pos="423"/>
        </w:tabs>
        <w:ind w:start="423"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6">
    <w:lvl w:ilvl="0">
      <w:start w:val="1"/>
      <w:numFmt w:val="bullet"/>
      <w:lvlText w:val=""/>
      <w:lvlJc w:val="start"/>
      <w:pPr>
        <w:tabs>
          <w:tab w:val="num" w:pos="423"/>
        </w:tabs>
        <w:ind w:start="423"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9">
    <w:lvl w:ilvl="0">
      <w:numFmt w:val="bullet"/>
      <w:lvlText w:val=""/>
      <w:lvlJc w:val="start"/>
      <w:pPr>
        <w:tabs>
          <w:tab w:val="num" w:pos="360"/>
        </w:tabs>
        <w:ind w:start="1800" w:hanging="360"/>
      </w:pPr>
      <w:rPr>
        <w:rFonts w:ascii="Symbol" w:hAnsi="Symbol" w:cs="Symbol" w:hint="default"/>
        <w:sz w:val="22"/>
      </w:rPr>
    </w:lvl>
  </w:abstractNum>
  <w:abstractNum w:abstractNumId="10">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120"/>
    </w:pPr>
    <w:rPr>
      <w:rFonts w:ascii="Garamond" w:hAnsi="Garamond" w:eastAsia="Times New Roman" w:cs="Garamond"/>
      <w:color w:val="auto"/>
      <w:sz w:val="24"/>
      <w:szCs w:val="20"/>
      <w:lang w:val="en-US" w:bidi="ar-SA" w:eastAsia="zh-CN"/>
    </w:rPr>
  </w:style>
  <w:style w:type="paragraph" w:styleId="Heading1">
    <w:name w:val="heading 1"/>
    <w:basedOn w:val="Normal"/>
    <w:next w:val="Normal"/>
    <w:qFormat/>
    <w:pPr>
      <w:keepNext w:val="true"/>
      <w:pBdr>
        <w:top w:val="single" w:sz="36" w:space="1" w:color="000080"/>
        <w:bottom w:val="single" w:sz="18" w:space="1" w:color="000080"/>
      </w:pBdr>
      <w:shd w:fill="FFFFFF" w:val="clear"/>
      <w:spacing w:before="480" w:after="120"/>
      <w:outlineLvl w:val="0"/>
    </w:pPr>
    <w:rPr>
      <w:rFonts w:ascii="Verdana" w:hAnsi="Verdana" w:cs="Verdana"/>
      <w:b/>
      <w:sz w:val="28"/>
    </w:rPr>
  </w:style>
  <w:style w:type="paragraph" w:styleId="Heading2">
    <w:name w:val="heading 2"/>
    <w:basedOn w:val="Normal"/>
    <w:next w:val="Normal"/>
    <w:qFormat/>
    <w:pPr>
      <w:keepNext w:val="true"/>
      <w:numPr>
        <w:ilvl w:val="1"/>
        <w:numId w:val="1"/>
      </w:numPr>
      <w:pBdr>
        <w:top w:val="single" w:sz="2" w:space="1" w:color="000080"/>
      </w:pBdr>
      <w:spacing w:before="360" w:after="120"/>
      <w:outlineLvl w:val="1"/>
    </w:pPr>
    <w:rPr>
      <w:rFonts w:ascii="Verdana" w:hAnsi="Verdana" w:cs="Verdana"/>
      <w:b/>
    </w:rPr>
  </w:style>
  <w:style w:type="paragraph" w:styleId="Heading3">
    <w:name w:val="heading 3"/>
    <w:basedOn w:val="Normal"/>
    <w:next w:val="Normal"/>
    <w:qFormat/>
    <w:pPr>
      <w:keepNext w:val="true"/>
      <w:numPr>
        <w:ilvl w:val="2"/>
        <w:numId w:val="1"/>
      </w:numPr>
      <w:spacing w:before="240" w:after="60"/>
      <w:outlineLvl w:val="2"/>
    </w:pPr>
    <w:rPr>
      <w:rFonts w:ascii="Verdana" w:hAnsi="Verdana" w:cs="Verdana"/>
      <w:b/>
      <w:sz w:val="20"/>
      <w:u w:val="single"/>
    </w:rPr>
  </w:style>
  <w:style w:type="paragraph" w:styleId="Heading4">
    <w:name w:val="heading 4"/>
    <w:basedOn w:val="Normal"/>
    <w:next w:val="Normal"/>
    <w:qFormat/>
    <w:pPr>
      <w:keepNext w:val="true"/>
      <w:keepLines/>
      <w:numPr>
        <w:ilvl w:val="3"/>
        <w:numId w:val="1"/>
      </w:numPr>
      <w:spacing w:lineRule="atLeast" w:line="220" w:before="140" w:after="120"/>
      <w:outlineLvl w:val="3"/>
    </w:pPr>
    <w:rPr>
      <w:rFonts w:ascii="Arial" w:hAnsi="Arial" w:cs="Arial"/>
      <w:b/>
      <w:spacing w:val="-4"/>
      <w:kern w:val="2"/>
      <w:sz w:val="18"/>
    </w:rPr>
  </w:style>
  <w:style w:type="paragraph" w:styleId="Heading5">
    <w:name w:val="heading 5"/>
    <w:basedOn w:val="Normal"/>
    <w:next w:val="Normal"/>
    <w:qFormat/>
    <w:pPr>
      <w:keepNext w:val="true"/>
      <w:keepLines/>
      <w:numPr>
        <w:ilvl w:val="4"/>
        <w:numId w:val="1"/>
      </w:numPr>
      <w:spacing w:lineRule="atLeast" w:line="220" w:before="220" w:after="220"/>
      <w:outlineLvl w:val="4"/>
    </w:pPr>
    <w:rPr>
      <w:rFonts w:ascii="Times New Roman" w:hAnsi="Times New Roman" w:cs="Times New Roman"/>
      <w:i/>
      <w:spacing w:val="-4"/>
      <w:kern w:val="2"/>
      <w:sz w:val="20"/>
    </w:rPr>
  </w:style>
  <w:style w:type="paragraph" w:styleId="Heading6">
    <w:name w:val="heading 6"/>
    <w:basedOn w:val="Normal"/>
    <w:next w:val="Normal"/>
    <w:qFormat/>
    <w:pPr>
      <w:keepNext w:val="true"/>
      <w:keepLines/>
      <w:numPr>
        <w:ilvl w:val="5"/>
        <w:numId w:val="1"/>
      </w:numPr>
      <w:spacing w:lineRule="atLeast" w:line="220" w:before="140" w:after="120"/>
      <w:outlineLvl w:val="5"/>
    </w:pPr>
    <w:rPr>
      <w:rFonts w:ascii="Times New Roman" w:hAnsi="Times New Roman" w:cs="Times New Roman"/>
      <w:i/>
      <w:spacing w:val="-4"/>
      <w:kern w:val="2"/>
      <w:sz w:val="20"/>
    </w:rPr>
  </w:style>
  <w:style w:type="paragraph" w:styleId="Heading7">
    <w:name w:val="heading 7"/>
    <w:basedOn w:val="Normal"/>
    <w:next w:val="Normal"/>
    <w:qFormat/>
    <w:pPr>
      <w:keepNext w:val="true"/>
      <w:keepLines/>
      <w:numPr>
        <w:ilvl w:val="6"/>
        <w:numId w:val="1"/>
      </w:numPr>
      <w:spacing w:lineRule="atLeast" w:line="220" w:before="140" w:after="120"/>
      <w:outlineLvl w:val="6"/>
    </w:pPr>
    <w:rPr>
      <w:rFonts w:ascii="Times New Roman" w:hAnsi="Times New Roman" w:cs="Times New Roman"/>
      <w:spacing w:val="-4"/>
      <w:kern w:val="2"/>
      <w:sz w:val="20"/>
    </w:rPr>
  </w:style>
  <w:style w:type="paragraph" w:styleId="Heading8">
    <w:name w:val="heading 8"/>
    <w:basedOn w:val="Normal"/>
    <w:next w:val="Normal"/>
    <w:qFormat/>
    <w:pPr>
      <w:keepNext w:val="true"/>
      <w:keepLines/>
      <w:numPr>
        <w:ilvl w:val="7"/>
        <w:numId w:val="1"/>
      </w:numPr>
      <w:spacing w:lineRule="atLeast" w:line="220" w:before="140" w:after="120"/>
      <w:outlineLvl w:val="7"/>
    </w:pPr>
    <w:rPr>
      <w:rFonts w:ascii="Arial" w:hAnsi="Arial" w:cs="Arial"/>
      <w:i/>
      <w:spacing w:val="-4"/>
      <w:kern w:val="2"/>
      <w:sz w:val="18"/>
    </w:rPr>
  </w:style>
  <w:style w:type="paragraph" w:styleId="Heading9">
    <w:name w:val="heading 9"/>
    <w:basedOn w:val="Normal"/>
    <w:next w:val="Normal"/>
    <w:qFormat/>
    <w:pPr>
      <w:keepNext w:val="true"/>
      <w:keepLines/>
      <w:numPr>
        <w:ilvl w:val="8"/>
        <w:numId w:val="1"/>
      </w:numPr>
      <w:spacing w:lineRule="atLeast" w:line="220" w:before="140" w:after="120"/>
      <w:outlineLvl w:val="8"/>
    </w:pPr>
    <w:rPr>
      <w:rFonts w:ascii="Arial" w:hAnsi="Arial" w:cs="Arial"/>
      <w:spacing w:val="-4"/>
      <w:kern w:val="2"/>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Wingdings" w:hAnsi="Wingdings" w:cs="Wingdings"/>
    </w:rPr>
  </w:style>
  <w:style w:type="character" w:styleId="WW8Num14z1">
    <w:name w:val="WW8Num14z1"/>
    <w:qFormat/>
    <w:rPr>
      <w:rFonts w:ascii="Courier New" w:hAnsi="Courier New" w:cs="Courier New"/>
    </w:rPr>
  </w:style>
  <w:style w:type="character" w:styleId="WW8Num14z3">
    <w:name w:val="WW8Num14z3"/>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Wingdings" w:hAnsi="Wingdings" w:cs="Wingdings"/>
    </w:rPr>
  </w:style>
  <w:style w:type="character" w:styleId="WW8Num19z1">
    <w:name w:val="WW8Num19z1"/>
    <w:qFormat/>
    <w:rPr>
      <w:rFonts w:ascii="Courier New" w:hAnsi="Courier New" w:cs="Courier New"/>
    </w:rPr>
  </w:style>
  <w:style w:type="character" w:styleId="WW8Num19z3">
    <w:name w:val="WW8Num19z3"/>
    <w:qFormat/>
    <w:rPr>
      <w:rFonts w:ascii="Symbol" w:hAnsi="Symbol" w:cs="Symbol"/>
    </w:rPr>
  </w:style>
  <w:style w:type="character" w:styleId="WW8Num22z0">
    <w:name w:val="WW8Num22z0"/>
    <w:qFormat/>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Times New Roman" w:hAnsi="Times New Roman" w:cs="Times New Roman"/>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style>
  <w:style w:type="character" w:styleId="WW8Num28z0">
    <w:name w:val="WW8Num28z0"/>
    <w:qFormat/>
    <w:rPr>
      <w:rFonts w:ascii="Wingdings" w:hAnsi="Wingdings" w:cs="Wingdings"/>
    </w:rPr>
  </w:style>
  <w:style w:type="character" w:styleId="WW8Num28z1">
    <w:name w:val="WW8Num28z1"/>
    <w:qFormat/>
    <w:rPr>
      <w:rFonts w:ascii="Courier New" w:hAnsi="Courier New" w:cs="Courier New"/>
    </w:rPr>
  </w:style>
  <w:style w:type="character" w:styleId="WW8Num28z3">
    <w:name w:val="WW8Num28z3"/>
    <w:qFormat/>
    <w:rPr>
      <w:rFonts w:ascii="Symbol" w:hAnsi="Symbol" w:cs="Symbol"/>
    </w:rPr>
  </w:style>
  <w:style w:type="character" w:styleId="WW8Num29z0">
    <w:name w:val="WW8Num29z0"/>
    <w:qFormat/>
    <w:rPr>
      <w:rFonts w:ascii="Wingdings" w:hAnsi="Wingdings" w:cs="Wingdings"/>
    </w:rPr>
  </w:style>
  <w:style w:type="character" w:styleId="WW8Num29z1">
    <w:name w:val="WW8Num29z1"/>
    <w:qFormat/>
    <w:rPr>
      <w:rFonts w:ascii="Courier New" w:hAnsi="Courier New" w:cs="Courier New"/>
    </w:rPr>
  </w:style>
  <w:style w:type="character" w:styleId="WW8Num29z3">
    <w:name w:val="WW8Num29z3"/>
    <w:qFormat/>
    <w:rPr>
      <w:rFonts w:ascii="Symbol" w:hAnsi="Symbol" w:cs="Symbol"/>
    </w:rPr>
  </w:style>
  <w:style w:type="character" w:styleId="WW8Num30z0">
    <w:name w:val="WW8Num30z0"/>
    <w:qFormat/>
    <w:rPr>
      <w:rFonts w:ascii="Wingdings" w:hAnsi="Wingdings" w:cs="Wingdings"/>
    </w:rPr>
  </w:style>
  <w:style w:type="character" w:styleId="WW8Num30z1">
    <w:name w:val="WW8Num30z1"/>
    <w:qFormat/>
    <w:rPr>
      <w:rFonts w:ascii="Courier New" w:hAnsi="Courier New" w:cs="Courier New"/>
    </w:rPr>
  </w:style>
  <w:style w:type="character" w:styleId="WW8Num30z3">
    <w:name w:val="WW8Num30z3"/>
    <w:qFormat/>
    <w:rPr>
      <w:rFonts w:ascii="Symbol" w:hAnsi="Symbol" w:cs="Symbol"/>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Wingdings" w:hAnsi="Wingdings" w:cs="Wingdings"/>
    </w:rPr>
  </w:style>
  <w:style w:type="character" w:styleId="WW8Num32z1">
    <w:name w:val="WW8Num32z1"/>
    <w:qFormat/>
    <w:rPr>
      <w:rFonts w:ascii="Courier New" w:hAnsi="Courier New" w:cs="Courier New"/>
    </w:rPr>
  </w:style>
  <w:style w:type="character" w:styleId="WW8Num32z3">
    <w:name w:val="WW8Num32z3"/>
    <w:qFormat/>
    <w:rPr>
      <w:rFonts w:ascii="Symbol" w:hAnsi="Symbol" w:cs="Symbol"/>
    </w:rPr>
  </w:style>
  <w:style w:type="character" w:styleId="WW8Num33z0">
    <w:name w:val="WW8Num33z0"/>
    <w:qFormat/>
    <w:rPr>
      <w:rFonts w:ascii="Wingdings" w:hAnsi="Wingdings" w:cs="Wingdings"/>
    </w:rPr>
  </w:style>
  <w:style w:type="character" w:styleId="WW8Num33z1">
    <w:name w:val="WW8Num33z1"/>
    <w:qFormat/>
    <w:rPr>
      <w:rFonts w:ascii="Courier New" w:hAnsi="Courier New" w:cs="Courier New"/>
    </w:rPr>
  </w:style>
  <w:style w:type="character" w:styleId="WW8Num33z3">
    <w:name w:val="WW8Num33z3"/>
    <w:qFormat/>
    <w:rPr>
      <w:rFonts w:ascii="Symbol" w:hAnsi="Symbol" w:cs="Symbol"/>
    </w:rPr>
  </w:style>
  <w:style w:type="character" w:styleId="WW8Num34z0">
    <w:name w:val="WW8Num34z0"/>
    <w:qFormat/>
    <w:rPr>
      <w:rFonts w:ascii="Wingdings" w:hAnsi="Wingdings" w:cs="Wingdings"/>
    </w:rPr>
  </w:style>
  <w:style w:type="character" w:styleId="WW8Num34z1">
    <w:name w:val="WW8Num34z1"/>
    <w:qFormat/>
    <w:rPr>
      <w:rFonts w:ascii="Courier New" w:hAnsi="Courier New" w:cs="Courier New"/>
    </w:rPr>
  </w:style>
  <w:style w:type="character" w:styleId="WW8Num34z3">
    <w:name w:val="WW8Num34z3"/>
    <w:qFormat/>
    <w:rPr>
      <w:rFonts w:ascii="Symbol" w:hAnsi="Symbol" w:cs="Symbol"/>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Arial" w:hAnsi="Arial" w:cs="Arial"/>
      <w:b/>
      <w:i w:val="false"/>
      <w:sz w:val="18"/>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9z0">
    <w:name w:val="WW8Num39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2z0">
    <w:name w:val="WW8Num42z0"/>
    <w:qFormat/>
    <w:rPr>
      <w:rFonts w:ascii="Wingdings" w:hAnsi="Wingdings" w:cs="Wingdings"/>
    </w:rPr>
  </w:style>
  <w:style w:type="character" w:styleId="WW8Num42z1">
    <w:name w:val="WW8Num42z1"/>
    <w:qFormat/>
    <w:rPr>
      <w:rFonts w:ascii="Courier New" w:hAnsi="Courier New" w:cs="Courier New"/>
    </w:rPr>
  </w:style>
  <w:style w:type="character" w:styleId="WW8Num42z3">
    <w:name w:val="WW8Num42z3"/>
    <w:qFormat/>
    <w:rPr>
      <w:rFonts w:ascii="Symbol" w:hAnsi="Symbol" w:cs="Symbol"/>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4z0">
    <w:name w:val="WW8Num44z0"/>
    <w:qFormat/>
    <w:rPr>
      <w:rFonts w:ascii="Symbol" w:hAnsi="Symbol" w:cs="Symbol"/>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5z0">
    <w:name w:val="WW8Num45z0"/>
    <w:qFormat/>
    <w:rPr>
      <w:rFonts w:ascii="Wingdings" w:hAnsi="Wingdings" w:cs="Wingdings"/>
    </w:rPr>
  </w:style>
  <w:style w:type="character" w:styleId="WW8Num45z1">
    <w:name w:val="WW8Num45z1"/>
    <w:qFormat/>
    <w:rPr>
      <w:rFonts w:ascii="Courier New" w:hAnsi="Courier New" w:cs="Courier New"/>
    </w:rPr>
  </w:style>
  <w:style w:type="character" w:styleId="WW8Num45z3">
    <w:name w:val="WW8Num45z3"/>
    <w:qFormat/>
    <w:rPr>
      <w:rFonts w:ascii="Symbol" w:hAnsi="Symbol" w:cs="Symbol"/>
    </w:rPr>
  </w:style>
  <w:style w:type="character" w:styleId="WW8Num46z0">
    <w:name w:val="WW8Num46z0"/>
    <w:qFormat/>
    <w:rPr>
      <w:rFonts w:ascii="Courier New" w:hAnsi="Courier New" w:cs="Courier New"/>
    </w:rPr>
  </w:style>
  <w:style w:type="character" w:styleId="WW8Num46z2">
    <w:name w:val="WW8Num46z2"/>
    <w:qFormat/>
    <w:rPr>
      <w:rFonts w:ascii="Wingdings" w:hAnsi="Wingdings" w:cs="Wingdings"/>
    </w:rPr>
  </w:style>
  <w:style w:type="character" w:styleId="WW8Num46z3">
    <w:name w:val="WW8Num46z3"/>
    <w:qFormat/>
    <w:rPr>
      <w:rFonts w:ascii="Symbol" w:hAnsi="Symbol" w:cs="Symbol"/>
    </w:rPr>
  </w:style>
  <w:style w:type="character" w:styleId="WW8Num47z0">
    <w:name w:val="WW8Num47z0"/>
    <w:qFormat/>
    <w:rPr>
      <w:rFonts w:ascii="Wingdings" w:hAnsi="Wingdings" w:cs="Wingdings"/>
    </w:rPr>
  </w:style>
  <w:style w:type="character" w:styleId="WW8Num47z1">
    <w:name w:val="WW8Num47z1"/>
    <w:qFormat/>
    <w:rPr>
      <w:rFonts w:ascii="Courier New" w:hAnsi="Courier New" w:cs="Courier New"/>
    </w:rPr>
  </w:style>
  <w:style w:type="character" w:styleId="WW8Num47z3">
    <w:name w:val="WW8Num47z3"/>
    <w:qFormat/>
    <w:rPr>
      <w:rFonts w:ascii="Symbol" w:hAnsi="Symbol" w:cs="Symbol"/>
    </w:rPr>
  </w:style>
  <w:style w:type="character" w:styleId="WW8Num48z0">
    <w:name w:val="WW8Num48z0"/>
    <w:qFormat/>
    <w:rPr>
      <w:rFonts w:ascii="ZapfDingbats" w:hAnsi="ZapfDingbats" w:cs="ZapfDingbats"/>
      <w:b w:val="false"/>
      <w:i w:val="false"/>
      <w:color w:val="000000"/>
      <w:sz w:val="24"/>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8z3">
    <w:name w:val="WW8Num48z3"/>
    <w:qFormat/>
    <w:rPr>
      <w:rFonts w:ascii="Symbol" w:hAnsi="Symbol" w:cs="Symbol"/>
    </w:rPr>
  </w:style>
  <w:style w:type="character" w:styleId="WW8Num49z0">
    <w:name w:val="WW8Num49z0"/>
    <w:qFormat/>
    <w:rPr>
      <w:rFonts w:ascii="Symbol" w:hAnsi="Symbol" w:cs="Symbol"/>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50z0">
    <w:name w:val="WW8Num50z0"/>
    <w:qFormat/>
    <w:rPr>
      <w:rFonts w:ascii="Wingdings" w:hAnsi="Wingdings" w:cs="Wingdings"/>
    </w:rPr>
  </w:style>
  <w:style w:type="character" w:styleId="WW8Num50z1">
    <w:name w:val="WW8Num50z1"/>
    <w:qFormat/>
    <w:rPr>
      <w:rFonts w:ascii="Courier New" w:hAnsi="Courier New" w:cs="Courier New"/>
    </w:rPr>
  </w:style>
  <w:style w:type="character" w:styleId="WW8Num50z3">
    <w:name w:val="WW8Num50z3"/>
    <w:qFormat/>
    <w:rPr>
      <w:rFonts w:ascii="Symbol" w:hAnsi="Symbol" w:cs="Symbol"/>
    </w:rPr>
  </w:style>
  <w:style w:type="character" w:styleId="WW8Num51z0">
    <w:name w:val="WW8Num51z0"/>
    <w:qFormat/>
    <w:rPr>
      <w:rFonts w:ascii="Wingdings" w:hAnsi="Wingdings" w:cs="Wingdings"/>
    </w:rPr>
  </w:style>
  <w:style w:type="character" w:styleId="WW8Num51z1">
    <w:name w:val="WW8Num51z1"/>
    <w:qFormat/>
    <w:rPr>
      <w:rFonts w:ascii="Courier New" w:hAnsi="Courier New" w:cs="Courier New"/>
    </w:rPr>
  </w:style>
  <w:style w:type="character" w:styleId="WW8Num51z3">
    <w:name w:val="WW8Num51z3"/>
    <w:qFormat/>
    <w:rPr>
      <w:rFonts w:ascii="Symbol" w:hAnsi="Symbol" w:cs="Symbol"/>
    </w:rPr>
  </w:style>
  <w:style w:type="character" w:styleId="WW8Num52z0">
    <w:name w:val="WW8Num52z0"/>
    <w:qFormat/>
    <w:rPr>
      <w:rFonts w:ascii="Courier New" w:hAnsi="Courier New" w:cs="Courier New"/>
    </w:rPr>
  </w:style>
  <w:style w:type="character" w:styleId="WW8Num52z2">
    <w:name w:val="WW8Num52z2"/>
    <w:qFormat/>
    <w:rPr>
      <w:rFonts w:ascii="Wingdings" w:hAnsi="Wingdings" w:cs="Wingdings"/>
    </w:rPr>
  </w:style>
  <w:style w:type="character" w:styleId="WW8Num52z3">
    <w:name w:val="WW8Num52z3"/>
    <w:qFormat/>
    <w:rPr>
      <w:rFonts w:ascii="Symbol" w:hAnsi="Symbol" w:cs="Symbol"/>
    </w:rPr>
  </w:style>
  <w:style w:type="character" w:styleId="WW8Num54z0">
    <w:name w:val="WW8Num54z0"/>
    <w:qFormat/>
    <w:rPr>
      <w:rFonts w:ascii="Symbol" w:hAnsi="Symbol" w:cs="Symbol"/>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5z0">
    <w:name w:val="WW8Num55z0"/>
    <w:qFormat/>
    <w:rPr>
      <w:rFonts w:ascii="Symbol" w:hAnsi="Symbol" w:cs="Symbol"/>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9z0">
    <w:name w:val="WW8Num59z0"/>
    <w:qFormat/>
    <w:rPr>
      <w:rFonts w:ascii="Symbol" w:hAnsi="Symbol" w:cs="Symbol"/>
      <w:b/>
      <w:i w:val="false"/>
      <w:color w:val="000000"/>
      <w:sz w:val="28"/>
    </w:rPr>
  </w:style>
  <w:style w:type="character" w:styleId="WW8Num59z2">
    <w:name w:val="WW8Num59z2"/>
    <w:qFormat/>
    <w:rPr>
      <w:rFonts w:ascii="Wingdings" w:hAnsi="Wingdings" w:cs="Wingdings"/>
    </w:rPr>
  </w:style>
  <w:style w:type="character" w:styleId="WW8Num59z3">
    <w:name w:val="WW8Num59z3"/>
    <w:qFormat/>
    <w:rPr>
      <w:rFonts w:ascii="Symbol" w:hAnsi="Symbol" w:cs="Symbol"/>
    </w:rPr>
  </w:style>
  <w:style w:type="character" w:styleId="WW8Num59z4">
    <w:name w:val="WW8Num59z4"/>
    <w:qFormat/>
    <w:rPr>
      <w:rFonts w:ascii="Courier New" w:hAnsi="Courier New" w:cs="Courier New"/>
    </w:rPr>
  </w:style>
  <w:style w:type="character" w:styleId="WW8Num60z1">
    <w:name w:val="WW8Num60z1"/>
    <w:qFormat/>
    <w:rPr>
      <w:rFonts w:ascii="Courier New" w:hAnsi="Courier New" w:cs="Courier New"/>
    </w:rPr>
  </w:style>
  <w:style w:type="character" w:styleId="WW8Num60z2">
    <w:name w:val="WW8Num60z2"/>
    <w:qFormat/>
    <w:rPr>
      <w:rFonts w:ascii="Wingdings" w:hAnsi="Wingdings" w:cs="Wingdings"/>
    </w:rPr>
  </w:style>
  <w:style w:type="character" w:styleId="WW8Num60z3">
    <w:name w:val="WW8Num60z3"/>
    <w:qFormat/>
    <w:rPr>
      <w:rFonts w:ascii="Symbol" w:hAnsi="Symbol" w:cs="Symbol"/>
    </w:rPr>
  </w:style>
  <w:style w:type="character" w:styleId="WW8Num61z0">
    <w:name w:val="WW8Num61z0"/>
    <w:qFormat/>
    <w:rPr>
      <w:rFonts w:ascii="Symbol" w:hAnsi="Symbol" w:cs="Symbol"/>
    </w:rPr>
  </w:style>
  <w:style w:type="character" w:styleId="WW8Num61z1">
    <w:name w:val="WW8Num61z1"/>
    <w:qFormat/>
    <w:rPr>
      <w:rFonts w:ascii="Courier New" w:hAnsi="Courier New" w:cs="Courier New"/>
    </w:rPr>
  </w:style>
  <w:style w:type="character" w:styleId="WW8Num61z2">
    <w:name w:val="WW8Num61z2"/>
    <w:qFormat/>
    <w:rPr>
      <w:rFonts w:ascii="Wingdings" w:hAnsi="Wingdings" w:cs="Wingdings"/>
    </w:rPr>
  </w:style>
  <w:style w:type="character" w:styleId="WW8Num62z0">
    <w:name w:val="WW8Num62z0"/>
    <w:qFormat/>
    <w:rPr>
      <w:rFonts w:ascii="Courier New" w:hAnsi="Courier New" w:cs="Courier New"/>
    </w:rPr>
  </w:style>
  <w:style w:type="character" w:styleId="WW8Num62z2">
    <w:name w:val="WW8Num62z2"/>
    <w:qFormat/>
    <w:rPr>
      <w:rFonts w:ascii="Wingdings" w:hAnsi="Wingdings" w:cs="Wingdings"/>
    </w:rPr>
  </w:style>
  <w:style w:type="character" w:styleId="WW8Num62z3">
    <w:name w:val="WW8Num62z3"/>
    <w:qFormat/>
    <w:rPr>
      <w:rFonts w:ascii="Symbol" w:hAnsi="Symbol" w:cs="Symbol"/>
    </w:rPr>
  </w:style>
  <w:style w:type="character" w:styleId="WW8Num63z0">
    <w:name w:val="WW8Num63z0"/>
    <w:qFormat/>
    <w:rPr>
      <w:rFonts w:ascii="Symbol" w:hAnsi="Symbol" w:cs="Symbol"/>
    </w:rPr>
  </w:style>
  <w:style w:type="character" w:styleId="WW8Num63z1">
    <w:name w:val="WW8Num63z1"/>
    <w:qFormat/>
    <w:rPr>
      <w:rFonts w:ascii="Courier New" w:hAnsi="Courier New" w:cs="Courier New"/>
    </w:rPr>
  </w:style>
  <w:style w:type="character" w:styleId="WW8Num63z2">
    <w:name w:val="WW8Num63z2"/>
    <w:qFormat/>
    <w:rPr>
      <w:rFonts w:ascii="Wingdings" w:hAnsi="Wingdings" w:cs="Wingdings"/>
    </w:rPr>
  </w:style>
  <w:style w:type="character" w:styleId="WW8Num64z0">
    <w:name w:val="WW8Num64z0"/>
    <w:qFormat/>
    <w:rPr>
      <w:rFonts w:ascii="Courier New" w:hAnsi="Courier New" w:cs="Courier New"/>
    </w:rPr>
  </w:style>
  <w:style w:type="character" w:styleId="WW8Num64z2">
    <w:name w:val="WW8Num64z2"/>
    <w:qFormat/>
    <w:rPr>
      <w:rFonts w:ascii="Wingdings" w:hAnsi="Wingdings" w:cs="Wingdings"/>
    </w:rPr>
  </w:style>
  <w:style w:type="character" w:styleId="WW8Num64z3">
    <w:name w:val="WW8Num64z3"/>
    <w:qFormat/>
    <w:rPr>
      <w:rFonts w:ascii="Symbol" w:hAnsi="Symbol" w:cs="Symbol"/>
    </w:rPr>
  </w:style>
  <w:style w:type="character" w:styleId="WW8Num66z0">
    <w:name w:val="WW8Num66z0"/>
    <w:qFormat/>
    <w:rPr>
      <w:rFonts w:ascii="Wingdings" w:hAnsi="Wingdings" w:cs="Wingdings"/>
    </w:rPr>
  </w:style>
  <w:style w:type="character" w:styleId="WW8Num66z1">
    <w:name w:val="WW8Num66z1"/>
    <w:qFormat/>
    <w:rPr>
      <w:rFonts w:ascii="Courier New" w:hAnsi="Courier New" w:cs="Courier New"/>
    </w:rPr>
  </w:style>
  <w:style w:type="character" w:styleId="WW8Num66z3">
    <w:name w:val="WW8Num66z3"/>
    <w:qFormat/>
    <w:rPr>
      <w:rFonts w:ascii="Symbol" w:hAnsi="Symbol" w:cs="Symbol"/>
    </w:rPr>
  </w:style>
  <w:style w:type="character" w:styleId="WW8Num67z0">
    <w:name w:val="WW8Num67z0"/>
    <w:qFormat/>
    <w:rPr>
      <w:rFonts w:ascii="Wingdings" w:hAnsi="Wingdings" w:cs="Wingdings"/>
    </w:rPr>
  </w:style>
  <w:style w:type="character" w:styleId="WW8Num67z1">
    <w:name w:val="WW8Num67z1"/>
    <w:qFormat/>
    <w:rPr>
      <w:rFonts w:ascii="Courier New" w:hAnsi="Courier New" w:cs="Courier New"/>
    </w:rPr>
  </w:style>
  <w:style w:type="character" w:styleId="WW8Num67z3">
    <w:name w:val="WW8Num67z3"/>
    <w:qFormat/>
    <w:rPr>
      <w:rFonts w:ascii="Symbol" w:hAnsi="Symbol" w:cs="Symbol"/>
    </w:rPr>
  </w:style>
  <w:style w:type="character" w:styleId="WW8Num68z0">
    <w:name w:val="WW8Num68z0"/>
    <w:qFormat/>
    <w:rPr>
      <w:rFonts w:ascii="Wingdings" w:hAnsi="Wingdings" w:cs="Wingdings"/>
    </w:rPr>
  </w:style>
  <w:style w:type="character" w:styleId="WW8Num68z1">
    <w:name w:val="WW8Num68z1"/>
    <w:qFormat/>
    <w:rPr>
      <w:rFonts w:ascii="Courier New" w:hAnsi="Courier New" w:cs="Courier New"/>
    </w:rPr>
  </w:style>
  <w:style w:type="character" w:styleId="WW8Num68z3">
    <w:name w:val="WW8Num68z3"/>
    <w:qFormat/>
    <w:rPr>
      <w:rFonts w:ascii="Symbol" w:hAnsi="Symbol" w:cs="Symbol"/>
    </w:rPr>
  </w:style>
  <w:style w:type="character" w:styleId="WW8Num69z0">
    <w:name w:val="WW8Num69z0"/>
    <w:qFormat/>
    <w:rPr>
      <w:rFonts w:ascii="Symbol" w:hAnsi="Symbol" w:cs="Symbol"/>
    </w:rPr>
  </w:style>
  <w:style w:type="character" w:styleId="WW8Num69z1">
    <w:name w:val="WW8Num69z1"/>
    <w:qFormat/>
    <w:rPr>
      <w:rFonts w:ascii="Courier New" w:hAnsi="Courier New" w:cs="Courier New"/>
    </w:rPr>
  </w:style>
  <w:style w:type="character" w:styleId="WW8Num69z2">
    <w:name w:val="WW8Num69z2"/>
    <w:qFormat/>
    <w:rPr>
      <w:rFonts w:ascii="Wingdings" w:hAnsi="Wingdings" w:cs="Wingdings"/>
    </w:rPr>
  </w:style>
  <w:style w:type="character" w:styleId="WW8Num70z0">
    <w:name w:val="WW8Num70z0"/>
    <w:qFormat/>
    <w:rPr>
      <w:rFonts w:ascii="Symbol" w:hAnsi="Symbol" w:cs="Symbol"/>
    </w:rPr>
  </w:style>
  <w:style w:type="character" w:styleId="WW8Num70z1">
    <w:name w:val="WW8Num70z1"/>
    <w:qFormat/>
    <w:rPr>
      <w:rFonts w:ascii="Courier New" w:hAnsi="Courier New" w:cs="Courier New"/>
    </w:rPr>
  </w:style>
  <w:style w:type="character" w:styleId="WW8Num70z2">
    <w:name w:val="WW8Num70z2"/>
    <w:qFormat/>
    <w:rPr>
      <w:rFonts w:ascii="Wingdings" w:hAnsi="Wingdings" w:cs="Wingdings"/>
    </w:rPr>
  </w:style>
  <w:style w:type="character" w:styleId="WW8Num71z0">
    <w:name w:val="WW8Num71z0"/>
    <w:qFormat/>
    <w:rPr>
      <w:rFonts w:ascii="Symbol" w:hAnsi="Symbol" w:cs="Symbol"/>
    </w:rPr>
  </w:style>
  <w:style w:type="character" w:styleId="WW8Num71z1">
    <w:name w:val="WW8Num71z1"/>
    <w:qFormat/>
    <w:rPr>
      <w:rFonts w:ascii="Courier New" w:hAnsi="Courier New" w:cs="Courier New"/>
    </w:rPr>
  </w:style>
  <w:style w:type="character" w:styleId="WW8Num71z2">
    <w:name w:val="WW8Num71z2"/>
    <w:qFormat/>
    <w:rPr>
      <w:rFonts w:ascii="Wingdings" w:hAnsi="Wingdings" w:cs="Wingdings"/>
    </w:rPr>
  </w:style>
  <w:style w:type="character" w:styleId="WW8Num72z0">
    <w:name w:val="WW8Num72z0"/>
    <w:qFormat/>
    <w:rPr>
      <w:rFonts w:ascii="Symbol" w:hAnsi="Symbol" w:cs="Symbol"/>
    </w:rPr>
  </w:style>
  <w:style w:type="character" w:styleId="WW8Num72z1">
    <w:name w:val="WW8Num72z1"/>
    <w:qFormat/>
    <w:rPr>
      <w:rFonts w:ascii="Courier New" w:hAnsi="Courier New" w:cs="Courier New"/>
    </w:rPr>
  </w:style>
  <w:style w:type="character" w:styleId="WW8Num72z2">
    <w:name w:val="WW8Num72z2"/>
    <w:qFormat/>
    <w:rPr>
      <w:rFonts w:ascii="Wingdings" w:hAnsi="Wingdings" w:cs="Wingdings"/>
    </w:rPr>
  </w:style>
  <w:style w:type="character" w:styleId="WW8Num74z0">
    <w:name w:val="WW8Num74z0"/>
    <w:qFormat/>
    <w:rPr>
      <w:rFonts w:ascii="Symbol" w:hAnsi="Symbol" w:cs="Symbol"/>
    </w:rPr>
  </w:style>
  <w:style w:type="character" w:styleId="WW8Num74z1">
    <w:name w:val="WW8Num74z1"/>
    <w:qFormat/>
    <w:rPr>
      <w:rFonts w:ascii="Courier New" w:hAnsi="Courier New" w:cs="Courier New"/>
    </w:rPr>
  </w:style>
  <w:style w:type="character" w:styleId="WW8Num74z2">
    <w:name w:val="WW8Num74z2"/>
    <w:qFormat/>
    <w:rPr>
      <w:rFonts w:ascii="Wingdings" w:hAnsi="Wingdings" w:cs="Wingdings"/>
    </w:rPr>
  </w:style>
  <w:style w:type="character" w:styleId="WW8Num75z0">
    <w:name w:val="WW8Num75z0"/>
    <w:qFormat/>
    <w:rPr>
      <w:rFonts w:ascii="Symbol" w:hAnsi="Symbol" w:cs="Symbol"/>
    </w:rPr>
  </w:style>
  <w:style w:type="character" w:styleId="WW8Num75z1">
    <w:name w:val="WW8Num75z1"/>
    <w:qFormat/>
    <w:rPr>
      <w:rFonts w:ascii="Courier New" w:hAnsi="Courier New" w:cs="Courier New"/>
    </w:rPr>
  </w:style>
  <w:style w:type="character" w:styleId="WW8Num75z2">
    <w:name w:val="WW8Num75z2"/>
    <w:qFormat/>
    <w:rPr>
      <w:rFonts w:ascii="Wingdings" w:hAnsi="Wingdings" w:cs="Wingdings"/>
    </w:rPr>
  </w:style>
  <w:style w:type="character" w:styleId="WW8Num76z0">
    <w:name w:val="WW8Num76z0"/>
    <w:qFormat/>
    <w:rPr>
      <w:rFonts w:ascii="Courier New" w:hAnsi="Courier New" w:cs="Courier New"/>
    </w:rPr>
  </w:style>
  <w:style w:type="character" w:styleId="WW8Num76z2">
    <w:name w:val="WW8Num76z2"/>
    <w:qFormat/>
    <w:rPr>
      <w:rFonts w:ascii="Wingdings" w:hAnsi="Wingdings" w:cs="Wingdings"/>
    </w:rPr>
  </w:style>
  <w:style w:type="character" w:styleId="WW8Num76z3">
    <w:name w:val="WW8Num76z3"/>
    <w:qFormat/>
    <w:rPr>
      <w:rFonts w:ascii="Symbol" w:hAnsi="Symbol" w:cs="Symbol"/>
    </w:rPr>
  </w:style>
  <w:style w:type="character" w:styleId="WW8Num77z0">
    <w:name w:val="WW8Num77z0"/>
    <w:qFormat/>
    <w:rPr>
      <w:rFonts w:ascii="Symbol" w:hAnsi="Symbol" w:cs="Symbol"/>
    </w:rPr>
  </w:style>
  <w:style w:type="character" w:styleId="WW8Num77z1">
    <w:name w:val="WW8Num77z1"/>
    <w:qFormat/>
    <w:rPr>
      <w:rFonts w:ascii="Courier New" w:hAnsi="Courier New" w:cs="Courier New"/>
    </w:rPr>
  </w:style>
  <w:style w:type="character" w:styleId="WW8Num77z2">
    <w:name w:val="WW8Num77z2"/>
    <w:qFormat/>
    <w:rPr>
      <w:rFonts w:ascii="Wingdings" w:hAnsi="Wingdings" w:cs="Wingdings"/>
    </w:rPr>
  </w:style>
  <w:style w:type="character" w:styleId="WW8Num78z0">
    <w:name w:val="WW8Num78z0"/>
    <w:qFormat/>
    <w:rPr>
      <w:rFonts w:ascii="Symbol" w:hAnsi="Symbol" w:cs="Symbol"/>
    </w:rPr>
  </w:style>
  <w:style w:type="character" w:styleId="WW8Num78z1">
    <w:name w:val="WW8Num78z1"/>
    <w:qFormat/>
    <w:rPr>
      <w:rFonts w:ascii="Courier New" w:hAnsi="Courier New" w:cs="Courier New"/>
    </w:rPr>
  </w:style>
  <w:style w:type="character" w:styleId="WW8Num78z2">
    <w:name w:val="WW8Num78z2"/>
    <w:qFormat/>
    <w:rPr>
      <w:rFonts w:ascii="Wingdings" w:hAnsi="Wingdings" w:cs="Wingdings"/>
    </w:rPr>
  </w:style>
  <w:style w:type="character" w:styleId="WW8Num79z0">
    <w:name w:val="WW8Num79z0"/>
    <w:qFormat/>
    <w:rPr/>
  </w:style>
  <w:style w:type="character" w:styleId="WW8Num80z0">
    <w:name w:val="WW8Num80z0"/>
    <w:qFormat/>
    <w:rPr>
      <w:rFonts w:ascii="Wingdings" w:hAnsi="Wingdings" w:cs="Wingdings"/>
    </w:rPr>
  </w:style>
  <w:style w:type="character" w:styleId="WW8Num80z1">
    <w:name w:val="WW8Num80z1"/>
    <w:qFormat/>
    <w:rPr>
      <w:rFonts w:ascii="Courier New" w:hAnsi="Courier New" w:cs="Courier New"/>
    </w:rPr>
  </w:style>
  <w:style w:type="character" w:styleId="WW8Num80z3">
    <w:name w:val="WW8Num80z3"/>
    <w:qFormat/>
    <w:rPr>
      <w:rFonts w:ascii="Symbol" w:hAnsi="Symbol" w:cs="Symbol"/>
    </w:rPr>
  </w:style>
  <w:style w:type="character" w:styleId="WW8Num81z0">
    <w:name w:val="WW8Num81z0"/>
    <w:qFormat/>
    <w:rPr>
      <w:rFonts w:ascii="Symbol" w:hAnsi="Symbol" w:cs="Symbol"/>
    </w:rPr>
  </w:style>
  <w:style w:type="character" w:styleId="WW8Num81z1">
    <w:name w:val="WW8Num81z1"/>
    <w:qFormat/>
    <w:rPr>
      <w:rFonts w:ascii="Courier New" w:hAnsi="Courier New" w:cs="Courier New"/>
    </w:rPr>
  </w:style>
  <w:style w:type="character" w:styleId="WW8Num81z2">
    <w:name w:val="WW8Num81z2"/>
    <w:qFormat/>
    <w:rPr>
      <w:rFonts w:ascii="Wingdings" w:hAnsi="Wingdings" w:cs="Wingdings"/>
    </w:rPr>
  </w:style>
  <w:style w:type="character" w:styleId="WW8Num82z0">
    <w:name w:val="WW8Num82z0"/>
    <w:qFormat/>
    <w:rPr>
      <w:rFonts w:ascii="Courier New" w:hAnsi="Courier New" w:cs="Courier New"/>
    </w:rPr>
  </w:style>
  <w:style w:type="character" w:styleId="WW8Num82z2">
    <w:name w:val="WW8Num82z2"/>
    <w:qFormat/>
    <w:rPr>
      <w:rFonts w:ascii="Wingdings" w:hAnsi="Wingdings" w:cs="Wingdings"/>
    </w:rPr>
  </w:style>
  <w:style w:type="character" w:styleId="WW8Num82z3">
    <w:name w:val="WW8Num82z3"/>
    <w:qFormat/>
    <w:rPr>
      <w:rFonts w:ascii="Symbol" w:hAnsi="Symbol" w:cs="Symbol"/>
    </w:rPr>
  </w:style>
  <w:style w:type="character" w:styleId="WW8Num83z0">
    <w:name w:val="WW8Num83z0"/>
    <w:qFormat/>
    <w:rPr>
      <w:rFonts w:ascii="Wingdings" w:hAnsi="Wingdings" w:cs="Wingdings"/>
    </w:rPr>
  </w:style>
  <w:style w:type="character" w:styleId="WW8Num83z1">
    <w:name w:val="WW8Num83z1"/>
    <w:qFormat/>
    <w:rPr>
      <w:rFonts w:ascii="Courier New" w:hAnsi="Courier New" w:cs="Courier New"/>
    </w:rPr>
  </w:style>
  <w:style w:type="character" w:styleId="WW8Num83z3">
    <w:name w:val="WW8Num83z3"/>
    <w:qFormat/>
    <w:rPr>
      <w:rFonts w:ascii="Symbol" w:hAnsi="Symbol" w:cs="Symbol"/>
    </w:rPr>
  </w:style>
  <w:style w:type="character" w:styleId="WW8Num85z0">
    <w:name w:val="WW8Num85z0"/>
    <w:qFormat/>
    <w:rPr>
      <w:rFonts w:ascii="Wingdings" w:hAnsi="Wingdings" w:cs="Wingdings"/>
    </w:rPr>
  </w:style>
  <w:style w:type="character" w:styleId="WW8Num85z1">
    <w:name w:val="WW8Num85z1"/>
    <w:qFormat/>
    <w:rPr>
      <w:rFonts w:ascii="Courier New" w:hAnsi="Courier New" w:cs="Courier New"/>
    </w:rPr>
  </w:style>
  <w:style w:type="character" w:styleId="WW8Num85z3">
    <w:name w:val="WW8Num85z3"/>
    <w:qFormat/>
    <w:rPr>
      <w:rFonts w:ascii="Symbol" w:hAnsi="Symbol" w:cs="Symbol"/>
    </w:rPr>
  </w:style>
  <w:style w:type="character" w:styleId="WW8Num86z0">
    <w:name w:val="WW8Num86z0"/>
    <w:qFormat/>
    <w:rPr>
      <w:rFonts w:ascii="Symbol" w:hAnsi="Symbol" w:cs="Symbol"/>
    </w:rPr>
  </w:style>
  <w:style w:type="character" w:styleId="WW8Num86z1">
    <w:name w:val="WW8Num86z1"/>
    <w:qFormat/>
    <w:rPr>
      <w:rFonts w:ascii="Courier New" w:hAnsi="Courier New" w:cs="Courier New"/>
    </w:rPr>
  </w:style>
  <w:style w:type="character" w:styleId="WW8Num86z2">
    <w:name w:val="WW8Num86z2"/>
    <w:qFormat/>
    <w:rPr>
      <w:rFonts w:ascii="Wingdings" w:hAnsi="Wingdings" w:cs="Wingdings"/>
    </w:rPr>
  </w:style>
  <w:style w:type="character" w:styleId="WW8NumSt12z0">
    <w:name w:val="WW8NumSt12z0"/>
    <w:qFormat/>
    <w:rPr>
      <w:rFonts w:ascii="Wingdings" w:hAnsi="Wingdings" w:cs="Wingdings"/>
      <w:sz w:val="12"/>
    </w:rPr>
  </w:style>
  <w:style w:type="character" w:styleId="WW8NumSt14z0">
    <w:name w:val="WW8NumSt14z0"/>
    <w:qFormat/>
    <w:rPr>
      <w:rFonts w:ascii="Symbol" w:hAnsi="Symbol" w:cs="Symbol"/>
      <w:sz w:val="22"/>
    </w:rPr>
  </w:style>
  <w:style w:type="character" w:styleId="WW8NumSt16z0">
    <w:name w:val="WW8NumSt16z0"/>
    <w:qFormat/>
    <w:rPr>
      <w:rFonts w:ascii="Arial" w:hAnsi="Arial" w:cs="Arial"/>
      <w:sz w:val="22"/>
    </w:rPr>
  </w:style>
  <w:style w:type="character" w:styleId="WW8NumSt17z0">
    <w:name w:val="WW8NumSt17z0"/>
    <w:qFormat/>
    <w:rPr>
      <w:rFonts w:ascii="Times" w:hAnsi="Times" w:cs="Times"/>
      <w:sz w:val="16"/>
    </w:rPr>
  </w:style>
  <w:style w:type="character" w:styleId="WW8NumSt18z0">
    <w:name w:val="WW8NumSt18z0"/>
    <w:qFormat/>
    <w:rPr>
      <w:rFonts w:ascii="Times" w:hAnsi="Times" w:cs="Times"/>
      <w:sz w:val="12"/>
    </w:rPr>
  </w:style>
  <w:style w:type="character" w:styleId="DefaultParagraphFont">
    <w:name w:val="Default Paragraph Font"/>
    <w:qFormat/>
    <w:rPr/>
  </w:style>
  <w:style w:type="character" w:styleId="EndnoteCharacters">
    <w:name w:val="Endnote Characters"/>
    <w:qFormat/>
    <w:rPr>
      <w:b/>
      <w:vertAlign w:val="superscript"/>
    </w:rPr>
  </w:style>
  <w:style w:type="character" w:styleId="Lead-inEmphasis">
    <w:name w:val="Lead-in Emphasis"/>
    <w:qFormat/>
    <w:rPr>
      <w:rFonts w:ascii="Arial" w:hAnsi="Arial" w:cs="Arial"/>
      <w:b/>
      <w:spacing w:val="-4"/>
    </w:rPr>
  </w:style>
  <w:style w:type="character" w:styleId="LineNumber">
    <w:name w:val="line number"/>
    <w:rPr>
      <w:sz w:val="18"/>
    </w:rPr>
  </w:style>
  <w:style w:type="character" w:styleId="PageNumber">
    <w:name w:val="page number"/>
    <w:rPr>
      <w:rFonts w:ascii="Arial" w:hAnsi="Arial" w:cs="Arial"/>
      <w:b/>
      <w:sz w:val="18"/>
    </w:rPr>
  </w:style>
  <w:style w:type="character" w:styleId="Superscript">
    <w:name w:val="Superscript"/>
    <w:qFormat/>
    <w:rPr>
      <w:b/>
      <w:vertAlign w:val="superscript"/>
    </w:rPr>
  </w:style>
  <w:style w:type="character" w:styleId="Emphasis">
    <w:name w:val="Emphasis"/>
    <w:qFormat/>
    <w:rPr>
      <w:rFonts w:ascii="Arial" w:hAnsi="Arial" w:cs="Arial"/>
      <w:b/>
      <w:spacing w:val="-4"/>
    </w:rPr>
  </w:style>
  <w:style w:type="character" w:styleId="Slogan">
    <w:name w:val="Slogan"/>
    <w:basedOn w:val="DefaultParagraphFont"/>
    <w:qFormat/>
    <w:rPr>
      <w:i/>
      <w:spacing w:val="-6"/>
      <w:sz w:val="24"/>
    </w:rPr>
  </w:style>
  <w:style w:type="character" w:styleId="Hyperlink">
    <w:name w:val="Hyperlink"/>
    <w:basedOn w:val="DefaultParagraphFont"/>
    <w:rPr>
      <w:color w:val="993300"/>
      <w:u w:val="single"/>
    </w:rPr>
  </w:style>
  <w:style w:type="character" w:styleId="FollowedHyperlink">
    <w:name w:val="FollowedHyperlink"/>
    <w:basedOn w:val="DefaultParagraphFont"/>
    <w:rPr>
      <w:color w:val="666666"/>
      <w:u w:val="single"/>
    </w:rPr>
  </w:style>
  <w:style w:type="character" w:styleId="IndexLink">
    <w:name w:val="Index Link"/>
    <w:qFormat/>
    <w:rPr/>
  </w:style>
  <w:style w:type="paragraph" w:styleId="Heading">
    <w:name w:val="Heading"/>
    <w:basedOn w:val="Normal"/>
    <w:next w:val="Subtitle"/>
    <w:qFormat/>
    <w:pPr>
      <w:keepNext w:val="true"/>
      <w:keepLines/>
      <w:spacing w:lineRule="atLeast" w:line="540" w:before="660" w:after="400"/>
      <w:ind w:hanging="0" w:start="0" w:end="2160"/>
    </w:pPr>
    <w:rPr>
      <w:rFonts w:ascii="Times New Roman" w:hAnsi="Times New Roman" w:cs="Times New Roman"/>
      <w:spacing w:val="-40"/>
      <w:kern w:val="2"/>
      <w:sz w:val="60"/>
    </w:rPr>
  </w:style>
  <w:style w:type="paragraph" w:styleId="BodyText">
    <w:name w:val="Body Text"/>
    <w:basedOn w:val="Normal"/>
    <w:pPr/>
    <w:rPr/>
  </w:style>
  <w:style w:type="paragraph" w:styleId="List">
    <w:name w:val="List"/>
    <w:basedOn w:val="Normal"/>
    <w:pPr>
      <w:spacing w:lineRule="atLeast" w:line="220" w:before="0" w:after="220"/>
      <w:ind w:hanging="360" w:start="144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icture">
    <w:name w:val="Picture"/>
    <w:basedOn w:val="Normal"/>
    <w:next w:val="Normal"/>
    <w:qFormat/>
    <w:pPr>
      <w:keepNext w:val="true"/>
    </w:pPr>
    <w:rPr/>
  </w:style>
  <w:style w:type="paragraph" w:styleId="EndnoteText">
    <w:name w:val="endnote text"/>
    <w:basedOn w:val="Normal"/>
    <w:pPr>
      <w:keepLines/>
      <w:spacing w:lineRule="atLeast" w:line="220"/>
    </w:pPr>
    <w:rPr>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keepLines/>
      <w:tabs>
        <w:tab w:val="clear" w:pos="720"/>
        <w:tab w:val="center" w:pos="4320" w:leader="none"/>
        <w:tab w:val="right" w:pos="8640" w:leader="none"/>
      </w:tabs>
    </w:pPr>
    <w:rPr>
      <w:rFonts w:ascii="Arial" w:hAnsi="Arial" w:cs="Arial"/>
      <w:spacing w:val="-4"/>
    </w:rPr>
  </w:style>
  <w:style w:type="paragraph" w:styleId="Header">
    <w:name w:val="header"/>
    <w:basedOn w:val="Normal"/>
    <w:pPr>
      <w:keepLines/>
      <w:tabs>
        <w:tab w:val="clear" w:pos="720"/>
        <w:tab w:val="center" w:pos="4320" w:leader="none"/>
        <w:tab w:val="right" w:pos="8640" w:leader="none"/>
      </w:tabs>
    </w:pPr>
    <w:rPr>
      <w:rFonts w:ascii="Arial" w:hAnsi="Arial" w:cs="Arial"/>
      <w:spacing w:val="-4"/>
    </w:rPr>
  </w:style>
  <w:style w:type="paragraph" w:styleId="IndexBase">
    <w:name w:val="Index Base"/>
    <w:basedOn w:val="Normal"/>
    <w:qFormat/>
    <w:pPr>
      <w:spacing w:lineRule="atLeast" w:line="220"/>
      <w:ind w:hanging="0" w:start="360" w:end="0"/>
    </w:pPr>
    <w:rPr/>
  </w:style>
  <w:style w:type="paragraph" w:styleId="Index1">
    <w:name w:val="index 1"/>
    <w:basedOn w:val="IndexBase"/>
    <w:pPr>
      <w:tabs>
        <w:tab w:val="clear" w:pos="720"/>
        <w:tab w:val="right" w:pos="4080" w:leader="none"/>
      </w:tabs>
      <w:ind w:hanging="360" w:start="360" w:end="0"/>
    </w:pPr>
    <w:rPr/>
  </w:style>
  <w:style w:type="paragraph" w:styleId="Index2">
    <w:name w:val="index 2"/>
    <w:basedOn w:val="IndexBase"/>
    <w:pPr>
      <w:spacing w:lineRule="auto" w:line="240"/>
      <w:ind w:hanging="0" w:start="63" w:end="0"/>
    </w:pPr>
    <w:rPr/>
  </w:style>
  <w:style w:type="paragraph" w:styleId="Index3">
    <w:name w:val="index 3"/>
    <w:basedOn w:val="IndexBase"/>
    <w:pPr>
      <w:spacing w:lineRule="auto" w:line="240"/>
      <w:ind w:hanging="0" w:start="0" w:end="0"/>
    </w:pPr>
    <w:rPr/>
  </w:style>
  <w:style w:type="paragraph" w:styleId="Index4">
    <w:name w:val="Index 4"/>
    <w:basedOn w:val="IndexBase"/>
    <w:qFormat/>
    <w:pPr>
      <w:tabs>
        <w:tab w:val="clear" w:pos="720"/>
        <w:tab w:val="right" w:pos="4080" w:leader="none"/>
      </w:tabs>
      <w:ind w:hanging="360" w:start="720" w:end="0"/>
    </w:pPr>
    <w:rPr/>
  </w:style>
  <w:style w:type="paragraph" w:styleId="Index5">
    <w:name w:val="Index 5"/>
    <w:basedOn w:val="IndexBase"/>
    <w:qFormat/>
    <w:pPr>
      <w:tabs>
        <w:tab w:val="clear" w:pos="720"/>
        <w:tab w:val="right" w:pos="4080" w:leader="none"/>
      </w:tabs>
      <w:ind w:hanging="360" w:start="720" w:end="0"/>
    </w:pPr>
    <w:rPr/>
  </w:style>
  <w:style w:type="paragraph" w:styleId="IndexHeading">
    <w:name w:val="index heading"/>
    <w:basedOn w:val="Normal"/>
    <w:next w:val="Index1"/>
    <w:pPr>
      <w:keepNext w:val="true"/>
      <w:spacing w:lineRule="atLeast" w:line="220" w:before="440" w:after="120"/>
    </w:pPr>
    <w:rPr>
      <w:rFonts w:ascii="Arial" w:hAnsi="Arial" w:cs="Arial"/>
      <w:b/>
      <w:caps/>
    </w:rPr>
  </w:style>
  <w:style w:type="paragraph" w:styleId="SectionHeading">
    <w:name w:val="Section Heading"/>
    <w:basedOn w:val="Heading1"/>
    <w:qFormat/>
    <w:pPr/>
    <w:rPr/>
  </w:style>
  <w:style w:type="paragraph" w:styleId="ListBullet">
    <w:name w:val="List Bullet"/>
    <w:basedOn w:val="List"/>
    <w:qFormat/>
    <w:pPr>
      <w:numPr>
        <w:ilvl w:val="0"/>
        <w:numId w:val="9"/>
      </w:numPr>
      <w:ind w:hanging="360" w:start="1440" w:end="720"/>
    </w:pPr>
    <w:rPr/>
  </w:style>
  <w:style w:type="paragraph" w:styleId="ListNumber">
    <w:name w:val="List Number"/>
    <w:basedOn w:val="List"/>
    <w:qFormat/>
    <w:pPr>
      <w:numPr>
        <w:ilvl w:val="0"/>
        <w:numId w:val="10"/>
      </w:numPr>
      <w:ind w:hanging="360" w:start="1800" w:end="720"/>
    </w:pPr>
    <w:rPr/>
  </w:style>
  <w:style w:type="paragraph" w:styleId="MacroText">
    <w:name w:val="Macro Text"/>
    <w:basedOn w:val="Normal"/>
    <w:qFormat/>
    <w:pPr/>
    <w:rPr>
      <w:rFonts w:ascii="Courier New" w:hAnsi="Courier New" w:cs="Courier New"/>
    </w:rPr>
  </w:style>
  <w:style w:type="paragraph" w:styleId="TitleCover">
    <w:name w:val="Title Cover"/>
    <w:basedOn w:val="Normal"/>
    <w:next w:val="SubtitleCover"/>
    <w:qFormat/>
    <w:pPr>
      <w:keepNext w:val="true"/>
      <w:keepLines/>
      <w:spacing w:lineRule="atLeast" w:line="240" w:before="1800" w:after="120"/>
    </w:pPr>
    <w:rPr>
      <w:rFonts w:ascii="Arial" w:hAnsi="Arial" w:cs="Arial"/>
      <w:b/>
      <w:spacing w:val="-48"/>
      <w:kern w:val="2"/>
      <w:sz w:val="72"/>
    </w:rPr>
  </w:style>
  <w:style w:type="paragraph" w:styleId="SubtitleCover">
    <w:name w:val="Subtitle Cover"/>
    <w:basedOn w:val="TitleCover"/>
    <w:next w:val="Normal"/>
    <w:qFormat/>
    <w:pPr>
      <w:spacing w:before="1520" w:after="120"/>
      <w:ind w:hanging="0" w:start="0" w:end="1680"/>
    </w:pPr>
    <w:rPr>
      <w:rFonts w:ascii="Times New Roman" w:hAnsi="Times New Roman" w:cs="Times New Roman"/>
      <w:b w:val="false"/>
      <w:i/>
      <w:spacing w:val="-20"/>
      <w:sz w:val="40"/>
    </w:rPr>
  </w:style>
  <w:style w:type="paragraph" w:styleId="TOCBase">
    <w:name w:val="TOC Base"/>
    <w:basedOn w:val="Normal"/>
    <w:qFormat/>
    <w:pPr>
      <w:tabs>
        <w:tab w:val="clear" w:pos="720"/>
        <w:tab w:val="right" w:pos="6480" w:leader="dot"/>
      </w:tabs>
      <w:spacing w:lineRule="atLeast" w:line="220" w:before="0" w:after="220"/>
      <w:ind w:hanging="0" w:start="0" w:end="0"/>
    </w:pPr>
    <w:rPr>
      <w:rFonts w:ascii="Arial" w:hAnsi="Arial" w:cs="Arial"/>
    </w:rPr>
  </w:style>
  <w:style w:type="paragraph" w:styleId="TableofFigures">
    <w:name w:val="Table of Figures"/>
    <w:basedOn w:val="Normal"/>
    <w:qFormat/>
    <w:pPr>
      <w:tabs>
        <w:tab w:val="clear" w:pos="720"/>
        <w:tab w:val="right" w:pos="10080" w:leader="dot"/>
      </w:tabs>
      <w:ind w:hanging="360" w:start="360" w:end="0"/>
    </w:pPr>
    <w:rPr/>
  </w:style>
  <w:style w:type="paragraph" w:styleId="TOC1">
    <w:name w:val="toc 1"/>
    <w:basedOn w:val="Normal"/>
    <w:next w:val="Normal"/>
    <w:pPr>
      <w:spacing w:before="120" w:after="120"/>
    </w:pPr>
    <w:rPr>
      <w:rFonts w:ascii="Verdana" w:hAnsi="Verdana" w:cs="Verdana"/>
      <w:b/>
      <w:caps/>
      <w:sz w:val="22"/>
      <w:szCs w:val="28"/>
      <w:lang w:val="en-CA" w:eastAsia="en-CA"/>
    </w:rPr>
  </w:style>
  <w:style w:type="paragraph" w:styleId="TOC2">
    <w:name w:val="toc 2"/>
    <w:basedOn w:val="Normal"/>
    <w:next w:val="Normal"/>
    <w:pPr>
      <w:ind w:hanging="0" w:start="360" w:end="0"/>
    </w:pPr>
    <w:rPr>
      <w:smallCaps/>
    </w:rPr>
  </w:style>
  <w:style w:type="paragraph" w:styleId="TOC3">
    <w:name w:val="toc 3"/>
    <w:basedOn w:val="TOCBase"/>
    <w:pPr>
      <w:tabs>
        <w:tab w:val="clear" w:pos="6480"/>
      </w:tabs>
      <w:spacing w:lineRule="auto" w:line="240" w:before="280" w:after="280"/>
      <w:ind w:hanging="0" w:start="403" w:end="0"/>
    </w:pPr>
    <w:rPr>
      <w:rFonts w:ascii="Times New Roman" w:hAnsi="Times New Roman" w:cs="Times New Roman"/>
      <w:szCs w:val="24"/>
    </w:rPr>
  </w:style>
  <w:style w:type="paragraph" w:styleId="TOC4">
    <w:name w:val="toc 4"/>
    <w:basedOn w:val="TOCBase"/>
    <w:pPr>
      <w:tabs>
        <w:tab w:val="clear" w:pos="6480"/>
      </w:tabs>
      <w:spacing w:lineRule="auto" w:line="240" w:before="0" w:after="0"/>
      <w:ind w:hanging="0" w:start="600" w:end="0"/>
    </w:pPr>
    <w:rPr>
      <w:rFonts w:ascii="Times New Roman" w:hAnsi="Times New Roman" w:cs="Times New Roman"/>
      <w:szCs w:val="24"/>
    </w:rPr>
  </w:style>
  <w:style w:type="paragraph" w:styleId="TOC5">
    <w:name w:val="toc 5"/>
    <w:basedOn w:val="TOCBase"/>
    <w:pPr>
      <w:tabs>
        <w:tab w:val="clear" w:pos="6480"/>
      </w:tabs>
      <w:spacing w:lineRule="auto" w:line="240" w:before="0" w:after="0"/>
      <w:ind w:hanging="0" w:start="800" w:end="0"/>
    </w:pPr>
    <w:rPr>
      <w:rFonts w:ascii="Times New Roman" w:hAnsi="Times New Roman" w:cs="Times New Roman"/>
      <w:szCs w:val="24"/>
    </w:rPr>
  </w:style>
  <w:style w:type="paragraph" w:styleId="SectionLabel">
    <w:name w:val="Section Label"/>
    <w:basedOn w:val="Normal"/>
    <w:next w:val="Normal"/>
    <w:qFormat/>
    <w:pPr>
      <w:keepNext w:val="true"/>
      <w:keepLines/>
      <w:spacing w:lineRule="atLeast" w:line="220" w:before="400" w:after="440"/>
    </w:pPr>
    <w:rPr>
      <w:rFonts w:ascii="Times New Roman" w:hAnsi="Times New Roman" w:cs="Times New Roman"/>
      <w:spacing w:val="-30"/>
      <w:kern w:val="2"/>
      <w:sz w:val="60"/>
    </w:rPr>
  </w:style>
  <w:style w:type="paragraph" w:styleId="Subtitle">
    <w:name w:val="Subtitle"/>
    <w:basedOn w:val="Heading"/>
    <w:next w:val="Normal"/>
    <w:qFormat/>
    <w:pPr>
      <w:spacing w:lineRule="atLeast" w:line="400" w:before="0" w:after="160"/>
    </w:pPr>
    <w:rPr>
      <w:i/>
      <w:spacing w:val="-14"/>
      <w:sz w:val="34"/>
    </w:rPr>
  </w:style>
  <w:style w:type="paragraph" w:styleId="ListNumber2">
    <w:name w:val="List Number 2"/>
    <w:basedOn w:val="ListNumber"/>
    <w:qFormat/>
    <w:pPr>
      <w:ind w:hanging="360" w:start="2160" w:end="720"/>
    </w:pPr>
    <w:rPr/>
  </w:style>
  <w:style w:type="paragraph" w:styleId="ListNumber3">
    <w:name w:val="List Number 3"/>
    <w:basedOn w:val="ListNumber"/>
    <w:qFormat/>
    <w:pPr>
      <w:ind w:hanging="360" w:start="2520" w:end="720"/>
    </w:pPr>
    <w:rPr/>
  </w:style>
  <w:style w:type="paragraph" w:styleId="ListBullet21">
    <w:name w:val="List Bullet 21"/>
    <w:basedOn w:val="ListBullet"/>
    <w:qFormat/>
    <w:pPr>
      <w:ind w:hanging="360" w:start="2160" w:end="720"/>
    </w:pPr>
    <w:rPr/>
  </w:style>
  <w:style w:type="paragraph" w:styleId="ListNumber4">
    <w:name w:val="List Number 4"/>
    <w:basedOn w:val="ListNumber"/>
    <w:qFormat/>
    <w:pPr>
      <w:ind w:hanging="360" w:start="2880" w:end="720"/>
    </w:pPr>
    <w:rPr/>
  </w:style>
  <w:style w:type="paragraph" w:styleId="ListBullet31">
    <w:name w:val="List Bullet 31"/>
    <w:basedOn w:val="ListBullet"/>
    <w:qFormat/>
    <w:pPr>
      <w:ind w:hanging="360" w:start="2520" w:end="720"/>
    </w:pPr>
    <w:rPr/>
  </w:style>
  <w:style w:type="paragraph" w:styleId="ListBullet41">
    <w:name w:val="List Bullet 41"/>
    <w:basedOn w:val="ListBullet"/>
    <w:qFormat/>
    <w:pPr>
      <w:ind w:hanging="360" w:start="2880" w:end="720"/>
    </w:pPr>
    <w:rPr/>
  </w:style>
  <w:style w:type="paragraph" w:styleId="ListBullet5">
    <w:name w:val="List Bullet 5"/>
    <w:basedOn w:val="List"/>
    <w:pPr>
      <w:ind w:hanging="360" w:start="2880" w:end="0"/>
    </w:pPr>
    <w:rPr/>
  </w:style>
  <w:style w:type="paragraph" w:styleId="ListBullet4">
    <w:name w:val="List Bullet 4"/>
    <w:basedOn w:val="List"/>
    <w:pPr>
      <w:ind w:hanging="360" w:start="2520" w:end="0"/>
    </w:pPr>
    <w:rPr/>
  </w:style>
  <w:style w:type="paragraph" w:styleId="ListBullet3">
    <w:name w:val="List Bullet 3"/>
    <w:basedOn w:val="List"/>
    <w:pPr>
      <w:ind w:hanging="360" w:start="2160" w:end="0"/>
    </w:pPr>
    <w:rPr/>
  </w:style>
  <w:style w:type="paragraph" w:styleId="ListBullet2">
    <w:name w:val="List Bullet 2"/>
    <w:basedOn w:val="List"/>
    <w:pPr>
      <w:ind w:hanging="360" w:start="1800" w:end="0"/>
    </w:pPr>
    <w:rPr/>
  </w:style>
  <w:style w:type="paragraph" w:styleId="ListNumber5">
    <w:name w:val="List Number 5"/>
    <w:basedOn w:val="ListNumber"/>
    <w:qFormat/>
    <w:pPr>
      <w:ind w:hanging="360" w:start="3240" w:end="720"/>
    </w:pPr>
    <w:rPr/>
  </w:style>
  <w:style w:type="paragraph" w:styleId="ListContinue">
    <w:name w:val="List Continue"/>
    <w:basedOn w:val="List"/>
    <w:qFormat/>
    <w:pPr>
      <w:numPr>
        <w:ilvl w:val="0"/>
        <w:numId w:val="11"/>
      </w:numPr>
      <w:ind w:hanging="0" w:start="1800" w:end="0"/>
    </w:pPr>
    <w:rPr/>
  </w:style>
  <w:style w:type="paragraph" w:styleId="ListContinue2">
    <w:name w:val="List Continue 2"/>
    <w:basedOn w:val="ListContinue"/>
    <w:qFormat/>
    <w:pPr>
      <w:ind w:hanging="0" w:start="2160" w:end="0"/>
    </w:pPr>
    <w:rPr/>
  </w:style>
  <w:style w:type="paragraph" w:styleId="ListContinue3">
    <w:name w:val="List Continue 3"/>
    <w:basedOn w:val="ListContinue"/>
    <w:qFormat/>
    <w:pPr>
      <w:ind w:hanging="0" w:start="2520" w:end="0"/>
    </w:pPr>
    <w:rPr/>
  </w:style>
  <w:style w:type="paragraph" w:styleId="ListContinue4">
    <w:name w:val="List Continue 4"/>
    <w:basedOn w:val="ListContinue"/>
    <w:qFormat/>
    <w:pPr>
      <w:ind w:hanging="0" w:start="2880" w:end="0"/>
    </w:pPr>
    <w:rPr/>
  </w:style>
  <w:style w:type="paragraph" w:styleId="ListContinue5">
    <w:name w:val="List Continue 5"/>
    <w:basedOn w:val="ListContinue"/>
    <w:qFormat/>
    <w:pPr>
      <w:ind w:hanging="0" w:start="3240" w:end="0"/>
    </w:pPr>
    <w:rPr/>
  </w:style>
  <w:style w:type="paragraph" w:styleId="NormalIndent">
    <w:name w:val="Normal Indent"/>
    <w:basedOn w:val="Normal"/>
    <w:qFormat/>
    <w:pPr>
      <w:ind w:hanging="0" w:start="1440" w:end="0"/>
    </w:pPr>
    <w:rPr/>
  </w:style>
  <w:style w:type="paragraph" w:styleId="ReturnAddress">
    <w:name w:val="Return Address"/>
    <w:basedOn w:val="Normal"/>
    <w:qFormat/>
    <w:pPr>
      <w:keepLines/>
      <w:spacing w:lineRule="atLeast" w:line="220"/>
      <w:ind w:hanging="0" w:start="0" w:end="0"/>
    </w:pPr>
    <w:rPr>
      <w:sz w:val="16"/>
    </w:rPr>
  </w:style>
  <w:style w:type="paragraph" w:styleId="PartTitle">
    <w:name w:val="Part Title"/>
    <w:basedOn w:val="Normal"/>
    <w:next w:val="PartSubtitle"/>
    <w:qFormat/>
    <w:pPr>
      <w:keepNext w:val="true"/>
      <w:keepLines/>
      <w:spacing w:lineRule="atLeast" w:line="540" w:before="660" w:after="400"/>
      <w:ind w:hanging="0" w:start="0" w:end="2160"/>
    </w:pPr>
    <w:rPr>
      <w:rFonts w:ascii="Times New Roman" w:hAnsi="Times New Roman" w:cs="Times New Roman"/>
      <w:spacing w:val="-40"/>
      <w:kern w:val="2"/>
      <w:sz w:val="60"/>
    </w:rPr>
  </w:style>
  <w:style w:type="paragraph" w:styleId="PartSubtitle">
    <w:name w:val="Part Subtitle"/>
    <w:basedOn w:val="Normal"/>
    <w:next w:val="Normal"/>
    <w:qFormat/>
    <w:pPr>
      <w:keepNext w:val="true"/>
      <w:keepLines/>
      <w:spacing w:lineRule="atLeast" w:line="400" w:before="0" w:after="160"/>
      <w:ind w:hanging="0" w:start="0" w:end="2160"/>
    </w:pPr>
    <w:rPr>
      <w:i/>
      <w:spacing w:val="-14"/>
      <w:kern w:val="2"/>
      <w:sz w:val="34"/>
    </w:rPr>
  </w:style>
  <w:style w:type="paragraph" w:styleId="PartLabel">
    <w:name w:val="Part Label"/>
    <w:basedOn w:val="Normal"/>
    <w:next w:val="Normal"/>
    <w:qFormat/>
    <w:pPr>
      <w:keepNext w:val="true"/>
      <w:keepLines/>
      <w:spacing w:lineRule="atLeast" w:line="220" w:before="400" w:after="440"/>
    </w:pPr>
    <w:rPr>
      <w:rFonts w:ascii="Times New Roman" w:hAnsi="Times New Roman" w:cs="Times New Roman"/>
      <w:spacing w:val="-30"/>
      <w:kern w:val="2"/>
      <w:sz w:val="60"/>
    </w:rPr>
  </w:style>
  <w:style w:type="paragraph" w:styleId="TableofAuthorities">
    <w:name w:val="Table of Authorities"/>
    <w:basedOn w:val="Normal"/>
    <w:qFormat/>
    <w:pPr>
      <w:tabs>
        <w:tab w:val="clear" w:pos="720"/>
        <w:tab w:val="right" w:pos="7560" w:leader="dot"/>
      </w:tabs>
      <w:ind w:hanging="360" w:start="1440" w:end="0"/>
    </w:pPr>
    <w:rPr/>
  </w:style>
  <w:style w:type="paragraph" w:styleId="TOAHeading">
    <w:name w:val="TOA Heading"/>
    <w:basedOn w:val="Normal"/>
    <w:next w:val="TableofAuthorities"/>
    <w:qFormat/>
    <w:pPr>
      <w:keepNext w:val="true"/>
      <w:spacing w:lineRule="exact" w:line="360" w:before="240" w:after="120"/>
    </w:pPr>
    <w:rPr>
      <w:rFonts w:ascii="Arial" w:hAnsi="Arial" w:cs="Arial"/>
      <w:b/>
      <w:kern w:val="2"/>
      <w:sz w:val="28"/>
    </w:rPr>
  </w:style>
  <w:style w:type="paragraph" w:styleId="ListBullet51">
    <w:name w:val="List Bullet 51"/>
    <w:basedOn w:val="ListBullet"/>
    <w:qFormat/>
    <w:pPr>
      <w:ind w:hanging="360" w:start="3240" w:end="720"/>
    </w:pPr>
    <w:rPr/>
  </w:style>
  <w:style w:type="paragraph" w:styleId="MessageHeader">
    <w:name w:val="Message Header"/>
    <w:basedOn w:val="Normal"/>
    <w:qFormat/>
    <w:pPr>
      <w:keepLines/>
      <w:tabs>
        <w:tab w:val="clear" w:pos="720"/>
        <w:tab w:val="left" w:pos="3600" w:leader="none"/>
        <w:tab w:val="left" w:pos="4680" w:leader="none"/>
      </w:tabs>
      <w:spacing w:lineRule="exact" w:line="280"/>
      <w:ind w:hanging="1080" w:start="0" w:end="2160"/>
    </w:pPr>
    <w:rPr>
      <w:rFonts w:ascii="Arial" w:hAnsi="Arial" w:cs="Arial"/>
      <w:sz w:val="22"/>
    </w:rPr>
  </w:style>
  <w:style w:type="paragraph" w:styleId="TOC6">
    <w:name w:val="toc 6"/>
    <w:basedOn w:val="Normal"/>
    <w:next w:val="Normal"/>
    <w:pPr>
      <w:ind w:hanging="0" w:start="1000" w:end="0"/>
    </w:pPr>
    <w:rPr>
      <w:szCs w:val="24"/>
    </w:rPr>
  </w:style>
  <w:style w:type="paragraph" w:styleId="TOC7">
    <w:name w:val="toc 7"/>
    <w:basedOn w:val="Normal"/>
    <w:next w:val="Normal"/>
    <w:pPr>
      <w:ind w:hanging="0" w:start="1200" w:end="0"/>
    </w:pPr>
    <w:rPr>
      <w:szCs w:val="24"/>
    </w:rPr>
  </w:style>
  <w:style w:type="paragraph" w:styleId="TOC8">
    <w:name w:val="toc 8"/>
    <w:basedOn w:val="Normal"/>
    <w:next w:val="Normal"/>
    <w:pPr>
      <w:ind w:hanging="0" w:start="1400" w:end="0"/>
    </w:pPr>
    <w:rPr>
      <w:szCs w:val="24"/>
    </w:rPr>
  </w:style>
  <w:style w:type="paragraph" w:styleId="TOC9">
    <w:name w:val="toc 9"/>
    <w:basedOn w:val="Normal"/>
    <w:next w:val="Normal"/>
    <w:pPr>
      <w:ind w:hanging="0" w:start="1600" w:end="0"/>
    </w:pPr>
    <w:rPr>
      <w:szCs w:val="24"/>
    </w:rPr>
  </w:style>
  <w:style w:type="paragraph" w:styleId="Recommendation">
    <w:name w:val="Recommendation"/>
    <w:basedOn w:val="Normal"/>
    <w:next w:val="Normal"/>
    <w:qFormat/>
    <w:pPr>
      <w:numPr>
        <w:ilvl w:val="0"/>
        <w:numId w:val="2"/>
      </w:numPr>
      <w:tabs>
        <w:tab w:val="clear" w:pos="720"/>
        <w:tab w:val="left" w:pos="360" w:leader="none"/>
      </w:tabs>
    </w:pPr>
    <w:rPr>
      <w:rFonts w:ascii="Verdana" w:hAnsi="Verdana" w:cs="Verdana"/>
      <w:b/>
      <w:i/>
      <w:sz w:val="20"/>
      <w:lang w:val="en-CA" w:eastAsia="en-CA"/>
    </w:rPr>
  </w:style>
  <w:style w:type="paragraph" w:styleId="Cover1">
    <w:name w:val="Cover1"/>
    <w:qFormat/>
    <w:pPr>
      <w:widowControl/>
      <w:bidi w:val="0"/>
    </w:pPr>
    <w:rPr>
      <w:rFonts w:ascii="Verdana" w:hAnsi="Verdana" w:eastAsia="Times New Roman" w:cs="Verdana"/>
      <w:b/>
      <w:color w:val="auto"/>
      <w:sz w:val="40"/>
      <w:szCs w:val="20"/>
      <w:lang w:val="en-US" w:bidi="ar-SA" w:eastAsia="zh-CN"/>
    </w:rPr>
  </w:style>
  <w:style w:type="paragraph" w:styleId="Cover2">
    <w:name w:val="Cover2"/>
    <w:qFormat/>
    <w:pPr>
      <w:widowControl/>
      <w:bidi w:val="0"/>
    </w:pPr>
    <w:rPr>
      <w:rFonts w:ascii="Verdana" w:hAnsi="Verdana" w:eastAsia="Times New Roman" w:cs="Verdana"/>
      <w:b/>
      <w:color w:val="auto"/>
      <w:sz w:val="24"/>
      <w:szCs w:val="20"/>
      <w:lang w:val="en-US" w:bidi="ar-SA" w:eastAsia="zh-CN"/>
    </w:rPr>
  </w:style>
  <w:style w:type="paragraph" w:styleId="HeadingBase">
    <w:name w:val="Heading Base"/>
    <w:basedOn w:val="Normal"/>
    <w:next w:val="BodyText"/>
    <w:qFormat/>
    <w:pPr>
      <w:keepNext w:val="true"/>
      <w:keepLines/>
      <w:spacing w:lineRule="atLeast" w:line="220" w:before="140" w:after="120"/>
    </w:pPr>
    <w:rPr>
      <w:rFonts w:ascii="Arial" w:hAnsi="Arial" w:cs="Arial"/>
      <w:spacing w:val="-4"/>
      <w:kern w:val="2"/>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2002-02-05T00:51:00Z</dcterms:created>
  <dc:creator>Shirley Whyte</dc:creator>
  <dc:description/>
  <dc:language>en-CA</dc:language>
  <cp:lastModifiedBy>Shirley Whyte</cp:lastModifiedBy>
  <cp:lastPrinted>2002-01-21T15:56:00Z</cp:lastPrinted>
  <dcterms:modified xsi:type="dcterms:W3CDTF">2002-02-05T01:08:00Z</dcterms:modified>
  <cp:revision>6</cp:revision>
  <dc:subject/>
  <dc:title>ERCOT SYSTEM AUDIT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corporat 011</vt:lpwstr>
  </property>
</Properties>
</file>