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rPr>
      </w:pPr>
      <w:r>
        <w:rPr>
          <w:sz w:val="24"/>
        </w:rPr>
        <w:t>SCHEDULE</w:t>
      </w:r>
    </w:p>
    <w:p>
      <w:pPr>
        <w:pStyle w:val="Normal"/>
        <w:widowControl/>
        <w:jc w:val="center"/>
        <w:rPr>
          <w:sz w:val="24"/>
        </w:rPr>
      </w:pPr>
      <w:r>
        <w:rPr>
          <w:sz w:val="24"/>
        </w:rPr>
      </w:r>
    </w:p>
    <w:p>
      <w:pPr>
        <w:pStyle w:val="Normal"/>
        <w:widowControl/>
        <w:jc w:val="center"/>
        <w:rPr>
          <w:sz w:val="24"/>
        </w:rPr>
      </w:pPr>
      <w:r>
        <w:rPr>
          <w:sz w:val="24"/>
        </w:rPr>
        <w:t>to the Master Agreement</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pPr>
      <w:r>
        <w:rPr>
          <w:sz w:val="24"/>
        </w:rPr>
        <w:t xml:space="preserve">dated as of </w:t>
      </w:r>
      <w:r>
        <w:rPr>
          <w:strike/>
          <w:sz w:val="24"/>
        </w:rPr>
        <w:t>________________</w:t>
      </w:r>
      <w:r>
        <w:rPr>
          <w:b/>
          <w:sz w:val="24"/>
        </w:rPr>
        <w:t>August ___</w:t>
      </w:r>
      <w:r>
        <w:rPr>
          <w:sz w:val="24"/>
        </w:rPr>
        <w:t>, 2000</w:t>
      </w:r>
    </w:p>
    <w:p>
      <w:pPr>
        <w:pStyle w:val="Normal"/>
        <w:widowControl/>
        <w:jc w:val="center"/>
        <w:rPr>
          <w:sz w:val="24"/>
        </w:rPr>
      </w:pPr>
      <w:r>
        <w:rPr>
          <w:sz w:val="24"/>
        </w:rPr>
      </w:r>
    </w:p>
    <w:p>
      <w:pPr>
        <w:pStyle w:val="Normal"/>
        <w:widowControl/>
        <w:jc w:val="center"/>
        <w:rPr>
          <w:sz w:val="24"/>
        </w:rPr>
      </w:pPr>
      <w:r>
        <w:rPr>
          <w:sz w:val="24"/>
        </w:rPr>
        <w:t>between PRESIDENT AND FELLOWS OF HARVARD COLLEGE</w:t>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 xml:space="preserve">and ENRON NORTH AMERICA </w:t>
      </w:r>
      <w:r>
        <w:rPr>
          <w:strike/>
          <w:sz w:val="24"/>
        </w:rPr>
        <w:t>CORPORATION</w:t>
      </w:r>
      <w:r>
        <w:rPr>
          <w:sz w:val="24"/>
        </w:rPr>
        <w:t xml:space="preserve"> </w:t>
      </w:r>
      <w:r>
        <w:rPr>
          <w:b/>
          <w:sz w:val="24"/>
        </w:rPr>
        <w:t>CORP.</w:t>
      </w:r>
    </w:p>
    <w:p>
      <w:pPr>
        <w:pStyle w:val="Normal"/>
        <w:widowControl/>
        <w:jc w:val="center"/>
        <w:rPr>
          <w:sz w:val="24"/>
        </w:rPr>
      </w:pPr>
      <w:r>
        <w:rPr>
          <w:sz w:val="24"/>
        </w:rPr>
        <w:t>(“Party B”)</w:t>
      </w:r>
    </w:p>
    <w:p>
      <w:pPr>
        <w:pStyle w:val="Normal"/>
        <w:widowControl/>
        <w:jc w:val="center"/>
        <w:rPr>
          <w:sz w:val="24"/>
        </w:rPr>
      </w:pPr>
      <w:r>
        <w:rPr>
          <w:sz w:val="24"/>
        </w:rPr>
      </w:r>
    </w:p>
    <w:p>
      <w:pPr>
        <w:pStyle w:val="PartNumbered"/>
        <w:widowControl/>
        <w:rPr/>
      </w:pPr>
      <w:r>
        <w:rPr/>
        <w:t>Part 1</w:t>
      </w:r>
    </w:p>
    <w:p>
      <w:pPr>
        <w:pStyle w:val="Normal"/>
        <w:widowControl/>
        <w:jc w:val="center"/>
        <w:rPr>
          <w:sz w:val="24"/>
        </w:rPr>
      </w:pPr>
      <w:r>
        <w:rPr>
          <w:sz w:val="24"/>
        </w:rPr>
        <w:t>Termination Provisions</w:t>
      </w:r>
    </w:p>
    <w:p>
      <w:pPr>
        <w:pStyle w:val="Normal"/>
        <w:widowControl/>
        <w:rPr>
          <w:sz w:val="24"/>
        </w:rPr>
      </w:pPr>
      <w:r>
        <w:rPr>
          <w:sz w:val="24"/>
        </w:rPr>
      </w:r>
    </w:p>
    <w:p>
      <w:pPr>
        <w:pStyle w:val="Normal"/>
        <w:widowControl/>
        <w:rPr>
          <w:sz w:val="24"/>
        </w:rPr>
      </w:pPr>
      <w:r>
        <w:rPr>
          <w:sz w:val="24"/>
        </w:rPr>
        <w:t>In this Agreement:</w:t>
      </w:r>
    </w:p>
    <w:p>
      <w:pPr>
        <w:pStyle w:val="Normal"/>
        <w:widowControl/>
        <w:rPr>
          <w:sz w:val="24"/>
        </w:rPr>
      </w:pPr>
      <w:r>
        <w:rPr>
          <w:sz w:val="24"/>
        </w:rPr>
      </w:r>
    </w:p>
    <w:p>
      <w:pPr>
        <w:pStyle w:val="Style21"/>
        <w:widowControl/>
        <w:tabs>
          <w:tab w:val="clear" w:pos="360"/>
        </w:tabs>
        <w:rPr/>
      </w:pPr>
      <w:r>
        <w:rPr/>
        <w:t>(a)</w:t>
        <w:tab/>
      </w:r>
      <w:r>
        <w:rPr>
          <w:b/>
        </w:rPr>
        <w:t>There are no “Specified Entities” in relation to either party.</w:t>
      </w:r>
      <w:r>
        <w:rPr>
          <w:strike/>
        </w:rPr>
        <w:t>“Specified Entity” means in relation to Party B for the purpose of:</w:t>
      </w:r>
    </w:p>
    <w:p>
      <w:pPr>
        <w:pStyle w:val="Style21"/>
        <w:widowControl/>
        <w:tabs>
          <w:tab w:val="clear" w:pos="360"/>
        </w:tabs>
        <w:rPr>
          <w:strike/>
        </w:rPr>
      </w:pPr>
      <w:r>
        <w:rPr>
          <w:strike/>
        </w:rPr>
      </w:r>
    </w:p>
    <w:p>
      <w:pPr>
        <w:pStyle w:val="Style21"/>
        <w:widowControl/>
        <w:tabs>
          <w:tab w:val="clear" w:pos="360"/>
        </w:tabs>
        <w:rPr>
          <w:strike/>
        </w:rPr>
      </w:pPr>
      <w:r>
        <w:rPr>
          <w:strike/>
        </w:rPr>
        <w:t>Section 5(a)(v): Any Affiliate of Party B</w:t>
      </w:r>
    </w:p>
    <w:p>
      <w:pPr>
        <w:pStyle w:val="Style21"/>
        <w:widowControl/>
        <w:tabs>
          <w:tab w:val="clear" w:pos="360"/>
        </w:tabs>
        <w:rPr>
          <w:strike/>
        </w:rPr>
      </w:pPr>
      <w:r>
        <w:rPr>
          <w:strike/>
        </w:rPr>
      </w:r>
    </w:p>
    <w:p>
      <w:pPr>
        <w:pStyle w:val="Style21"/>
        <w:widowControl/>
        <w:tabs>
          <w:tab w:val="clear" w:pos="360"/>
        </w:tabs>
        <w:rPr>
          <w:strike/>
        </w:rPr>
      </w:pPr>
      <w:r>
        <w:rPr>
          <w:strike/>
        </w:rPr>
        <w:t>Section 5(a)(vi): Any Affiliate of Party B</w:t>
      </w:r>
    </w:p>
    <w:p>
      <w:pPr>
        <w:pStyle w:val="Style21"/>
        <w:widowControl/>
        <w:tabs>
          <w:tab w:val="clear" w:pos="360"/>
        </w:tabs>
        <w:rPr>
          <w:strike/>
        </w:rPr>
      </w:pPr>
      <w:r>
        <w:rPr>
          <w:strike/>
        </w:rPr>
      </w:r>
    </w:p>
    <w:p>
      <w:pPr>
        <w:pStyle w:val="Style21"/>
        <w:widowControl/>
        <w:tabs>
          <w:tab w:val="clear" w:pos="360"/>
        </w:tabs>
        <w:rPr>
          <w:strike/>
        </w:rPr>
      </w:pPr>
      <w:r>
        <w:rPr>
          <w:strike/>
        </w:rPr>
        <w:t xml:space="preserve">Section 5(a)(vii): Any Credit Support Provider </w:t>
      </w:r>
    </w:p>
    <w:p>
      <w:pPr>
        <w:pStyle w:val="Style21"/>
        <w:widowControl/>
        <w:tabs>
          <w:tab w:val="clear" w:pos="360"/>
        </w:tabs>
        <w:rPr>
          <w:strike/>
        </w:rPr>
      </w:pPr>
      <w:r>
        <w:rPr>
          <w:strike/>
        </w:rPr>
      </w:r>
    </w:p>
    <w:p>
      <w:pPr>
        <w:pStyle w:val="Style21"/>
        <w:widowControl/>
        <w:tabs>
          <w:tab w:val="clear" w:pos="360"/>
        </w:tabs>
        <w:rPr>
          <w:strike/>
        </w:rPr>
      </w:pPr>
      <w:r>
        <w:rPr>
          <w:strike/>
        </w:rPr>
        <w:t xml:space="preserve">Section 5(b)(iv): Any Credit Support Provider </w:t>
      </w:r>
    </w:p>
    <w:p>
      <w:pPr>
        <w:pStyle w:val="Style21"/>
        <w:widowControl/>
        <w:tabs>
          <w:tab w:val="clear" w:pos="360"/>
        </w:tabs>
        <w:rPr>
          <w:strike/>
        </w:rPr>
      </w:pPr>
      <w:r>
        <w:rPr>
          <w:strike/>
        </w:rPr>
        <w:t xml:space="preserve">Section 5(b)(v): Any Credit Support Provider </w:t>
      </w:r>
    </w:p>
    <w:p>
      <w:pPr>
        <w:pStyle w:val="Style21"/>
        <w:widowControl/>
        <w:tabs>
          <w:tab w:val="clear" w:pos="360"/>
        </w:tabs>
        <w:rPr>
          <w:strike/>
        </w:rPr>
      </w:pPr>
      <w:r>
        <w:rPr>
          <w:strike/>
        </w:rPr>
      </w:r>
    </w:p>
    <w:p>
      <w:pPr>
        <w:pStyle w:val="Style21"/>
        <w:widowControl/>
        <w:tabs>
          <w:tab w:val="clear" w:pos="360"/>
        </w:tabs>
        <w:rPr>
          <w:strike/>
        </w:rPr>
      </w:pPr>
      <w:r>
        <w:rPr>
          <w:strike/>
        </w:rPr>
        <w:t>There is no “Specified Entity” in relation to Party A; the Guarantor and any issuer of a Letter of Credit (as defined in the Addendum to the Credit Support Annex between Party A and Party B dated as of ________ __, 2000) is a Credit Support Provider in respect of Party B.</w:t>
      </w:r>
    </w:p>
    <w:p>
      <w:pPr>
        <w:pStyle w:val="Normal"/>
        <w:widowControl/>
        <w:rPr>
          <w:sz w:val="24"/>
        </w:rPr>
      </w:pPr>
      <w:r>
        <w:rPr>
          <w:sz w:val="24"/>
        </w:rPr>
        <w:t xml:space="preserve"> </w:t>
      </w:r>
    </w:p>
    <w:p>
      <w:pPr>
        <w:pStyle w:val="Style21"/>
        <w:widowControl/>
        <w:tabs>
          <w:tab w:val="clear" w:pos="360"/>
        </w:tabs>
        <w:rPr/>
      </w:pPr>
      <w:r>
        <w:rPr/>
        <w:t>(b)</w:t>
        <w:tab/>
        <w:t xml:space="preserve">“Specified Transaction” shall </w:t>
      </w:r>
      <w:r>
        <w:rPr>
          <w:strike/>
        </w:rPr>
        <w:t>not</w:t>
      </w:r>
      <w:r>
        <w:rPr/>
        <w:t xml:space="preserve"> have the meaning specified in Section 14, </w:t>
      </w:r>
      <w:r>
        <w:rPr>
          <w:strike/>
        </w:rPr>
        <w:t>but instead shall mean</w:t>
      </w:r>
      <w:r>
        <w:rPr/>
        <w:t xml:space="preserve"> </w:t>
      </w:r>
      <w:r>
        <w:rPr>
          <w:b/>
        </w:rPr>
        <w:t>and shall include, in addition, any of</w:t>
      </w:r>
      <w:r>
        <w:rPr/>
        <w:t xml:space="preserve"> the following </w:t>
      </w:r>
      <w:r>
        <w:rPr>
          <w:strike/>
        </w:rPr>
        <w:t>:</w:t>
      </w:r>
    </w:p>
    <w:p>
      <w:pPr>
        <w:pStyle w:val="Style21"/>
        <w:widowControl/>
        <w:tabs>
          <w:tab w:val="clear" w:pos="360"/>
        </w:tabs>
        <w:rPr>
          <w:strike/>
        </w:rPr>
      </w:pPr>
      <w:r>
        <w:rPr>
          <w:strike/>
        </w:rPr>
      </w:r>
    </w:p>
    <w:p>
      <w:pPr>
        <w:pStyle w:val="Style21"/>
        <w:widowControl/>
        <w:tabs>
          <w:tab w:val="clear" w:pos="360"/>
        </w:tabs>
        <w:rPr/>
      </w:pPr>
      <w:r>
        <w:rPr>
          <w:strike/>
        </w:rPr>
        <w:t>(i) Any transaction (including an agreement with respect thereto) now existing or hereafter</w:t>
      </w:r>
      <w:r>
        <w:rPr/>
        <w:t xml:space="preserve"> entered into between one party to this Agreement </w:t>
      </w:r>
      <w:r>
        <w:rPr>
          <w:strike/>
        </w:rPr>
        <w:t>(or any applicable Specified Entity of such party)</w:t>
      </w:r>
      <w:r>
        <w:rPr/>
        <w:t xml:space="preserve"> and the other party to this Agreement</w:t>
      </w:r>
      <w:r>
        <w:rPr>
          <w:strike/>
        </w:rPr>
        <w:t>(or any applicable Specified Entity of such party) which is a rate swap transaction, basis swap, forward rate transaction, commodity option, equity or equity index swap, equity or equity index option, interest rate option, foreign exchange transaction, cap transaction, floor transaction, collar transaction, currency swap transaction, cross-currency rate swap transaction, currency option or any other similar transaction (including any option to enter into any of the foregoing) or any combination of these transactions and any other transaction identified as a Specified Transaction in this Agreement or the relevant confirmation;</w:t>
      </w:r>
    </w:p>
    <w:p>
      <w:pPr>
        <w:pStyle w:val="Style21"/>
        <w:widowControl/>
        <w:tabs>
          <w:tab w:val="clear" w:pos="360"/>
        </w:tabs>
        <w:rPr>
          <w:strike/>
        </w:rPr>
      </w:pPr>
      <w:r>
        <w:rPr>
          <w:strike/>
        </w:rPr>
      </w:r>
    </w:p>
    <w:p>
      <w:pPr>
        <w:pStyle w:val="Style21"/>
        <w:widowControl/>
        <w:tabs>
          <w:tab w:val="clear" w:pos="360"/>
        </w:tabs>
        <w:rPr>
          <w:strike/>
        </w:rPr>
      </w:pPr>
      <w:r>
        <w:rPr>
          <w:strike/>
        </w:rPr>
        <w:t>(ii) any securities option transaction or other transaction (including an agreement with respect thereto) between one party to this Agreement (or any applicable Specified Entity of such party) and the other party to this Agreement (or any applicable Specified Entity of such party) in which one party is granted an option to buy or sell a security (any such option transaction relating to one or more negotiable debt obligations of the U.S. Treasury being referred to herein as a “Government Bond Option”);</w:t>
      </w:r>
    </w:p>
    <w:p>
      <w:pPr>
        <w:pStyle w:val="Style21"/>
        <w:widowControl/>
        <w:tabs>
          <w:tab w:val="clear" w:pos="360"/>
        </w:tabs>
        <w:rPr>
          <w:strike/>
        </w:rPr>
      </w:pPr>
      <w:r>
        <w:rPr>
          <w:strike/>
        </w:rPr>
      </w:r>
    </w:p>
    <w:p>
      <w:pPr>
        <w:pStyle w:val="Style21"/>
        <w:widowControl/>
        <w:tabs>
          <w:tab w:val="clear" w:pos="360"/>
        </w:tabs>
        <w:rPr>
          <w:strike/>
        </w:rPr>
      </w:pPr>
      <w:r>
        <w:rPr>
          <w:strike/>
        </w:rPr>
        <w:t>(iii) any of the following entered into between one party to this Agreement (or any Specified Entity of such party) and the other party to this Agreement (or any Specified Entity of such party)</w:t>
      </w:r>
      <w:r>
        <w:rPr/>
        <w:t xml:space="preserve">: any agreement for the purchase, sale, transfer or loan of any commodity or security, or any interest therein or based on the value thereof, or any other commodity or security trading transaction, or any option for the purchase or sale of a security, certificate of deposit, or group or index of securities (including any interest therein or based on the value thereof).   </w:t>
      </w:r>
    </w:p>
    <w:p>
      <w:pPr>
        <w:pStyle w:val="Style21"/>
        <w:widowControl/>
        <w:tabs>
          <w:tab w:val="clear" w:pos="360"/>
        </w:tabs>
        <w:rPr>
          <w:strike/>
        </w:rPr>
      </w:pPr>
      <w:r>
        <w:rPr>
          <w:strike/>
        </w:rPr>
      </w:r>
    </w:p>
    <w:p>
      <w:pPr>
        <w:pStyle w:val="Style21"/>
        <w:widowControl/>
        <w:tabs>
          <w:tab w:val="clear" w:pos="360"/>
        </w:tabs>
        <w:rPr/>
      </w:pPr>
      <w:r>
        <w:rPr/>
        <w:t>For the purpose of the definition of “Specified Transaction”, “commodity” means any tangible commodity of any type or description (including, without limitation, currencies, metals, precious metals, interest rates, securities indices or other indices, petroleum and natural gas, and the products or by-products thereof).</w:t>
      </w:r>
    </w:p>
    <w:p>
      <w:pPr>
        <w:pStyle w:val="Normal"/>
        <w:widowControl/>
        <w:rPr>
          <w:sz w:val="24"/>
        </w:rPr>
      </w:pPr>
      <w:r>
        <w:rPr>
          <w:sz w:val="24"/>
        </w:rPr>
      </w:r>
    </w:p>
    <w:p>
      <w:pPr>
        <w:pStyle w:val="Style21"/>
        <w:widowControl/>
        <w:tabs>
          <w:tab w:val="clear" w:pos="360"/>
        </w:tabs>
        <w:rPr/>
      </w:pPr>
      <w:r>
        <w:rPr/>
        <w:t>(c)</w:t>
        <w:tab/>
        <w:t xml:space="preserve">Section 5(a)(ii) of this Agreement is amended by deleting therefrom the words </w:t>
      </w:r>
      <w:r>
        <w:rPr>
          <w:strike/>
        </w:rPr>
        <w:t>“thirtieth day”</w:t>
      </w:r>
      <w:r>
        <w:rPr>
          <w:b/>
        </w:rPr>
        <w:t>“thirtieth”</w:t>
      </w:r>
      <w:r>
        <w:rPr/>
        <w:t xml:space="preserve">, and substituting therefor the word </w:t>
      </w:r>
      <w:r>
        <w:rPr>
          <w:strike/>
        </w:rPr>
        <w:t>“fifth Local Business Day”</w:t>
      </w:r>
      <w:r>
        <w:rPr>
          <w:b/>
        </w:rPr>
        <w:t>“tenth”</w:t>
      </w:r>
      <w:r>
        <w:rPr/>
        <w:t>.</w:t>
      </w:r>
    </w:p>
    <w:p>
      <w:pPr>
        <w:pStyle w:val="Normal"/>
        <w:widowControl/>
        <w:rPr>
          <w:sz w:val="24"/>
        </w:rPr>
      </w:pPr>
      <w:r>
        <w:rPr>
          <w:sz w:val="24"/>
        </w:rPr>
      </w:r>
    </w:p>
    <w:p>
      <w:pPr>
        <w:pStyle w:val="Style21"/>
        <w:widowControl/>
        <w:tabs>
          <w:tab w:val="clear" w:pos="360"/>
        </w:tabs>
        <w:rPr/>
      </w:pPr>
      <w:r>
        <w:rPr/>
        <w:t>(d)</w:t>
        <w:tab/>
        <w:t>The “Cross Default” provisions of Section 5(a)(vi) will apply to Party A and to Party B.  Section 5(a)(vi) is amended by adding the following at the end thereof:</w:t>
      </w:r>
    </w:p>
    <w:p>
      <w:pPr>
        <w:pStyle w:val="Normal"/>
        <w:widowControl/>
        <w:rPr>
          <w:sz w:val="24"/>
        </w:rPr>
      </w:pPr>
      <w:r>
        <w:rPr>
          <w:sz w:val="24"/>
        </w:rPr>
      </w:r>
    </w:p>
    <w:p>
      <w:pPr>
        <w:pStyle w:val="Normal"/>
        <w:widowControl/>
        <w:ind w:start="720" w:end="0"/>
        <w:rPr/>
      </w:pPr>
      <w:r>
        <w:rPr>
          <w:sz w:val="24"/>
        </w:rPr>
        <w:t>“</w:t>
      </w:r>
      <w:r>
        <w:rPr>
          <w:sz w:val="24"/>
        </w:rPr>
        <w:t xml:space="preserve">; </w:t>
      </w:r>
      <w:r>
        <w:rPr>
          <w:sz w:val="24"/>
          <w:u w:val="single"/>
        </w:rPr>
        <w:t>provided</w:t>
      </w:r>
      <w:r>
        <w:rPr>
          <w:sz w:val="24"/>
        </w:rPr>
        <w:t xml:space="preserve">, </w:t>
      </w:r>
      <w:r>
        <w:rPr>
          <w:sz w:val="24"/>
          <w:u w:val="single"/>
        </w:rPr>
        <w:t>however</w:t>
      </w:r>
      <w:r>
        <w:rPr>
          <w:sz w:val="24"/>
        </w:rPr>
        <w:t>, that notwithstanding the foregoing, an Event of Default shall not be deemed to have occurred at any time under either (1) or (2) above if at such time (i) the event or condition referred to in (1) above or the failure to pay referred to in (2) above is a failure to pay caused solely by an error or omission of an administrative or operational nature and funds were available to such party to enable it at the required time to make the relevant payment when due, and (ii) no Specified Indebtedness has as a result become, or been declared, due and payable under such agreements or instruments, before it would otherwise have been due and payable.”</w:t>
      </w:r>
    </w:p>
    <w:p>
      <w:pPr>
        <w:pStyle w:val="Normal"/>
        <w:widowControl/>
        <w:rPr>
          <w:sz w:val="24"/>
        </w:rPr>
      </w:pPr>
      <w:r>
        <w:rPr>
          <w:sz w:val="24"/>
        </w:rPr>
      </w:r>
    </w:p>
    <w:p>
      <w:pPr>
        <w:pStyle w:val="Normal"/>
        <w:widowControl/>
        <w:rPr>
          <w:sz w:val="24"/>
        </w:rPr>
      </w:pPr>
      <w:r>
        <w:rPr>
          <w:sz w:val="24"/>
        </w:rPr>
        <w:t xml:space="preserve">The “Threshold Amount” will be </w:t>
      </w:r>
      <w:r>
        <w:rPr>
          <w:strike/>
          <w:sz w:val="24"/>
        </w:rPr>
        <w:t>$10,000,000</w:t>
      </w:r>
      <w:r>
        <w:rPr>
          <w:sz w:val="24"/>
        </w:rPr>
        <w:t xml:space="preserve"> </w:t>
      </w:r>
      <w:r>
        <w:rPr>
          <w:b/>
          <w:sz w:val="24"/>
        </w:rPr>
        <w:t>$___________</w:t>
      </w:r>
      <w:r>
        <w:rPr>
          <w:sz w:val="24"/>
        </w:rPr>
        <w:t xml:space="preserve"> in respect of each party (and any Credit Support Provider or Specified Entity of a party). </w:t>
      </w:r>
      <w:r>
        <w:rPr>
          <w:strike/>
          <w:sz w:val="24"/>
        </w:rPr>
        <w:t>Specified Indebtedness will have the meaning specified in Section 14, except that such term shall not include obligations in respect of bank deposits received by a party in the ordinary course of business.</w:t>
      </w:r>
    </w:p>
    <w:p>
      <w:pPr>
        <w:pStyle w:val="Normal"/>
        <w:widowControl/>
        <w:rPr>
          <w:sz w:val="24"/>
        </w:rPr>
      </w:pPr>
      <w:r>
        <w:rPr>
          <w:sz w:val="24"/>
        </w:rPr>
      </w:r>
    </w:p>
    <w:p>
      <w:pPr>
        <w:pStyle w:val="Style21"/>
        <w:widowControl/>
        <w:tabs>
          <w:tab w:val="clear" w:pos="360"/>
        </w:tabs>
        <w:rPr/>
      </w:pPr>
      <w:r>
        <w:rPr/>
        <w:t>(e)</w:t>
        <w:tab/>
        <w:t>Section 5(a)(vii)(4) is amended by deleting the remainder of such Section following the word “liquidation” the first time it appears in such Section.</w:t>
      </w:r>
    </w:p>
    <w:p>
      <w:pPr>
        <w:pStyle w:val="Style21"/>
        <w:widowControl/>
        <w:rPr/>
      </w:pPr>
      <w:r>
        <w:rPr/>
      </w:r>
    </w:p>
    <w:p>
      <w:pPr>
        <w:pStyle w:val="Style21"/>
        <w:widowControl/>
        <w:tabs>
          <w:tab w:val="clear" w:pos="360"/>
        </w:tabs>
        <w:rPr/>
      </w:pPr>
      <w:r>
        <w:rPr/>
        <w:t>(f)</w:t>
        <w:tab/>
        <w:t>“Termination Currency” means United States Dollars.</w:t>
      </w:r>
    </w:p>
    <w:p>
      <w:pPr>
        <w:pStyle w:val="Normal"/>
        <w:widowControl/>
        <w:rPr>
          <w:sz w:val="24"/>
        </w:rPr>
      </w:pPr>
      <w:r>
        <w:rPr>
          <w:sz w:val="24"/>
        </w:rPr>
      </w:r>
    </w:p>
    <w:p>
      <w:pPr>
        <w:pStyle w:val="Style21"/>
        <w:widowControl/>
        <w:tabs>
          <w:tab w:val="clear" w:pos="360"/>
        </w:tabs>
        <w:rPr/>
      </w:pPr>
      <w:r>
        <w:rPr/>
        <w:t>(g)</w:t>
        <w:tab/>
        <w:t>The “Credit Event Upon Merger” provisions of Section 5(b)(iv) will apply to Party A and Party B.  Section 5(b)(iv) of this Agreement is amended to read in its entirety as follows:</w:t>
      </w:r>
    </w:p>
    <w:p>
      <w:pPr>
        <w:pStyle w:val="Normal"/>
        <w:widowControl/>
        <w:rPr>
          <w:sz w:val="24"/>
        </w:rPr>
      </w:pPr>
      <w:r>
        <w:rPr>
          <w:sz w:val="24"/>
        </w:rPr>
      </w:r>
    </w:p>
    <w:p>
      <w:pPr>
        <w:pStyle w:val="Normal"/>
        <w:widowControl/>
        <w:tabs>
          <w:tab w:val="clear" w:pos="720"/>
          <w:tab w:val="left" w:pos="1440" w:leader="none"/>
        </w:tabs>
        <w:ind w:start="630" w:end="0"/>
        <w:rPr/>
      </w:pPr>
      <w:r>
        <w:rPr>
          <w:sz w:val="24"/>
        </w:rPr>
        <w:t>“</w:t>
      </w:r>
      <w:r>
        <w:rPr>
          <w:sz w:val="24"/>
        </w:rPr>
        <w:t>(iv)</w:t>
        <w:tab/>
      </w:r>
      <w:r>
        <w:rPr>
          <w:b/>
          <w:i/>
          <w:sz w:val="24"/>
        </w:rPr>
        <w:t>Credit Event Upon Merger</w:t>
      </w:r>
      <w:r>
        <w:rPr>
          <w:b/>
          <w:sz w:val="24"/>
        </w:rPr>
        <w:t>.</w:t>
      </w:r>
      <w:r>
        <w:rPr>
          <w:sz w:val="24"/>
        </w:rPr>
        <w:t xml:space="preserve">  If ‘Credit Event Upon Merger’ is specified in the Schedule as applying to a party, a ‘Credit Event Upon Merger’ shall occur if a Designated Event (as defined below) occurs with respect to such party (“X”), any Credit Support Provider of X, or any applicable Specified Entity of X and (A) X, such Credit Support Provider, or such Specified Entity is not the surviving party thereof, or (B) (i) the creditworthiness of X, such Credit Support Provider, or such Specified Entity at any time thereafter is materially weaker than that of X, such Credit Support Provider, or such Specified Entity, as the case may be, immediately prior to such action or (ii) in the reasonable judgment of the other party (“Y”), such consolidation, merger, amalgamation, or transfer may affect adversely Y’s legal or tax position in respect of X, any Credit Support Provider of X, or any Specified Entity of X (including in respect of any bankruptcy or insolvency of any of them) (in any of which cases, X, or its successor or transferee, as appropriate, being the Affected Party).  For purposes hereof, a ‘Designated Event’ shall be deemed to have occurred with respect to X, any Credit Support Provider, or any specified Entity if, after the date of this Agreement:</w:t>
      </w:r>
    </w:p>
    <w:p>
      <w:pPr>
        <w:pStyle w:val="Normal"/>
        <w:widowControl/>
        <w:rPr>
          <w:sz w:val="24"/>
        </w:rPr>
      </w:pPr>
      <w:r>
        <w:rPr>
          <w:sz w:val="24"/>
        </w:rPr>
      </w:r>
    </w:p>
    <w:p>
      <w:pPr>
        <w:pStyle w:val="Style41"/>
        <w:widowControl/>
        <w:rPr/>
      </w:pPr>
      <w:r>
        <w:rPr/>
        <w:t>(1)</w:t>
        <w:tab/>
        <w:t>X, such Credit Support Provider, or such Specified Entity, as the case may be, consolidates or amalgamates with, or merges with or into, or transfers all or substantially all of its assets (or any substantial part of the assets comprising or used in the business conducted by X, such Credit Support Provider, or such Specified Entity, as the case may be, as of such time) to, or receives all or substantially all of the assets or obligations of, another entity;</w:t>
      </w:r>
    </w:p>
    <w:p>
      <w:pPr>
        <w:pStyle w:val="Normal"/>
        <w:widowControl/>
        <w:rPr>
          <w:sz w:val="24"/>
        </w:rPr>
      </w:pPr>
      <w:r>
        <w:rPr>
          <w:sz w:val="24"/>
        </w:rPr>
      </w:r>
    </w:p>
    <w:p>
      <w:pPr>
        <w:pStyle w:val="Style41"/>
        <w:widowControl/>
        <w:rPr/>
      </w:pPr>
      <w:r>
        <w:rPr/>
        <w:t>(2)</w:t>
        <w:tab/>
        <w:t>Any person or entity (A) acquires directly or indirectly the beneficial ownership of equity securities having the power to elect a majority of the board of directors of X, such Credit Support Provider, or such Specified Entity, or (B) otherwise acquires the right or the ability exercise a controlling influence over the management of X, such Credit Support Provider, or such Specified Entity;</w:t>
      </w:r>
    </w:p>
    <w:p>
      <w:pPr>
        <w:pStyle w:val="Normal"/>
        <w:widowControl/>
        <w:rPr>
          <w:sz w:val="24"/>
        </w:rPr>
      </w:pPr>
      <w:r>
        <w:rPr>
          <w:sz w:val="24"/>
        </w:rPr>
      </w:r>
    </w:p>
    <w:p>
      <w:pPr>
        <w:pStyle w:val="Style41"/>
        <w:widowControl/>
        <w:rPr/>
      </w:pPr>
      <w:r>
        <w:rPr/>
        <w:t>(3)</w:t>
        <w:tab/>
        <w:t>X, such Credit Support Provider, or such Specified Entity, as the case may be, effects any substantial change in its capital structure by means of, without limitation, the issuance, incurrence, or guarantee of debt or the issuance of preferred stock or other securities convertible into, or exchangeable for, debt or preferred stock; or</w:t>
      </w:r>
    </w:p>
    <w:p>
      <w:pPr>
        <w:pStyle w:val="Normal"/>
        <w:widowControl/>
        <w:rPr>
          <w:sz w:val="24"/>
        </w:rPr>
      </w:pPr>
      <w:r>
        <w:rPr>
          <w:sz w:val="24"/>
        </w:rPr>
      </w:r>
    </w:p>
    <w:p>
      <w:pPr>
        <w:pStyle w:val="Style41"/>
        <w:widowControl/>
        <w:rPr/>
      </w:pPr>
      <w:r>
        <w:rPr/>
        <w:t>(4)</w:t>
        <w:tab/>
        <w:t>X, such Credit Support Provider, or such Specified entity enters into any agreement providing for any of the foregoing;</w:t>
      </w:r>
    </w:p>
    <w:p>
      <w:pPr>
        <w:pStyle w:val="Normal"/>
        <w:widowControl/>
        <w:rPr>
          <w:sz w:val="24"/>
        </w:rPr>
      </w:pPr>
      <w:r>
        <w:rPr>
          <w:sz w:val="24"/>
        </w:rPr>
      </w:r>
    </w:p>
    <w:p>
      <w:pPr>
        <w:pStyle w:val="Normal"/>
        <w:widowControl/>
        <w:rPr>
          <w:sz w:val="24"/>
        </w:rPr>
      </w:pPr>
      <w:r>
        <w:rPr>
          <w:sz w:val="24"/>
        </w:rPr>
        <w:t>and such event does not constitute a Merger Without Assumption.</w:t>
      </w:r>
    </w:p>
    <w:p>
      <w:pPr>
        <w:pStyle w:val="Normal"/>
        <w:widowControl/>
        <w:rPr>
          <w:sz w:val="24"/>
        </w:rPr>
      </w:pPr>
      <w:r>
        <w:rPr>
          <w:sz w:val="24"/>
        </w:rPr>
      </w:r>
    </w:p>
    <w:p>
      <w:pPr>
        <w:pStyle w:val="Style21"/>
        <w:widowControl/>
        <w:rPr>
          <w:b/>
        </w:rPr>
      </w:pPr>
      <w:r>
        <w:rPr>
          <w:b/>
        </w:rPr>
        <w:t>Notwithstanding the foregoing, the occurrence of a Designated Event shall not give rise to a Credit Event Upon merger if (i) the surviving party thereof is a direct or indirect wholly owned subsidiary of Enron Corp., and is organized under the laws of the United States or a state thereof and has its principal place of business in the United States, and (ii) the Guarantee remains in full force and effect in respect of the surviving party (or a Guarantee of Enron Corp. with terms at least as favorable to Party A as the Guarantee is in full force and effect in respect of the surviving party, which Guarantee shall be a Credit Support Document).</w:t>
      </w:r>
    </w:p>
    <w:p>
      <w:pPr>
        <w:pStyle w:val="Normal"/>
        <w:widowControl/>
        <w:rPr>
          <w:sz w:val="24"/>
        </w:rPr>
      </w:pPr>
      <w:r>
        <w:rPr>
          <w:sz w:val="24"/>
        </w:rPr>
      </w:r>
    </w:p>
    <w:p>
      <w:pPr>
        <w:pStyle w:val="Style21"/>
        <w:widowControl/>
        <w:tabs>
          <w:tab w:val="clear" w:pos="360"/>
        </w:tabs>
        <w:rPr/>
      </w:pPr>
      <w:r>
        <w:rPr/>
        <w:t>(h)</w:t>
        <w:tab/>
      </w:r>
      <w:r>
        <w:rPr>
          <w:b/>
        </w:rPr>
        <w:t>Additional Termination Event.</w:t>
      </w:r>
      <w:r>
        <w:rPr/>
        <w:t xml:space="preserve">  An Additional Termination Event with one Affected Party shall occur if at any time</w:t>
      </w:r>
    </w:p>
    <w:p>
      <w:pPr>
        <w:pStyle w:val="Normal"/>
        <w:widowControl/>
        <w:rPr>
          <w:b/>
          <w:kern w:val="2"/>
          <w:sz w:val="24"/>
        </w:rPr>
      </w:pPr>
      <w:r>
        <w:rPr>
          <w:b/>
          <w:kern w:val="2"/>
          <w:sz w:val="24"/>
        </w:rPr>
      </w:r>
    </w:p>
    <w:p>
      <w:pPr>
        <w:pStyle w:val="Style31"/>
        <w:widowControl/>
        <w:rPr/>
      </w:pPr>
      <w:r>
        <w:rPr/>
        <w:t>(i)</w:t>
        <w:tab/>
        <w:t xml:space="preserve">Moody’s Investors Service, Inc. (“Moody’s”) or Standard &amp; Poor’s Rating Services, a division of The McGraw-Hill Companies, Inc. (“Standard &amp; Poor’s),  </w:t>
      </w:r>
      <w:r>
        <w:rPr>
          <w:strike/>
        </w:rPr>
        <w:t>on the one hand, or any other nationally recognized rating organization agreed upon by both parties, if any, on the other,</w:t>
      </w:r>
      <w:r>
        <w:rPr/>
        <w:t xml:space="preserve"> shall lower its rating </w:t>
      </w:r>
      <w:r>
        <w:rPr>
          <w:strike/>
        </w:rPr>
        <w:t>or establish an initial rating at any time</w:t>
      </w:r>
      <w:r>
        <w:rPr/>
        <w:t xml:space="preserve"> of any security issued by a Rated Party such that such rating after such downgrading </w:t>
      </w:r>
      <w:r>
        <w:rPr>
          <w:strike/>
        </w:rPr>
        <w:t>or at the time of or after such initial rating, as the case may be,</w:t>
      </w:r>
      <w:r>
        <w:rPr/>
        <w:t xml:space="preserve"> shall be less than the applicable Permissible Rating set out in the Table below</w:t>
      </w:r>
      <w:r>
        <w:rPr>
          <w:strike/>
        </w:rPr>
        <w:t>(or, in the case of a nationally recognized rating organization other than those specified in such Table and agreed to by the parties, the comparable rating by such organization)</w:t>
      </w:r>
      <w:r>
        <w:rPr/>
        <w:t>, or</w:t>
      </w:r>
    </w:p>
    <w:p>
      <w:pPr>
        <w:pStyle w:val="Style31"/>
        <w:widowControl/>
        <w:rPr/>
      </w:pPr>
      <w:r>
        <w:rPr/>
      </w:r>
    </w:p>
    <w:p>
      <w:pPr>
        <w:pStyle w:val="Style31"/>
        <w:widowControl/>
        <w:rPr/>
      </w:pPr>
      <w:r>
        <w:rPr/>
        <w:t>(ii)</w:t>
        <w:tab/>
        <w:t>Any such rating organization shall place or shall have placed (whether before or after the date of this Agreement) its rating of any security issued by a Rated Party on “watch” status with negative or uncertain outcome</w:t>
      </w:r>
      <w:r>
        <w:rPr>
          <w:strike/>
        </w:rPr>
        <w:t>(or any comparable status)</w:t>
      </w:r>
      <w:r>
        <w:rPr/>
        <w:t>, and the rating of such security is at any time during the term of any such status rated at or below the applicable Permissible Rating set out in the Table below</w:t>
      </w:r>
      <w:r>
        <w:rPr>
          <w:strike/>
        </w:rPr>
        <w:t>(or, in the case of a nationally recognized rating organization other than those specified in such Table, the comparable rating by such organization), or</w:t>
      </w:r>
      <w:r>
        <w:rPr>
          <w:b/>
        </w:rPr>
        <w:t>.</w:t>
      </w:r>
      <w:r>
        <w:rPr/>
        <w:t xml:space="preserve"> </w:t>
      </w:r>
    </w:p>
    <w:p>
      <w:pPr>
        <w:pStyle w:val="Style31"/>
        <w:widowControl/>
        <w:rPr/>
      </w:pPr>
      <w:r>
        <w:rPr/>
      </w:r>
    </w:p>
    <w:p>
      <w:pPr>
        <w:pStyle w:val="BodyText"/>
        <w:widowControl/>
        <w:rPr/>
      </w:pPr>
      <w:r>
        <w:rPr/>
        <w:t xml:space="preserve">For purposes of this Section, “Rated Party” shall mean each of Party </w:t>
      </w:r>
      <w:r>
        <w:rPr>
          <w:strike/>
        </w:rPr>
        <w:t>A, Party B, any Specified Entity of Party B under any Section of this Agreement, any</w:t>
      </w:r>
      <w:r>
        <w:rPr/>
        <w:t xml:space="preserve"> </w:t>
      </w:r>
      <w:r>
        <w:rPr>
          <w:b/>
        </w:rPr>
        <w:t>and Party B's</w:t>
      </w:r>
      <w:r>
        <w:rPr/>
        <w:t xml:space="preserve"> Credit Support Provider </w:t>
      </w:r>
      <w:r>
        <w:rPr>
          <w:strike/>
        </w:rPr>
        <w:t>of Party B, and the Guarantor, if any of such party’s or entity’s securities are rated at any time. The party to this Agreement which is such Rated Party (or with respect to which such Rated Party is a Specified Entity, a Credit Support Provider, or Guarantor, as the case may be) will, promptly upon becoming aware of the same, notify the other party thereof. Such party will be the Affected Party</w:t>
      </w:r>
      <w:r>
        <w:rPr/>
        <w:t xml:space="preserve">. </w:t>
      </w:r>
    </w:p>
    <w:p>
      <w:pPr>
        <w:pStyle w:val="Normal"/>
        <w:widowControl/>
        <w:rPr>
          <w:sz w:val="24"/>
        </w:rPr>
      </w:pPr>
      <w:r>
        <w:rPr>
          <w:sz w:val="24"/>
        </w:rPr>
      </w:r>
    </w:p>
    <w:p>
      <w:pPr>
        <w:pStyle w:val="Normal"/>
        <w:widowControl/>
        <w:jc w:val="center"/>
        <w:rPr>
          <w:sz w:val="24"/>
          <w:u w:val="single"/>
        </w:rPr>
      </w:pPr>
      <w:r>
        <w:rPr>
          <w:sz w:val="24"/>
          <w:u w:val="single"/>
        </w:rPr>
        <w:t>Table</w:t>
      </w:r>
    </w:p>
    <w:p>
      <w:pPr>
        <w:pStyle w:val="Normal"/>
        <w:widowControl/>
        <w:jc w:val="center"/>
        <w:rPr>
          <w:sz w:val="24"/>
          <w:u w:val="single"/>
        </w:rPr>
      </w:pPr>
      <w:r>
        <w:rPr>
          <w:sz w:val="24"/>
          <w:u w:val="single"/>
        </w:rPr>
      </w:r>
    </w:p>
    <w:p>
      <w:pPr>
        <w:pStyle w:val="Header"/>
        <w:widowControl/>
        <w:tabs>
          <w:tab w:val="clear" w:pos="4320"/>
          <w:tab w:val="clear" w:pos="8640"/>
        </w:tabs>
        <w:ind w:firstLine="720" w:start="2880" w:end="0"/>
        <w:rPr/>
      </w:pPr>
      <w:r>
        <w:rPr/>
        <w:t>Rated Party</w:t>
      </w:r>
      <w:r>
        <w:rPr>
          <w:strike/>
        </w:rPr>
        <w:t>(except Issuer of Letter of Issuer of Letter of Credit) of Credit</w:t>
      </w:r>
    </w:p>
    <w:p>
      <w:pPr>
        <w:pStyle w:val="Normal"/>
        <w:widowControl/>
        <w:rPr>
          <w:sz w:val="24"/>
        </w:rPr>
      </w:pPr>
      <w:r>
        <w:rPr>
          <w:sz w:val="24"/>
          <w:u w:val="single"/>
        </w:rPr>
        <w:t>Rating organization</w:t>
      </w:r>
      <w:r>
        <w:rPr>
          <w:sz w:val="24"/>
        </w:rPr>
        <w:t xml:space="preserve"> </w:t>
        <w:tab/>
        <w:tab/>
        <w:tab/>
      </w:r>
      <w:r>
        <w:rPr>
          <w:sz w:val="24"/>
          <w:u w:val="single"/>
        </w:rPr>
        <w:t>Permissible Rating</w:t>
      </w:r>
      <w:r>
        <w:rPr>
          <w:sz w:val="24"/>
        </w:rPr>
        <w:tab/>
      </w:r>
      <w:r>
        <w:rPr>
          <w:strike/>
          <w:sz w:val="24"/>
        </w:rPr>
        <w:t>Permissible Rating</w:t>
      </w:r>
    </w:p>
    <w:p>
      <w:pPr>
        <w:pStyle w:val="Normal"/>
        <w:widowControl/>
        <w:rPr>
          <w:sz w:val="24"/>
        </w:rPr>
      </w:pPr>
      <w:r>
        <w:rPr>
          <w:sz w:val="24"/>
        </w:rPr>
      </w:r>
    </w:p>
    <w:p>
      <w:pPr>
        <w:pStyle w:val="Normal"/>
        <w:widowControl/>
        <w:rPr>
          <w:sz w:val="24"/>
        </w:rPr>
      </w:pPr>
      <w:r>
        <w:rPr>
          <w:b/>
          <w:sz w:val="24"/>
        </w:rPr>
        <w:t>Moody’s</w:t>
      </w:r>
    </w:p>
    <w:p>
      <w:pPr>
        <w:pStyle w:val="Normal"/>
        <w:widowControl/>
        <w:rPr/>
      </w:pPr>
      <w:r>
        <w:rPr>
          <w:sz w:val="24"/>
        </w:rPr>
        <w:t>Long-term Senior Debt</w:t>
        <w:tab/>
        <w:tab/>
        <w:tab/>
        <w:t>Baa3</w:t>
        <w:tab/>
        <w:tab/>
      </w:r>
      <w:r>
        <w:rPr>
          <w:strike/>
          <w:sz w:val="24"/>
        </w:rPr>
        <w:t>A3</w:t>
      </w:r>
    </w:p>
    <w:p>
      <w:pPr>
        <w:pStyle w:val="Normal"/>
        <w:widowControl/>
        <w:rPr>
          <w:sz w:val="24"/>
        </w:rPr>
      </w:pPr>
      <w:r>
        <w:rPr>
          <w:strike/>
          <w:sz w:val="24"/>
        </w:rPr>
        <w:t>Long-term Bank Deposits A3</w:t>
      </w:r>
    </w:p>
    <w:p>
      <w:pPr>
        <w:pStyle w:val="Normal"/>
        <w:widowControl/>
        <w:rPr/>
      </w:pPr>
      <w:r>
        <w:rPr>
          <w:sz w:val="24"/>
        </w:rPr>
        <w:t>Commercial Paper</w:t>
        <w:tab/>
        <w:tab/>
        <w:tab/>
        <w:tab/>
        <w:t>P-2</w:t>
        <w:tab/>
        <w:tab/>
        <w:tab/>
      </w:r>
      <w:r>
        <w:rPr>
          <w:strike/>
          <w:sz w:val="24"/>
        </w:rPr>
        <w:t>P-1</w:t>
      </w:r>
    </w:p>
    <w:p>
      <w:pPr>
        <w:pStyle w:val="Normal"/>
        <w:widowControl/>
        <w:rPr>
          <w:strike/>
          <w:sz w:val="24"/>
        </w:rPr>
      </w:pPr>
      <w:r>
        <w:rPr>
          <w:strike/>
          <w:sz w:val="24"/>
        </w:rPr>
        <w:t>Short-term Bank Deposits P-1</w:t>
      </w:r>
    </w:p>
    <w:p>
      <w:pPr>
        <w:pStyle w:val="Normal"/>
        <w:widowControl/>
        <w:rPr>
          <w:sz w:val="24"/>
        </w:rPr>
      </w:pPr>
      <w:r>
        <w:rPr>
          <w:strike/>
          <w:sz w:val="24"/>
        </w:rPr>
        <w:t>Bank Financial Strength Rating B</w:t>
      </w:r>
    </w:p>
    <w:p>
      <w:pPr>
        <w:pStyle w:val="Normal"/>
        <w:widowControl/>
        <w:rPr>
          <w:sz w:val="24"/>
        </w:rPr>
      </w:pPr>
      <w:r>
        <w:rPr>
          <w:b/>
          <w:sz w:val="24"/>
        </w:rPr>
        <w:t>Standard &amp; Poor’s</w:t>
      </w:r>
    </w:p>
    <w:p>
      <w:pPr>
        <w:pStyle w:val="Normal"/>
        <w:widowControl/>
        <w:rPr/>
      </w:pPr>
      <w:r>
        <w:rPr>
          <w:sz w:val="24"/>
        </w:rPr>
        <w:t>Long-term Debt</w:t>
        <w:tab/>
        <w:tab/>
        <w:tab/>
        <w:tab/>
        <w:t>BBB-</w:t>
      </w:r>
      <w:r>
        <w:rPr>
          <w:strike/>
          <w:sz w:val="24"/>
        </w:rPr>
        <w:t>A-</w:t>
      </w:r>
    </w:p>
    <w:p>
      <w:pPr>
        <w:pStyle w:val="Normal"/>
        <w:widowControl/>
        <w:rPr>
          <w:sz w:val="24"/>
        </w:rPr>
      </w:pPr>
      <w:r>
        <w:rPr>
          <w:strike/>
          <w:sz w:val="24"/>
        </w:rPr>
        <w:t>Long-term Bank Deposits A-</w:t>
      </w:r>
    </w:p>
    <w:p>
      <w:pPr>
        <w:pStyle w:val="Normal"/>
        <w:widowControl/>
        <w:rPr/>
      </w:pPr>
      <w:r>
        <w:rPr>
          <w:sz w:val="24"/>
        </w:rPr>
        <w:t>Commercial Paper</w:t>
        <w:tab/>
        <w:tab/>
        <w:tab/>
        <w:tab/>
        <w:t xml:space="preserve">A-2 </w:t>
      </w:r>
      <w:r>
        <w:rPr>
          <w:strike/>
          <w:sz w:val="24"/>
        </w:rPr>
        <w:t>A-1</w:t>
      </w:r>
    </w:p>
    <w:p>
      <w:pPr>
        <w:pStyle w:val="Normal"/>
        <w:widowControl/>
        <w:rPr>
          <w:strike/>
          <w:sz w:val="24"/>
        </w:rPr>
      </w:pPr>
      <w:r>
        <w:rPr>
          <w:strike/>
          <w:sz w:val="24"/>
        </w:rPr>
        <w:t>Short-term Bank Deposits A-1</w:t>
      </w:r>
    </w:p>
    <w:p>
      <w:pPr>
        <w:pStyle w:val="Normal"/>
        <w:widowControl/>
        <w:rPr>
          <w:sz w:val="24"/>
        </w:rPr>
      </w:pPr>
      <w:r>
        <w:rPr>
          <w:strike/>
          <w:sz w:val="24"/>
        </w:rPr>
        <w:t>Financial Programs Rating A-1</w:t>
      </w:r>
    </w:p>
    <w:p>
      <w:pPr>
        <w:pStyle w:val="Normal"/>
        <w:widowControl/>
        <w:rPr>
          <w:sz w:val="24"/>
        </w:rPr>
      </w:pPr>
      <w:r>
        <w:rPr>
          <w:sz w:val="24"/>
        </w:rPr>
        <w:tab/>
      </w:r>
    </w:p>
    <w:p>
      <w:pPr>
        <w:pStyle w:val="Style21"/>
        <w:widowControl/>
        <w:tabs>
          <w:tab w:val="clear" w:pos="360"/>
        </w:tabs>
        <w:rPr/>
      </w:pPr>
      <w:r>
        <w:rPr/>
        <w:t>(i)</w:t>
        <w:tab/>
        <w:t>The “Automatic Early Termination” provision of Section 6(a) will not apply; provided, however, that, where, under applicable law, the Non-Defaulting Party is not, following the occurrence of an Event of Default, permitted to designate an Early Termination Date in respect of such Event of Default, or such designation would for any reason or in any respect be ineffective, then the Automatic Early Termination provision of Section 6(a) will apply in the case of such Event of Default for the benefit of the Non-Defaulting Party.</w:t>
      </w:r>
    </w:p>
    <w:p>
      <w:pPr>
        <w:pStyle w:val="Normal"/>
        <w:widowControl/>
        <w:rPr>
          <w:sz w:val="24"/>
        </w:rPr>
      </w:pPr>
      <w:r>
        <w:rPr>
          <w:sz w:val="24"/>
        </w:rPr>
      </w:r>
    </w:p>
    <w:p>
      <w:pPr>
        <w:pStyle w:val="Style21"/>
        <w:widowControl/>
        <w:tabs>
          <w:tab w:val="clear" w:pos="360"/>
        </w:tabs>
        <w:rPr/>
      </w:pPr>
      <w:r>
        <w:rPr/>
        <w:t>(j)</w:t>
      </w:r>
      <w:r>
        <w:rPr>
          <w:strike/>
        </w:rPr>
        <w:t xml:space="preserve"> Notwithstanding any provision to the contrary herein or in the Agreement, there will not occur an Event of Default or Termination Event with respect to Party A or Party B if such Event of Default or Termination Event would be the result of an act of or occurrence in respect of a Credit Support Provider of Party A or Party B, as the case may be, who is an issuer of a Letter of Credit unless Party A or Party B, as the case may be, shall fail to obtain equivalent credit support from another Credit Support Provider of comparable standing within 2 Local Business Days after Party A or Party B, as the case may be, has received notice of the act or occurrence potentially giving rise to an Event of Default or Termination Event affecting such party’s Credit Support Provider.</w:t>
      </w:r>
    </w:p>
    <w:p>
      <w:pPr>
        <w:pStyle w:val="Style21"/>
        <w:widowControl/>
        <w:tabs>
          <w:tab w:val="clear" w:pos="360"/>
        </w:tabs>
        <w:rPr>
          <w:strike/>
        </w:rPr>
      </w:pPr>
      <w:r>
        <w:rPr>
          <w:strike/>
        </w:rPr>
      </w:r>
    </w:p>
    <w:p>
      <w:pPr>
        <w:pStyle w:val="Style21"/>
        <w:widowControl/>
        <w:tabs>
          <w:tab w:val="clear" w:pos="360"/>
        </w:tabs>
        <w:rPr/>
      </w:pPr>
      <w:r>
        <w:rPr>
          <w:strike/>
        </w:rPr>
        <w:t>(k)</w:t>
      </w:r>
      <w:r>
        <w:rPr/>
        <w:tab/>
        <w:t>Section 6(b)(ii) is amended by deleting from the third paragraph thereof the words, “, which consent will not be withheld if such other party’s policies in effect at such time would permit it to enter into transactions with the transferee on the terms proposed,” and substituting therefor the words, “in its sole discretion.”</w:t>
      </w:r>
    </w:p>
    <w:p>
      <w:pPr>
        <w:pStyle w:val="Normal"/>
        <w:widowControl/>
        <w:rPr>
          <w:sz w:val="24"/>
        </w:rPr>
      </w:pPr>
      <w:r>
        <w:rPr>
          <w:sz w:val="24"/>
        </w:rPr>
      </w:r>
    </w:p>
    <w:p>
      <w:pPr>
        <w:pStyle w:val="Style21"/>
        <w:widowControl/>
        <w:tabs>
          <w:tab w:val="clear" w:pos="360"/>
        </w:tabs>
        <w:rPr/>
      </w:pPr>
      <w:r>
        <w:rPr>
          <w:strike/>
        </w:rPr>
        <w:t>(l)</w:t>
      </w:r>
      <w:r>
        <w:rPr>
          <w:b/>
        </w:rPr>
        <w:t>(k)</w:t>
      </w:r>
      <w:r>
        <w:rPr/>
        <w:tab/>
        <w:t>The following is added as a new Section 6(c)(iii):</w:t>
      </w:r>
    </w:p>
    <w:p>
      <w:pPr>
        <w:pStyle w:val="Normal"/>
        <w:widowControl/>
        <w:rPr>
          <w:sz w:val="24"/>
        </w:rPr>
      </w:pPr>
      <w:r>
        <w:rPr>
          <w:sz w:val="24"/>
        </w:rPr>
      </w:r>
    </w:p>
    <w:p>
      <w:pPr>
        <w:pStyle w:val="Normal"/>
        <w:widowControl/>
        <w:tabs>
          <w:tab w:val="clear" w:pos="720"/>
          <w:tab w:val="left" w:pos="1440" w:leader="none"/>
        </w:tabs>
        <w:ind w:start="630" w:end="0"/>
        <w:rPr>
          <w:sz w:val="24"/>
        </w:rPr>
      </w:pPr>
      <w:r>
        <w:rPr>
          <w:sz w:val="24"/>
        </w:rPr>
        <w:t>“</w:t>
      </w:r>
      <w:r>
        <w:rPr>
          <w:sz w:val="24"/>
        </w:rPr>
        <w:t xml:space="preserve">(iii) </w:t>
        <w:tab/>
        <w:t>Rights of Non-defaulting Party.  Notwithstanding the other provisions of Section 6:</w:t>
      </w:r>
    </w:p>
    <w:p>
      <w:pPr>
        <w:pStyle w:val="Normal"/>
        <w:widowControl/>
        <w:rPr>
          <w:sz w:val="24"/>
        </w:rPr>
      </w:pPr>
      <w:r>
        <w:rPr>
          <w:sz w:val="24"/>
        </w:rPr>
      </w:r>
    </w:p>
    <w:p>
      <w:pPr>
        <w:pStyle w:val="Normal"/>
        <w:widowControl/>
        <w:tabs>
          <w:tab w:val="clear" w:pos="720"/>
          <w:tab w:val="left" w:pos="1440" w:leader="none"/>
        </w:tabs>
        <w:ind w:start="720" w:end="0"/>
        <w:rPr>
          <w:sz w:val="24"/>
        </w:rPr>
      </w:pPr>
      <w:r>
        <w:rPr>
          <w:sz w:val="24"/>
        </w:rPr>
        <w:t xml:space="preserve">(1) </w:t>
        <w:tab/>
        <w:t>If, in the good faith opinion of the Non-defaulting Party, applicable law does not permit (A) the termination of a Transaction, or (B) the netting or setoff of some or all amounts against one another which, but for this sentence, the Non-defaulting Party would be required to net or set off in enforcing its rights under this Master Agreement, the Non-defaulting Party, at its election, may (a) terminate all, but not fewer than all, of those Transactions which it is permitted to terminate, and (b) separately net or set off those amounts than may be netted or set off against one another.</w:t>
      </w:r>
    </w:p>
    <w:p>
      <w:pPr>
        <w:pStyle w:val="Normal"/>
        <w:widowControl/>
        <w:ind w:start="720" w:end="0"/>
        <w:rPr>
          <w:sz w:val="24"/>
        </w:rPr>
      </w:pPr>
      <w:r>
        <w:rPr>
          <w:sz w:val="24"/>
        </w:rPr>
      </w:r>
    </w:p>
    <w:p>
      <w:pPr>
        <w:pStyle w:val="Normal"/>
        <w:widowControl/>
        <w:tabs>
          <w:tab w:val="clear" w:pos="720"/>
          <w:tab w:val="left" w:pos="1440" w:leader="none"/>
        </w:tabs>
        <w:ind w:start="720" w:end="0"/>
        <w:rPr>
          <w:sz w:val="24"/>
        </w:rPr>
      </w:pPr>
      <w:r>
        <w:rPr>
          <w:sz w:val="24"/>
        </w:rPr>
        <w:t xml:space="preserve">(2) </w:t>
        <w:tab/>
        <w:t>The Non-defaulting Party is not required to terminate the Transactions on a single day, but rather may terminate the Transactions over a commercially reasonable period (the “Early Termination Period”).  A notice by the Non-defaulting Party under Section 6(a) can merely state that a termination may occur on or after the date such notice is deemed effective.  Loss or Market Quotation, as applicable, shall be determined for each Terminated Transaction or group of Terminated Transactions terminated during an Early Termination Period as of the day and time of the relevant termination.  Except as otherwise provided in this Section 6(c)(iii)(2), the amount due under Section 6(e) shall be calculated as of the last day of the Early Termination Period.  Interest shall accrue at the Default Rate (if owed by the Defaulting Party) and the Non-default Rate (if owed by the Non-defaulting Party) on amounts resulting from the termination of Transactions during an Early Termination Period for the period from (and including) the date of each such termination to (but excluding) the last Early Termination Date.</w:t>
      </w:r>
    </w:p>
    <w:p>
      <w:pPr>
        <w:pStyle w:val="Normal"/>
        <w:widowControl/>
        <w:rPr>
          <w:sz w:val="24"/>
        </w:rPr>
      </w:pPr>
      <w:r>
        <w:rPr>
          <w:sz w:val="24"/>
        </w:rPr>
      </w:r>
    </w:p>
    <w:p>
      <w:pPr>
        <w:pStyle w:val="Style21"/>
        <w:widowControl/>
        <w:tabs>
          <w:tab w:val="clear" w:pos="360"/>
        </w:tabs>
        <w:rPr/>
      </w:pPr>
      <w:r>
        <w:rPr>
          <w:strike/>
        </w:rPr>
        <w:t>(m)</w:t>
      </w:r>
      <w:r>
        <w:rPr>
          <w:b/>
        </w:rPr>
        <w:t>(l)</w:t>
      </w:r>
      <w:r>
        <w:rPr/>
        <w:tab/>
        <w:t>Section 6(d)(i) is amended by replacing in its entirety the last sentence thereof with the following:</w:t>
      </w:r>
    </w:p>
    <w:p>
      <w:pPr>
        <w:pStyle w:val="Normal"/>
        <w:widowControl/>
        <w:rPr>
          <w:sz w:val="24"/>
        </w:rPr>
      </w:pPr>
      <w:r>
        <w:rPr>
          <w:sz w:val="24"/>
        </w:rPr>
      </w:r>
    </w:p>
    <w:p>
      <w:pPr>
        <w:pStyle w:val="Normal"/>
        <w:widowControl/>
        <w:ind w:start="720" w:end="0"/>
        <w:rPr>
          <w:sz w:val="24"/>
        </w:rPr>
      </w:pPr>
      <w:r>
        <w:rPr>
          <w:sz w:val="24"/>
        </w:rPr>
        <w:t>"If the Early Termination Date results from an Event of Default, then in the absence of written confirmation from the source of a quotation obtained by the Non-Defaulting Party in determining a Market Quotation, the records of the Non-Defaulting Party will be conclusive evidence of the existence and accuracy of such quotation."</w:t>
      </w:r>
    </w:p>
    <w:p>
      <w:pPr>
        <w:pStyle w:val="Normal"/>
        <w:widowControl/>
        <w:rPr>
          <w:sz w:val="24"/>
        </w:rPr>
      </w:pPr>
      <w:r>
        <w:rPr>
          <w:sz w:val="24"/>
        </w:rPr>
      </w:r>
    </w:p>
    <w:p>
      <w:pPr>
        <w:pStyle w:val="Style21"/>
        <w:widowControl/>
        <w:tabs>
          <w:tab w:val="clear" w:pos="360"/>
        </w:tabs>
        <w:rPr/>
      </w:pPr>
      <w:r>
        <w:rPr>
          <w:strike/>
        </w:rPr>
        <w:t>(n)</w:t>
      </w:r>
      <w:r>
        <w:rPr>
          <w:b/>
        </w:rPr>
        <w:t>(m)</w:t>
      </w:r>
      <w:r>
        <w:rPr/>
        <w:tab/>
      </w:r>
      <w:r>
        <w:rPr>
          <w:u w:val="single"/>
        </w:rPr>
        <w:t>Payments in Early Termination</w:t>
      </w:r>
      <w:r>
        <w:rPr/>
        <w:t>.  For purposes of Section 6(e) of this Agreement:</w:t>
      </w:r>
    </w:p>
    <w:p>
      <w:pPr>
        <w:pStyle w:val="Normal"/>
        <w:widowControl/>
        <w:rPr>
          <w:sz w:val="24"/>
        </w:rPr>
      </w:pPr>
      <w:r>
        <w:rPr>
          <w:sz w:val="24"/>
        </w:rPr>
      </w:r>
    </w:p>
    <w:p>
      <w:pPr>
        <w:pStyle w:val="Style31"/>
        <w:widowControl/>
        <w:rPr/>
      </w:pPr>
      <w:r>
        <w:rPr/>
        <w:t>(i)</w:t>
        <w:tab/>
        <w:t>The Second Method will apply.</w:t>
      </w:r>
    </w:p>
    <w:p>
      <w:pPr>
        <w:pStyle w:val="Normal"/>
        <w:widowControl/>
        <w:rPr>
          <w:sz w:val="24"/>
        </w:rPr>
      </w:pPr>
      <w:r>
        <w:rPr>
          <w:sz w:val="24"/>
        </w:rPr>
      </w:r>
    </w:p>
    <w:p>
      <w:pPr>
        <w:pStyle w:val="Style31"/>
        <w:widowControl/>
        <w:rPr/>
      </w:pPr>
      <w:r>
        <w:rPr/>
        <w:t>(ii)</w:t>
        <w:tab/>
      </w:r>
      <w:r>
        <w:rPr>
          <w:strike/>
        </w:rPr>
        <w:t>Market Quotation will apply, except that</w:t>
      </w:r>
      <w:r>
        <w:rPr/>
        <w:t xml:space="preserve"> Loss will apply </w:t>
      </w:r>
      <w:r>
        <w:rPr>
          <w:strike/>
        </w:rPr>
        <w:t>in respect of any FX Transaction or Currency Option or in any case where Market Quotation cannot be determined; provided, however, that under no circumstances will (1) the Non-defaulting Party (if the Early Termination Date results from an Event of Default) or (2) a party which is not an Affected Party (if the Early Termination Date results from a Termination Event in respect of which there is one Affected Party) be required to pay an amount pursuant to this Section 6(e) greater than the amount it would have been required to pay if Market Quotation were to apply</w:t>
      </w:r>
      <w:r>
        <w:rPr/>
        <w:t>.</w:t>
      </w:r>
    </w:p>
    <w:p>
      <w:pPr>
        <w:pStyle w:val="Normal"/>
        <w:widowControl/>
        <w:rPr>
          <w:sz w:val="24"/>
        </w:rPr>
      </w:pPr>
      <w:r>
        <w:rPr>
          <w:sz w:val="24"/>
        </w:rPr>
      </w:r>
    </w:p>
    <w:p>
      <w:pPr>
        <w:pStyle w:val="Style31"/>
        <w:widowControl/>
        <w:rPr/>
      </w:pPr>
      <w:r>
        <w:rPr/>
        <w:t>(iii)</w:t>
        <w:tab/>
        <w:t>Section 6(e) is modified by inserting the following at the end of the first paragraph thereof:</w:t>
      </w:r>
    </w:p>
    <w:p>
      <w:pPr>
        <w:pStyle w:val="Normal"/>
        <w:widowControl/>
        <w:rPr>
          <w:sz w:val="24"/>
        </w:rPr>
      </w:pPr>
      <w:r>
        <w:rPr>
          <w:sz w:val="24"/>
        </w:rPr>
      </w:r>
    </w:p>
    <w:p>
      <w:pPr>
        <w:pStyle w:val="Normal"/>
        <w:widowControl/>
        <w:ind w:start="720" w:end="0"/>
        <w:rPr/>
      </w:pPr>
      <w:r>
        <w:rPr>
          <w:sz w:val="24"/>
        </w:rPr>
        <w:t xml:space="preserve">"Notwithstanding any other provision hereof, the obligations of a Non-defaulting Party to pay to the Defaulting Party any amount under this Section 6(e) shall not arise until, and shall be subject to the conditions precedent that, (A) the Non-defaulting Party shall have received confirmation satisfactory to it in its sole discretion (which may include an unqualified opinion of its counsel) that (x) all of the obligations of the parties to make any further payments or deliveries under Section 2(a)(i) or otherwise under this Agreement with respect to all Transactions have otherwise been terminated and (y) each Specified Transaction shall have terminated by its terms or through the exercise by a party of a right to terminate and all amounts due to the Non-defaulting Party or any Affiliate of the Non-defaulting Party under each such Specified Transaction shall have been fully and finally paid, and (B) all obligations (contingent or absolute, mature or unmatured) of the Defaulting Party and any Affiliate of the Defaulting Party to the Non-defaulting Party or any Affiliate of the Non-defaulting Party, whether arising pursuant to this Agreement or otherwise, shall have been fully and finally performed; and </w:t>
      </w:r>
      <w:r>
        <w:rPr>
          <w:sz w:val="24"/>
          <w:u w:val="single"/>
        </w:rPr>
        <w:t>provided</w:t>
      </w:r>
      <w:r>
        <w:rPr>
          <w:sz w:val="24"/>
        </w:rPr>
        <w:t xml:space="preserve"> </w:t>
      </w:r>
      <w:r>
        <w:rPr>
          <w:sz w:val="24"/>
          <w:u w:val="single"/>
        </w:rPr>
        <w:t>further</w:t>
      </w:r>
      <w:r>
        <w:rPr>
          <w:sz w:val="24"/>
        </w:rPr>
        <w:t xml:space="preserve"> that if under the foregoing provisions it is determined that the Non-defaulting Party is required pursuant to this Section 6(e) to make any payment to the Defaulting Party, there shall be deducted from the amount of such payment all amounts which the Defaulting Party or any Affiliate of the Defaulting Party may be obligated to pay under this Agreement or otherwise.  With respect to the foregoing clause (y), it is expressly agreed that neither the Non-defaulting Party nor any Affiliate of the Non-defaulting Party shall have any obligation to exercise any right it may have to terminate a Specified Transaction prior to its specified termination date."</w:t>
      </w:r>
    </w:p>
    <w:p>
      <w:pPr>
        <w:pStyle w:val="Normal"/>
        <w:widowControl/>
        <w:rPr>
          <w:sz w:val="24"/>
        </w:rPr>
      </w:pPr>
      <w:r>
        <w:rPr>
          <w:sz w:val="24"/>
        </w:rPr>
      </w:r>
    </w:p>
    <w:p>
      <w:pPr>
        <w:pStyle w:val="PartNumbered"/>
        <w:widowControl/>
        <w:rPr/>
      </w:pPr>
      <w:r>
        <w:rPr/>
        <w:t>Part 2</w:t>
      </w:r>
    </w:p>
    <w:p>
      <w:pPr>
        <w:pStyle w:val="Normal"/>
        <w:widowControl/>
        <w:jc w:val="center"/>
        <w:rPr>
          <w:sz w:val="24"/>
        </w:rPr>
      </w:pPr>
      <w:r>
        <w:rPr>
          <w:sz w:val="24"/>
        </w:rPr>
        <w:t>Tax Representations</w:t>
      </w:r>
    </w:p>
    <w:p>
      <w:pPr>
        <w:pStyle w:val="Normal"/>
        <w:widowControl/>
        <w:rPr>
          <w:sz w:val="24"/>
        </w:rPr>
      </w:pPr>
      <w:r>
        <w:rPr>
          <w:sz w:val="24"/>
        </w:rPr>
      </w:r>
    </w:p>
    <w:p>
      <w:pPr>
        <w:pStyle w:val="Style21"/>
        <w:widowControl/>
        <w:tabs>
          <w:tab w:val="clear" w:pos="360"/>
        </w:tabs>
        <w:rPr/>
      </w:pPr>
      <w:r>
        <w:rPr/>
        <w:t>(a)</w:t>
        <w:tab/>
      </w:r>
      <w:r>
        <w:rPr>
          <w:b/>
        </w:rPr>
        <w:t>Payer</w:t>
      </w:r>
      <w:r>
        <w:rPr/>
        <w:t xml:space="preserve"> Representation </w:t>
      </w:r>
      <w:r>
        <w:rPr>
          <w:strike/>
        </w:rPr>
        <w:t>of Party A</w:t>
      </w:r>
      <w:r>
        <w:rPr/>
        <w:t xml:space="preserve">. For the purpose of Section 3(e), Party A </w:t>
      </w:r>
      <w:r>
        <w:rPr>
          <w:strike/>
        </w:rPr>
        <w:t>represents</w:t>
      </w:r>
      <w:r>
        <w:rPr/>
        <w:t xml:space="preserve"> </w:t>
      </w:r>
      <w:r>
        <w:rPr>
          <w:b/>
        </w:rPr>
        <w:t>and Party B represent</w:t>
      </w:r>
      <w:r>
        <w:rPr/>
        <w:t>:</w:t>
      </w:r>
    </w:p>
    <w:p>
      <w:pPr>
        <w:pStyle w:val="Normal"/>
        <w:widowControl/>
        <w:rPr>
          <w:sz w:val="24"/>
        </w:rPr>
      </w:pPr>
      <w:r>
        <w:rPr>
          <w:sz w:val="24"/>
        </w:rPr>
      </w:r>
    </w:p>
    <w:p>
      <w:pPr>
        <w:pStyle w:val="Normal"/>
        <w:widowControl/>
        <w:rPr>
          <w:sz w:val="24"/>
        </w:rPr>
      </w:pPr>
      <w:r>
        <w:rPr>
          <w:sz w:val="24"/>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and other payments of interest) to be made by it to the other party under this Agreement.  In making this representation, it may rely on (i) the accuracy of any representation made by the other party pursuant to Section 3(f), (ii) the satisfaction of the agreement of the other party contained in Section 4(a)(i) and 4(a)(iii) and the accuracy and effectiveness of any document provided by the other party pursuant to Section 4(a)(i) or 4(a)(iii), and (iii) the satisfaction of the agreement of the other party contained in Section 4(d); provided, however,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rPr>
          <w:sz w:val="24"/>
        </w:rPr>
      </w:pPr>
      <w:r>
        <w:rPr>
          <w:sz w:val="24"/>
        </w:rPr>
      </w:r>
    </w:p>
    <w:p>
      <w:pPr>
        <w:pStyle w:val="Style21"/>
        <w:widowControl/>
        <w:tabs>
          <w:tab w:val="clear" w:pos="360"/>
        </w:tabs>
        <w:rPr/>
      </w:pPr>
      <w:r>
        <w:rPr/>
        <w:t>(b)</w:t>
        <w:tab/>
      </w:r>
      <w:r>
        <w:rPr>
          <w:b/>
        </w:rPr>
        <w:t>Payee</w:t>
      </w:r>
      <w:r>
        <w:rPr/>
        <w:t xml:space="preserve"> Representation </w:t>
      </w:r>
      <w:r>
        <w:rPr>
          <w:strike/>
        </w:rPr>
        <w:t>of Party B</w:t>
      </w:r>
      <w:r>
        <w:rPr/>
        <w:t xml:space="preserve">.  For the purposes of Section </w:t>
      </w:r>
      <w:r>
        <w:rPr>
          <w:strike/>
        </w:rPr>
        <w:t>3(e) and Section 3(f), Party B represents and agrees as follows:</w:t>
      </w:r>
      <w:r>
        <w:rPr/>
        <w:t xml:space="preserve"> </w:t>
      </w:r>
      <w:r>
        <w:rPr>
          <w:b/>
        </w:rPr>
        <w:t>3(f), Party A and Party B represent and agree as follows:</w:t>
      </w:r>
    </w:p>
    <w:p>
      <w:pPr>
        <w:pStyle w:val="Normal"/>
        <w:widowControl/>
        <w:rPr>
          <w:sz w:val="24"/>
        </w:rPr>
      </w:pPr>
      <w:r>
        <w:rPr>
          <w:sz w:val="24"/>
        </w:rPr>
      </w:r>
    </w:p>
    <w:p>
      <w:pPr>
        <w:pStyle w:val="Style31"/>
        <w:widowControl/>
        <w:rPr/>
      </w:pPr>
      <w:r>
        <w:rPr>
          <w:strike/>
        </w:rPr>
        <w:t>(i) It is not required by any applicable law, as modified by the practice of any relevant governmental revenue authority, of any Relevant Jurisdiction to make any deduction or withholding for or on account of any Tax from any payment (other than interest under Section 2(e), 6(d)(ii), or 6(e) and other payments of interest) to be made by it to the other party under this Agreement. In making this representation, it may rely on (i) the accuracy of any representation made by the other party pursuant to Section 3(f), (ii) the satisfaction of the agreement of the other party contained in Section 4(a)(i) and 4(a)(iii) and the accuracy and effectiveness of any document provided by the other party pursuant to Section 4(a)(i) or 4(a)(iii) and (iii) the satisfaction of the agreement of the other party contained in Section 4(d); provided, however, that it shall not be a breach of this representation where reliance is placed on clause (ii) and the other party does not deliver a form or document under Section 4(a)(iii) by reason of material prejudice to its legal or commercial position.</w:t>
      </w:r>
      <w:r>
        <w:rPr>
          <w:b/>
        </w:rPr>
        <w:t>(i)</w:t>
      </w:r>
      <w:r>
        <w:rPr/>
        <w:tab/>
      </w:r>
      <w:r>
        <w:rPr>
          <w:b/>
        </w:rPr>
        <w:t>The following representation applies to party A:</w:t>
      </w:r>
    </w:p>
    <w:p>
      <w:pPr>
        <w:pStyle w:val="Style31"/>
        <w:widowControl/>
        <w:rPr/>
      </w:pPr>
      <w:r>
        <w:rPr/>
      </w:r>
    </w:p>
    <w:p>
      <w:pPr>
        <w:pStyle w:val="Style31"/>
        <w:widowControl/>
        <w:ind w:start="1440" w:end="0"/>
        <w:rPr/>
      </w:pPr>
      <w:r>
        <w:rPr>
          <w:strike/>
        </w:rPr>
        <w:t>(ii) If any payment it is entitled to receive under this Agreement is effectively connected to its conduct of a trade or business in the United States, it will provide to Party A a currently effective Internal Revenue Service Form 4224 (Exemption from Withholding of Tax) stating that such payment is so connected, and a Form W-9 (request for Taxpayer Identification Number and Certification) before such payment is made. If Party B does not provide such Forms to Party A before any payment under this Agreement is made, then Party A shall not be required to make such payment unless and until it receives from Party B either (i) such Forms or (ii) a currently effective Internal Revenue Service Form 1001 (Ownership, Exemption, or Reduced Rate Certificate) with respect to such payment and a Form W-8 (Certificate of Foreign Status)</w:t>
      </w:r>
      <w:r>
        <w:rPr/>
        <w:t xml:space="preserve"> </w:t>
      </w:r>
      <w:r>
        <w:rPr>
          <w:b/>
        </w:rPr>
        <w:t xml:space="preserve">Party A is an educational corporation organized under the laws of the State of Massachusetts.  Party A’s tax identification number is </w:t>
      </w:r>
      <w:r>
        <w:rPr>
          <w:u w:val="single"/>
        </w:rPr>
        <w:t xml:space="preserve">                   </w:t>
      </w:r>
      <w:r>
        <w:rPr>
          <w:b/>
        </w:rPr>
        <w:t>.</w:t>
      </w:r>
    </w:p>
    <w:p>
      <w:pPr>
        <w:pStyle w:val="Normal"/>
        <w:widowControl/>
        <w:rPr>
          <w:b/>
          <w:sz w:val="24"/>
        </w:rPr>
      </w:pPr>
      <w:r>
        <w:rPr>
          <w:b/>
          <w:sz w:val="24"/>
        </w:rPr>
      </w:r>
    </w:p>
    <w:p>
      <w:pPr>
        <w:pStyle w:val="Style31"/>
        <w:widowControl/>
        <w:rPr/>
      </w:pPr>
      <w:r>
        <w:rPr>
          <w:b/>
        </w:rPr>
        <w:t>(ii)</w:t>
      </w:r>
      <w:r>
        <w:rPr/>
        <w:tab/>
      </w:r>
      <w:r>
        <w:rPr>
          <w:b/>
        </w:rPr>
        <w:t>The following representation applies to party B:</w:t>
      </w:r>
    </w:p>
    <w:p>
      <w:pPr>
        <w:pStyle w:val="Style31"/>
        <w:widowControl/>
        <w:rPr>
          <w:b/>
        </w:rPr>
      </w:pPr>
      <w:r>
        <w:rPr>
          <w:b/>
        </w:rPr>
      </w:r>
    </w:p>
    <w:p>
      <w:pPr>
        <w:pStyle w:val="Style31"/>
        <w:widowControl/>
        <w:ind w:start="1440" w:end="0"/>
        <w:rPr/>
      </w:pPr>
      <w:r>
        <w:rPr>
          <w:b/>
        </w:rPr>
        <w:t>Party B is a corporation organized under the laws of the State of Delaware.  Party B’s tax identification number is</w:t>
      </w:r>
      <w:r>
        <w:rPr/>
        <w:t xml:space="preserve"> </w:t>
      </w:r>
      <w:r>
        <w:rPr>
          <w:u w:val="single"/>
        </w:rPr>
        <w:t xml:space="preserve">                           </w:t>
      </w:r>
      <w:r>
        <w:rPr/>
        <w:t>.</w:t>
      </w:r>
    </w:p>
    <w:p>
      <w:pPr>
        <w:pStyle w:val="Normal"/>
        <w:widowControl/>
        <w:rPr>
          <w:sz w:val="24"/>
        </w:rPr>
      </w:pPr>
      <w:r>
        <w:rPr>
          <w:sz w:val="24"/>
        </w:rPr>
      </w:r>
    </w:p>
    <w:p>
      <w:pPr>
        <w:pStyle w:val="PartNumbered"/>
        <w:widowControl/>
        <w:rPr/>
      </w:pPr>
      <w:r>
        <w:rPr/>
        <w:t>Part 3</w:t>
      </w:r>
    </w:p>
    <w:p>
      <w:pPr>
        <w:pStyle w:val="Normal"/>
        <w:widowControl/>
        <w:jc w:val="center"/>
        <w:rPr>
          <w:sz w:val="24"/>
        </w:rPr>
      </w:pPr>
      <w:r>
        <w:rPr>
          <w:sz w:val="24"/>
        </w:rPr>
        <w:t>Documents to Be Delivered</w:t>
      </w:r>
    </w:p>
    <w:p>
      <w:pPr>
        <w:pStyle w:val="Normal"/>
        <w:widowControl/>
        <w:rPr>
          <w:sz w:val="24"/>
        </w:rPr>
      </w:pPr>
      <w:r>
        <w:rPr>
          <w:sz w:val="24"/>
        </w:rPr>
      </w:r>
    </w:p>
    <w:p>
      <w:pPr>
        <w:pStyle w:val="Normal"/>
        <w:widowControl/>
        <w:rPr>
          <w:sz w:val="24"/>
        </w:rPr>
      </w:pPr>
      <w:r>
        <w:rPr>
          <w:sz w:val="24"/>
        </w:rPr>
        <w:t>Documents to be delivered are:</w:t>
      </w:r>
    </w:p>
    <w:p>
      <w:pPr>
        <w:pStyle w:val="Normal"/>
        <w:widowControl/>
        <w:rPr>
          <w:sz w:val="24"/>
        </w:rPr>
      </w:pPr>
      <w:r>
        <w:rPr>
          <w:sz w:val="24"/>
        </w:rPr>
      </w:r>
    </w:p>
    <w:p>
      <w:pPr>
        <w:pStyle w:val="Style21"/>
        <w:widowControl/>
        <w:tabs>
          <w:tab w:val="clear" w:pos="360"/>
        </w:tabs>
        <w:rPr/>
      </w:pPr>
      <w:r>
        <w:rPr/>
        <w:t>(a)</w:t>
        <w:tab/>
      </w:r>
      <w:r>
        <w:rPr>
          <w:u w:val="single"/>
        </w:rPr>
        <w:t>Party A</w:t>
      </w:r>
      <w:r>
        <w:rPr/>
        <w:t>.</w:t>
      </w:r>
    </w:p>
    <w:p>
      <w:pPr>
        <w:pStyle w:val="Normal"/>
        <w:widowControl/>
        <w:rPr>
          <w:kern w:val="2"/>
          <w:sz w:val="24"/>
          <w:u w:val="single"/>
        </w:rPr>
      </w:pPr>
      <w:r>
        <w:rPr>
          <w:kern w:val="2"/>
          <w:sz w:val="24"/>
          <w:u w:val="single"/>
        </w:rPr>
      </w:r>
    </w:p>
    <w:p>
      <w:pPr>
        <w:pStyle w:val="Style31"/>
        <w:widowControl/>
        <w:rPr/>
      </w:pPr>
      <w:r>
        <w:rPr/>
        <w:t>(i)</w:t>
        <w:tab/>
        <w:t xml:space="preserve">The audited financial statements of Party A as at the end of each of its three fiscal years most recently ended, if not previously delivered; </w:t>
      </w:r>
      <w:r>
        <w:rPr>
          <w:u w:val="single"/>
        </w:rPr>
        <w:t>provided</w:t>
      </w:r>
      <w:r>
        <w:rPr/>
        <w:t xml:space="preserve">, </w:t>
      </w:r>
      <w:r>
        <w:rPr>
          <w:u w:val="single"/>
        </w:rPr>
        <w:t>however</w:t>
      </w:r>
      <w:r>
        <w:rPr/>
        <w:t>, that if such financial statements as at the end of its fiscal year most recently ended have not yet been finalized for general distribution by Party A to business counterparties, then Party A shall deliver audited financial statements as at the end of the two preceding fiscal years next most recently ended, and shall deliver the audited financial statements as at the end of its fiscal year most recently ended as soon as practicable after such finalization.</w:t>
      </w:r>
    </w:p>
    <w:p>
      <w:pPr>
        <w:pStyle w:val="Normal"/>
        <w:widowControl/>
        <w:rPr>
          <w:sz w:val="24"/>
        </w:rPr>
      </w:pPr>
      <w:r>
        <w:rPr>
          <w:sz w:val="24"/>
        </w:rPr>
      </w:r>
    </w:p>
    <w:p>
      <w:pPr>
        <w:pStyle w:val="Normal"/>
        <w:widowControl/>
        <w:numPr>
          <w:ilvl w:val="0"/>
          <w:numId w:val="2"/>
        </w:numPr>
        <w:tabs>
          <w:tab w:val="clear" w:pos="720"/>
          <w:tab w:val="left" w:pos="1080" w:leader="none"/>
        </w:tabs>
        <w:rPr>
          <w:sz w:val="24"/>
        </w:rPr>
      </w:pPr>
      <w:r>
        <w:rPr>
          <w:sz w:val="24"/>
          <w:u w:val="single"/>
        </w:rPr>
        <w:t>Date by Which to be Delivered</w:t>
      </w:r>
      <w:r>
        <w:rPr>
          <w:sz w:val="24"/>
        </w:rPr>
        <w:t>:  Upon request.</w:t>
      </w:r>
    </w:p>
    <w:p>
      <w:pPr>
        <w:pStyle w:val="Normal"/>
        <w:widowControl/>
        <w:tabs>
          <w:tab w:val="clear" w:pos="720"/>
          <w:tab w:val="left" w:pos="1080" w:leader="none"/>
        </w:tabs>
        <w:ind w:firstLine="720" w:start="1080" w:end="0"/>
        <w:rPr>
          <w:sz w:val="24"/>
        </w:rPr>
      </w:pPr>
      <w:r>
        <w:rPr>
          <w:sz w:val="24"/>
        </w:rPr>
      </w:r>
    </w:p>
    <w:p>
      <w:pPr>
        <w:pStyle w:val="Normal"/>
        <w:widowControl/>
        <w:numPr>
          <w:ilvl w:val="0"/>
          <w:numId w:val="2"/>
        </w:numPr>
        <w:tabs>
          <w:tab w:val="clear" w:pos="720"/>
          <w:tab w:val="left" w:pos="1080" w:leader="none"/>
        </w:tabs>
        <w:rPr>
          <w:sz w:val="24"/>
        </w:rPr>
      </w:pPr>
      <w:r>
        <w:rPr>
          <w:sz w:val="24"/>
          <w:u w:val="single"/>
        </w:rPr>
        <w:t>Covered by 3(d) representation</w:t>
      </w:r>
      <w:r>
        <w:rPr>
          <w:sz w:val="24"/>
        </w:rPr>
        <w:t>:  Yes.</w:t>
      </w:r>
    </w:p>
    <w:p>
      <w:pPr>
        <w:pStyle w:val="Normal"/>
        <w:widowControl/>
        <w:rPr>
          <w:kern w:val="2"/>
          <w:sz w:val="24"/>
          <w:u w:val="single"/>
        </w:rPr>
      </w:pPr>
      <w:r>
        <w:rPr>
          <w:kern w:val="2"/>
          <w:sz w:val="24"/>
          <w:u w:val="single"/>
        </w:rPr>
      </w:r>
    </w:p>
    <w:p>
      <w:pPr>
        <w:pStyle w:val="Style31"/>
        <w:widowControl/>
        <w:rPr>
          <w:strike/>
        </w:rPr>
      </w:pPr>
      <w:r>
        <w:rPr>
          <w:strike/>
        </w:rPr>
        <w:t>(b) Party B.</w:t>
      </w:r>
    </w:p>
    <w:p>
      <w:pPr>
        <w:pStyle w:val="Style31"/>
        <w:widowControl/>
        <w:rPr>
          <w:strike/>
        </w:rPr>
      </w:pPr>
      <w:r>
        <w:rPr>
          <w:strike/>
        </w:rPr>
      </w:r>
    </w:p>
    <w:p>
      <w:pPr>
        <w:pStyle w:val="Style31"/>
        <w:widowControl/>
        <w:rPr/>
      </w:pPr>
      <w:r>
        <w:rPr>
          <w:strike/>
        </w:rPr>
        <w:t>(i) With respect to each fiscal year of each person or entity referred to in this paragraph, audited consolidated and unconsolidated financial statements of each of (1) Party B and (2) the Guarantor, as at the end of its three fiscal years most recently ended, if not previously delivered, and (b) with respect to each fiscal quarter of each such person or entity during the term</w:t>
      </w:r>
      <w:r>
        <w:rPr>
          <w:b/>
        </w:rPr>
        <w:t>(ii)</w:t>
      </w:r>
      <w:r>
        <w:rPr/>
        <w:tab/>
      </w:r>
      <w:r>
        <w:rPr>
          <w:b/>
          <w:kern w:val="2"/>
        </w:rPr>
        <w:t>Cer</w:t>
      </w:r>
      <w:r>
        <w:rPr>
          <w:b/>
        </w:rPr>
        <w:t>tified copies of documents evidencing necessary corporate and other authorizations and approvals with respect to the execution, delivery, and performance by Party A</w:t>
      </w:r>
      <w:r>
        <w:rPr/>
        <w:t xml:space="preserve"> of this Agreement</w:t>
      </w:r>
      <w:r>
        <w:rPr>
          <w:strike/>
        </w:rPr>
        <w:t>, unaudited consolidated and unconsolidated financial statements of each such person or entity as of the end of such fiscal quarter; provided, however, that if any such financial statements for the fiscal year most recently ended have not yet been finalized for general distribution by Party B or the Guarantor to business counterparties, then Party B and the Guarantor shall deliver audited financial statements as at the end of the two fiscal years next most recently ended and unaudited financial statements as of the end of each fiscal quarter ended since the date of the last such audited financial statements delivered to Party A, and shall deliver the audited financial statements as at the end of its fiscal year most recently ended as soon as practicable after such finalization. With respect to each of the specified entities, the term "financial statements" includes the (1) balance sheet, (2) statement of income, (3) statement of changes in shareholders' equity, (4) statement of cash flows of such entity, and (5) a chart or table showing the names, organizational structures, and direct or indirect ownership of each such person or entity and all Affiliates of such person or entity. Each financial statement shall be prepared in accordance with generally accepted accounting principles, as defined by the United States Financial Accounting Standards Board, as from time to time in effect, or the accounting standards generally accepted by the accounting profession in the jurisdiction according to whose standards such financial statements are prepared</w:t>
      </w:r>
      <w:r>
        <w:rPr/>
        <w:t xml:space="preserve">. </w:t>
      </w:r>
    </w:p>
    <w:p>
      <w:pPr>
        <w:pStyle w:val="Normal"/>
        <w:widowControl/>
        <w:rPr>
          <w:sz w:val="24"/>
        </w:rPr>
      </w:pPr>
      <w:r>
        <w:rPr>
          <w:sz w:val="24"/>
        </w:rPr>
      </w:r>
    </w:p>
    <w:p>
      <w:pPr>
        <w:pStyle w:val="Normal"/>
        <w:widowControl/>
        <w:numPr>
          <w:ilvl w:val="0"/>
          <w:numId w:val="2"/>
        </w:numPr>
        <w:tabs>
          <w:tab w:val="clear" w:pos="720"/>
          <w:tab w:val="left" w:pos="1080" w:leader="none"/>
        </w:tabs>
        <w:rPr>
          <w:sz w:val="24"/>
        </w:rPr>
      </w:pPr>
      <w:r>
        <w:rPr>
          <w:sz w:val="24"/>
          <w:u w:val="single"/>
        </w:rPr>
        <w:t>Date by Which to be Delivered</w:t>
      </w:r>
      <w:r>
        <w:rPr>
          <w:sz w:val="24"/>
        </w:rPr>
        <w:t>:  Upon request.</w:t>
      </w:r>
    </w:p>
    <w:p>
      <w:pPr>
        <w:pStyle w:val="Normal"/>
        <w:widowControl/>
        <w:tabs>
          <w:tab w:val="clear" w:pos="720"/>
          <w:tab w:val="left" w:pos="1080" w:leader="none"/>
        </w:tabs>
        <w:ind w:firstLine="720" w:start="1080" w:end="0"/>
        <w:rPr>
          <w:sz w:val="24"/>
        </w:rPr>
      </w:pPr>
      <w:r>
        <w:rPr>
          <w:sz w:val="24"/>
        </w:rPr>
      </w:r>
    </w:p>
    <w:p>
      <w:pPr>
        <w:pStyle w:val="Normal"/>
        <w:widowControl/>
        <w:numPr>
          <w:ilvl w:val="0"/>
          <w:numId w:val="2"/>
        </w:numPr>
        <w:tabs>
          <w:tab w:val="clear" w:pos="720"/>
          <w:tab w:val="left" w:pos="1080" w:leader="none"/>
        </w:tabs>
        <w:rPr>
          <w:sz w:val="24"/>
        </w:rPr>
      </w:pPr>
      <w:r>
        <w:rPr>
          <w:sz w:val="24"/>
          <w:u w:val="single"/>
        </w:rPr>
        <w:t>Covered by 3(d) representation</w:t>
      </w:r>
      <w:r>
        <w:rPr>
          <w:sz w:val="24"/>
        </w:rPr>
        <w:t xml:space="preserve">:  Yes. </w:t>
      </w:r>
    </w:p>
    <w:p>
      <w:pPr>
        <w:pStyle w:val="Normal"/>
        <w:widowControl/>
        <w:rPr>
          <w:kern w:val="2"/>
          <w:sz w:val="24"/>
          <w:u w:val="single"/>
        </w:rPr>
      </w:pPr>
      <w:r>
        <w:rPr>
          <w:kern w:val="2"/>
          <w:sz w:val="24"/>
          <w:u w:val="single"/>
        </w:rPr>
      </w:r>
    </w:p>
    <w:p>
      <w:pPr>
        <w:pStyle w:val="Style31"/>
        <w:widowControl/>
        <w:rPr/>
      </w:pPr>
      <w:r>
        <w:rPr>
          <w:strike/>
        </w:rPr>
        <w:t>(ii) Any statement of assets and/or liabilities or stockholders or ownership equity or comparable amounts filed with the Securities and Exchange Commission at any time during the term of this Agreement on or in connection with a filing of or on behalf of Party B or any Affiliate of Party B on Form X-17A-5 under the Securities Exchange Act of 1934, as amended</w:t>
      </w:r>
      <w:r>
        <w:rPr>
          <w:b/>
        </w:rPr>
        <w:t>(iii)</w:t>
      </w:r>
      <w:r>
        <w:rPr/>
        <w:tab/>
      </w:r>
      <w:r>
        <w:rPr>
          <w:b/>
        </w:rPr>
        <w:t>A certificate of an authorized officer of Party A certifying as to the names signatures, and authority of the persons signing this Agreement on the part of Party A</w:t>
      </w:r>
      <w:r>
        <w:rPr/>
        <w:t xml:space="preserve">. </w:t>
      </w:r>
    </w:p>
    <w:p>
      <w:pPr>
        <w:pStyle w:val="Normal"/>
        <w:widowControl/>
        <w:rPr>
          <w:sz w:val="24"/>
        </w:rPr>
      </w:pPr>
      <w:r>
        <w:rPr>
          <w:sz w:val="24"/>
        </w:rPr>
      </w:r>
    </w:p>
    <w:p>
      <w:pPr>
        <w:pStyle w:val="Normal"/>
        <w:widowControl/>
        <w:numPr>
          <w:ilvl w:val="0"/>
          <w:numId w:val="2"/>
        </w:numPr>
        <w:tabs>
          <w:tab w:val="clear" w:pos="720"/>
          <w:tab w:val="left" w:pos="1080" w:leader="none"/>
        </w:tabs>
        <w:rPr>
          <w:sz w:val="24"/>
        </w:rPr>
      </w:pPr>
      <w:r>
        <w:rPr>
          <w:sz w:val="24"/>
          <w:u w:val="single"/>
        </w:rPr>
        <w:t>Date by Which to be Delivered</w:t>
      </w:r>
      <w:r>
        <w:rPr>
          <w:sz w:val="24"/>
        </w:rPr>
        <w:t>:  Upon request.</w:t>
      </w:r>
    </w:p>
    <w:p>
      <w:pPr>
        <w:pStyle w:val="Normal"/>
        <w:widowControl/>
        <w:tabs>
          <w:tab w:val="clear" w:pos="720"/>
          <w:tab w:val="left" w:pos="1080" w:leader="none"/>
        </w:tabs>
        <w:ind w:firstLine="720" w:start="1080" w:end="0"/>
        <w:rPr>
          <w:sz w:val="24"/>
        </w:rPr>
      </w:pPr>
      <w:r>
        <w:rPr>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numPr>
          <w:ilvl w:val="0"/>
          <w:numId w:val="2"/>
        </w:numPr>
        <w:tabs>
          <w:tab w:val="clear" w:pos="720"/>
          <w:tab w:val="left" w:pos="1080" w:leader="none"/>
        </w:tabs>
        <w:rPr>
          <w:sz w:val="24"/>
        </w:rPr>
      </w:pPr>
      <w:r>
        <w:rPr>
          <w:b/>
          <w:sz w:val="24"/>
          <w:u w:val="single"/>
        </w:rPr>
        <w:t>Covered by 3(d) representation</w:t>
      </w:r>
      <w:r>
        <w:rPr>
          <w:b/>
          <w:sz w:val="24"/>
        </w:rPr>
        <w:t>:  Yes.</w:t>
      </w:r>
    </w:p>
    <w:p>
      <w:pPr>
        <w:pStyle w:val="Style21"/>
        <w:widowControl/>
        <w:tabs>
          <w:tab w:val="clear" w:pos="360"/>
        </w:tabs>
        <w:rPr/>
      </w:pPr>
      <w:r>
        <w:rPr>
          <w:b/>
        </w:rPr>
        <w:t>(b)</w:t>
      </w:r>
      <w:r>
        <w:rPr/>
        <w:tab/>
      </w:r>
      <w:r>
        <w:rPr>
          <w:b/>
          <w:u w:val="single"/>
        </w:rPr>
        <w:t>Party B</w:t>
      </w:r>
      <w:r>
        <w:rPr>
          <w:b/>
        </w:rPr>
        <w:t>.</w:t>
      </w:r>
    </w:p>
    <w:p>
      <w:pPr>
        <w:pStyle w:val="Normal"/>
        <w:widowControl/>
        <w:rPr>
          <w:b/>
          <w:kern w:val="2"/>
          <w:sz w:val="24"/>
          <w:u w:val="single"/>
        </w:rPr>
      </w:pPr>
      <w:r>
        <w:rPr>
          <w:b/>
          <w:kern w:val="2"/>
          <w:sz w:val="24"/>
          <w:u w:val="single"/>
        </w:rPr>
      </w:r>
    </w:p>
    <w:p>
      <w:pPr>
        <w:pStyle w:val="Style31"/>
        <w:widowControl/>
        <w:rPr/>
      </w:pPr>
      <w:r>
        <w:rPr>
          <w:b/>
        </w:rPr>
        <w:t>(i)</w:t>
      </w:r>
      <w:r>
        <w:rPr/>
        <w:tab/>
      </w:r>
      <w:r>
        <w:rPr>
          <w:b/>
        </w:rPr>
        <w:t>(a)  With respect to each fiscal year of Party B's Credit Support Provider,  audited consolidated financial statements as at the end of the fiscal year most recently ended, if not previously delivered, and (b) with respect to each fiscal quarter of Party B's Credit Support Provider, unaudited consolidated financial statements as of the end of such fiscal quarter.</w:t>
      </w:r>
    </w:p>
    <w:p>
      <w:pPr>
        <w:pStyle w:val="Normal"/>
        <w:widowControl/>
        <w:rPr>
          <w:b/>
          <w:sz w:val="24"/>
        </w:rPr>
      </w:pPr>
      <w:r>
        <w:rPr>
          <w:b/>
          <w:sz w:val="24"/>
        </w:rPr>
      </w:r>
    </w:p>
    <w:p>
      <w:pPr>
        <w:pStyle w:val="Normal"/>
        <w:widowControl/>
        <w:numPr>
          <w:ilvl w:val="0"/>
          <w:numId w:val="2"/>
        </w:numPr>
        <w:tabs>
          <w:tab w:val="clear" w:pos="720"/>
          <w:tab w:val="left" w:pos="1080" w:leader="none"/>
        </w:tabs>
        <w:rPr>
          <w:b/>
          <w:sz w:val="24"/>
          <w:u w:val="single"/>
        </w:rPr>
      </w:pPr>
      <w:r>
        <w:rPr>
          <w:b/>
          <w:sz w:val="24"/>
          <w:u w:val="single"/>
        </w:rPr>
        <w:t>Date by Which to be Delivered</w:t>
      </w:r>
      <w:r>
        <w:rPr>
          <w:b/>
          <w:sz w:val="24"/>
        </w:rPr>
        <w:t xml:space="preserve">:  With respect to (a) above, promptly following demand by party A, but in no event later than 120 days after the end of each fiscal year of Party B’s Credit Support Provider if such Financial Statement is not available on "EDGAR" or Party B’s Credit Support Provider’s home page on the World Wide Web at </w:t>
      </w:r>
      <w:hyperlink r:id="rId2">
        <w:r>
          <w:rPr>
            <w:rStyle w:val="Hyperlink"/>
            <w:b/>
          </w:rPr>
          <w:t>www.enron.com</w:t>
        </w:r>
      </w:hyperlink>
      <w:r>
        <w:rPr>
          <w:b/>
          <w:sz w:val="24"/>
        </w:rPr>
        <w:t>.</w:t>
      </w:r>
    </w:p>
    <w:p>
      <w:pPr>
        <w:pStyle w:val="Normal"/>
        <w:widowControl/>
        <w:rPr>
          <w:b/>
          <w:sz w:val="24"/>
          <w:u w:val="single"/>
        </w:rPr>
      </w:pPr>
      <w:r>
        <w:rPr>
          <w:b/>
          <w:sz w:val="24"/>
          <w:u w:val="single"/>
        </w:rPr>
      </w:r>
    </w:p>
    <w:p>
      <w:pPr>
        <w:pStyle w:val="Normal"/>
        <w:widowControl/>
        <w:tabs>
          <w:tab w:val="clear" w:pos="720"/>
          <w:tab w:val="left" w:pos="1080" w:leader="none"/>
        </w:tabs>
        <w:ind w:start="1080" w:end="0"/>
        <w:rPr>
          <w:sz w:val="24"/>
        </w:rPr>
      </w:pPr>
      <w:r>
        <w:rPr>
          <w:b/>
          <w:sz w:val="24"/>
        </w:rPr>
        <w:t xml:space="preserve">With respect to (b) above, promptly following demand by party A, but in no event later than 60 days after the end of each of the first three fiscal quarters of each fiscal year of Party A’s Credit Support Provider if such Financial Statement is not available on "EDGAR" or Party A’s Credit Support Provider’s home page on the World Wide Web at </w:t>
      </w:r>
      <w:hyperlink r:id="rId3">
        <w:r>
          <w:rPr>
            <w:rStyle w:val="Hyperlink"/>
            <w:b/>
          </w:rPr>
          <w:t>www.enron.com</w:t>
        </w:r>
      </w:hyperlink>
      <w:r>
        <w:rPr>
          <w:b/>
          <w:sz w:val="24"/>
        </w:rPr>
        <w:t>.</w:t>
      </w:r>
    </w:p>
    <w:p>
      <w:pPr>
        <w:pStyle w:val="Normal"/>
        <w:widowControl/>
        <w:tabs>
          <w:tab w:val="clear" w:pos="720"/>
          <w:tab w:val="left" w:pos="1080" w:leader="none"/>
        </w:tabs>
        <w:ind w:start="1080" w:end="0"/>
        <w:rPr>
          <w:sz w:val="24"/>
        </w:rPr>
      </w:pPr>
      <w:r>
        <w:rPr>
          <w:sz w:val="24"/>
        </w:rPr>
      </w:r>
    </w:p>
    <w:p>
      <w:pPr>
        <w:pStyle w:val="Normal"/>
        <w:widowControl/>
        <w:numPr>
          <w:ilvl w:val="0"/>
          <w:numId w:val="2"/>
        </w:numPr>
        <w:tabs>
          <w:tab w:val="clear" w:pos="720"/>
          <w:tab w:val="left" w:pos="1080" w:leader="none"/>
        </w:tabs>
        <w:rPr>
          <w:sz w:val="24"/>
        </w:rPr>
      </w:pPr>
      <w:r>
        <w:rPr>
          <w:sz w:val="24"/>
          <w:u w:val="single"/>
        </w:rPr>
        <w:t xml:space="preserve">Covered by 3(d) representation: </w:t>
      </w:r>
      <w:r>
        <w:rPr>
          <w:sz w:val="24"/>
        </w:rPr>
        <w:t xml:space="preserve"> Yes.</w:t>
      </w:r>
    </w:p>
    <w:p>
      <w:pPr>
        <w:pStyle w:val="Normal"/>
        <w:widowControl/>
        <w:tabs>
          <w:tab w:val="clear" w:pos="720"/>
          <w:tab w:val="left" w:pos="1080" w:leader="none"/>
        </w:tabs>
        <w:ind w:start="1080" w:end="0"/>
        <w:rPr>
          <w:sz w:val="24"/>
        </w:rPr>
      </w:pPr>
      <w:r>
        <w:rPr>
          <w:sz w:val="24"/>
        </w:rPr>
      </w:r>
    </w:p>
    <w:p>
      <w:pPr>
        <w:pStyle w:val="Style31"/>
        <w:widowControl/>
        <w:rPr/>
      </w:pPr>
      <w:r>
        <w:rPr>
          <w:strike/>
        </w:rPr>
        <w:t>(iii)</w:t>
      </w:r>
      <w:r>
        <w:rPr>
          <w:b/>
        </w:rPr>
        <w:t>(ii)</w:t>
      </w:r>
      <w:r>
        <w:rPr/>
        <w:tab/>
        <w:t xml:space="preserve">Guarantee </w:t>
      </w:r>
      <w:r>
        <w:rPr>
          <w:b/>
        </w:rPr>
        <w:t>in the form attached hereto as Exhibit A</w:t>
      </w:r>
      <w:r>
        <w:rPr/>
        <w:t xml:space="preserve">, dated the date hereof, issued by </w:t>
      </w:r>
      <w:r>
        <w:rPr>
          <w:strike/>
        </w:rPr>
        <w:t>ENRON Corporation</w:t>
      </w:r>
      <w:r>
        <w:rPr/>
        <w:t xml:space="preserve"> </w:t>
      </w:r>
      <w:r>
        <w:rPr>
          <w:b/>
        </w:rPr>
        <w:t>Enron Corp.</w:t>
      </w:r>
      <w:r>
        <w:rPr/>
        <w:t xml:space="preserve"> (the "Guarantor") in favor of Party A (the "Guarantee").</w:t>
      </w:r>
    </w:p>
    <w:p>
      <w:pPr>
        <w:pStyle w:val="Normal"/>
        <w:widowControl/>
        <w:rPr>
          <w:sz w:val="24"/>
        </w:rPr>
      </w:pPr>
      <w:r>
        <w:rPr>
          <w:sz w:val="24"/>
        </w:rPr>
      </w:r>
    </w:p>
    <w:p>
      <w:pPr>
        <w:pStyle w:val="Normal"/>
        <w:widowControl/>
        <w:numPr>
          <w:ilvl w:val="0"/>
          <w:numId w:val="2"/>
        </w:numPr>
        <w:rPr>
          <w:sz w:val="24"/>
        </w:rPr>
      </w:pPr>
      <w:r>
        <w:rPr>
          <w:sz w:val="24"/>
          <w:u w:val="single"/>
        </w:rPr>
        <w:t>Date by Which to be Delivered</w:t>
      </w:r>
      <w:r>
        <w:rPr>
          <w:sz w:val="24"/>
        </w:rPr>
        <w:t>:  Simultaneously with the execution of this Agreement.</w:t>
      </w:r>
    </w:p>
    <w:p>
      <w:pPr>
        <w:pStyle w:val="Normal"/>
        <w:widowControl/>
        <w:ind w:start="1080" w:end="0"/>
        <w:rPr>
          <w:sz w:val="24"/>
          <w:u w:val="single"/>
        </w:rPr>
      </w:pPr>
      <w:r>
        <w:rPr>
          <w:sz w:val="24"/>
          <w:u w:val="single"/>
        </w:rPr>
      </w:r>
    </w:p>
    <w:p>
      <w:pPr>
        <w:pStyle w:val="Normal"/>
        <w:widowControl/>
        <w:numPr>
          <w:ilvl w:val="0"/>
          <w:numId w:val="2"/>
        </w:numPr>
        <w:tabs>
          <w:tab w:val="clear" w:pos="720"/>
          <w:tab w:val="left" w:pos="1080" w:leader="none"/>
        </w:tabs>
        <w:rPr>
          <w:sz w:val="24"/>
        </w:rPr>
      </w:pPr>
      <w:r>
        <w:rPr>
          <w:sz w:val="24"/>
          <w:u w:val="single"/>
        </w:rPr>
        <w:t xml:space="preserve">Covered by 3(d) representation: </w:t>
      </w:r>
      <w:r>
        <w:rPr>
          <w:sz w:val="24"/>
        </w:rPr>
        <w:t xml:space="preserve"> No. </w:t>
      </w:r>
    </w:p>
    <w:p>
      <w:pPr>
        <w:pStyle w:val="Normal"/>
        <w:widowControl/>
        <w:rPr>
          <w:kern w:val="2"/>
          <w:sz w:val="24"/>
          <w:u w:val="single"/>
        </w:rPr>
      </w:pPr>
      <w:r>
        <w:rPr>
          <w:kern w:val="2"/>
          <w:sz w:val="24"/>
          <w:u w:val="single"/>
        </w:rPr>
      </w:r>
    </w:p>
    <w:p>
      <w:pPr>
        <w:pStyle w:val="Style31"/>
        <w:widowControl/>
        <w:rPr/>
      </w:pPr>
      <w:r>
        <w:rPr>
          <w:strike/>
        </w:rPr>
        <w:t>(iv) Letter of Credit</w:t>
      </w:r>
      <w:r>
        <w:rPr>
          <w:b/>
        </w:rPr>
        <w:t>(iii)</w:t>
      </w:r>
      <w:r>
        <w:rPr/>
        <w:tab/>
      </w:r>
      <w:r>
        <w:rPr>
          <w:b/>
          <w:kern w:val="2"/>
        </w:rPr>
        <w:t>Cer</w:t>
      </w:r>
      <w:r>
        <w:rPr>
          <w:b/>
        </w:rPr>
        <w:t>tified copies of documents evidencing necessary corporate and other authorizations and approvals with respect to the execution, delivery, and performance by Party B and any Credit Support Provider of this Agreement and any Credit Support Document.</w:t>
      </w:r>
      <w:r>
        <w:rPr/>
        <w:t xml:space="preserve"> </w:t>
      </w:r>
    </w:p>
    <w:p>
      <w:pPr>
        <w:pStyle w:val="Normal"/>
        <w:widowControl/>
        <w:rPr>
          <w:sz w:val="24"/>
        </w:rPr>
      </w:pPr>
      <w:r>
        <w:rPr>
          <w:sz w:val="24"/>
        </w:rPr>
      </w:r>
    </w:p>
    <w:p>
      <w:pPr>
        <w:pStyle w:val="Normal"/>
        <w:widowControl/>
        <w:numPr>
          <w:ilvl w:val="0"/>
          <w:numId w:val="2"/>
        </w:numPr>
        <w:tabs>
          <w:tab w:val="clear" w:pos="720"/>
          <w:tab w:val="left" w:pos="1080" w:leader="none"/>
        </w:tabs>
        <w:rPr>
          <w:sz w:val="24"/>
        </w:rPr>
      </w:pPr>
      <w:r>
        <w:rPr>
          <w:sz w:val="24"/>
          <w:u w:val="single"/>
        </w:rPr>
        <w:t>Date by Which to be Delivered</w:t>
      </w:r>
      <w:r>
        <w:rPr>
          <w:sz w:val="24"/>
        </w:rPr>
        <w:t>:</w:t>
      </w:r>
      <w:r>
        <w:rPr>
          <w:b/>
          <w:sz w:val="24"/>
        </w:rPr>
        <w:t xml:space="preserve">  Upon request.</w:t>
      </w:r>
    </w:p>
    <w:p>
      <w:pPr>
        <w:pStyle w:val="Normal"/>
        <w:widowControl/>
        <w:tabs>
          <w:tab w:val="clear" w:pos="720"/>
          <w:tab w:val="left" w:pos="1080" w:leader="none"/>
        </w:tabs>
        <w:ind w:firstLine="720" w:start="1080" w:end="0"/>
        <w:rPr>
          <w:sz w:val="24"/>
        </w:rPr>
      </w:pPr>
      <w:r>
        <w:rPr>
          <w:sz w:val="24"/>
        </w:rPr>
      </w:r>
    </w:p>
    <w:p>
      <w:pPr>
        <w:pStyle w:val="Normal"/>
        <w:widowControl/>
        <w:numPr>
          <w:ilvl w:val="0"/>
          <w:numId w:val="2"/>
        </w:numPr>
        <w:tabs>
          <w:tab w:val="clear" w:pos="720"/>
          <w:tab w:val="left" w:pos="1080" w:leader="none"/>
        </w:tabs>
        <w:rPr>
          <w:b/>
          <w:sz w:val="24"/>
        </w:rPr>
      </w:pPr>
      <w:r>
        <w:rPr>
          <w:sz w:val="24"/>
          <w:u w:val="single"/>
        </w:rPr>
        <w:t>Covered by 3(d) representation</w:t>
      </w:r>
      <w:r>
        <w:rPr>
          <w:sz w:val="24"/>
        </w:rPr>
        <w:t xml:space="preserve">:  </w:t>
      </w:r>
      <w:r>
        <w:rPr>
          <w:strike/>
          <w:sz w:val="24"/>
        </w:rPr>
        <w:t>No</w:t>
      </w:r>
      <w:r>
        <w:rPr>
          <w:sz w:val="24"/>
        </w:rPr>
        <w:t xml:space="preserve"> </w:t>
      </w:r>
      <w:r>
        <w:rPr>
          <w:b/>
          <w:sz w:val="24"/>
        </w:rPr>
        <w:t xml:space="preserve">Yes. </w:t>
      </w:r>
    </w:p>
    <w:p>
      <w:pPr>
        <w:pStyle w:val="Normal"/>
        <w:widowControl/>
        <w:rPr>
          <w:b/>
          <w:kern w:val="2"/>
          <w:sz w:val="24"/>
          <w:u w:val="single"/>
        </w:rPr>
      </w:pPr>
      <w:r>
        <w:rPr>
          <w:b/>
          <w:kern w:val="2"/>
          <w:sz w:val="24"/>
          <w:u w:val="single"/>
        </w:rPr>
      </w:r>
    </w:p>
    <w:p>
      <w:pPr>
        <w:pStyle w:val="Style31"/>
        <w:widowControl/>
        <w:rPr/>
      </w:pPr>
      <w:r>
        <w:rPr>
          <w:b/>
        </w:rPr>
        <w:t>(iv)</w:t>
      </w:r>
      <w:r>
        <w:rPr/>
        <w:tab/>
      </w:r>
      <w:r>
        <w:rPr>
          <w:b/>
        </w:rPr>
        <w:t xml:space="preserve">A certificate of an authorized officer of Party B, and of any Credit Support Provider, certifying as to the names, signatures, and authority of the persons signing this Agreement and any Credit Support Document on the part of Party A or such Credit Support Provider, as the case may be. </w:t>
      </w:r>
    </w:p>
    <w:p>
      <w:pPr>
        <w:pStyle w:val="Normal"/>
        <w:widowControl/>
        <w:rPr>
          <w:b/>
          <w:sz w:val="24"/>
        </w:rPr>
      </w:pPr>
      <w:r>
        <w:rPr>
          <w:b/>
          <w:sz w:val="24"/>
        </w:rPr>
      </w:r>
    </w:p>
    <w:p>
      <w:pPr>
        <w:pStyle w:val="Normal"/>
        <w:widowControl/>
        <w:numPr>
          <w:ilvl w:val="0"/>
          <w:numId w:val="2"/>
        </w:numPr>
        <w:tabs>
          <w:tab w:val="clear" w:pos="720"/>
          <w:tab w:val="left" w:pos="1080" w:leader="none"/>
        </w:tabs>
        <w:rPr>
          <w:b/>
          <w:sz w:val="24"/>
        </w:rPr>
      </w:pPr>
      <w:r>
        <w:rPr>
          <w:b/>
          <w:sz w:val="24"/>
          <w:u w:val="single"/>
        </w:rPr>
        <w:t>Date by Which to be Delivered</w:t>
      </w:r>
      <w:r>
        <w:rPr>
          <w:b/>
          <w:sz w:val="24"/>
        </w:rPr>
        <w:t>:  Upon request.</w:t>
      </w:r>
    </w:p>
    <w:p>
      <w:pPr>
        <w:pStyle w:val="Normal"/>
        <w:widowControl/>
        <w:tabs>
          <w:tab w:val="clear" w:pos="720"/>
          <w:tab w:val="left" w:pos="1080" w:leader="none"/>
        </w:tabs>
        <w:ind w:firstLine="720" w:start="1080" w:end="0"/>
        <w:rPr>
          <w:b/>
          <w:sz w:val="24"/>
        </w:rPr>
      </w:pPr>
      <w:r>
        <w:rPr>
          <w:b/>
          <w:sz w:val="24"/>
        </w:rPr>
      </w:r>
    </w:p>
    <w:p>
      <w:pPr>
        <w:pStyle w:val="Normal"/>
        <w:widowControl/>
        <w:numPr>
          <w:ilvl w:val="0"/>
          <w:numId w:val="2"/>
        </w:numPr>
        <w:rPr>
          <w:sz w:val="24"/>
        </w:rPr>
      </w:pPr>
      <w:r>
        <w:rPr>
          <w:b/>
          <w:sz w:val="24"/>
          <w:u w:val="single"/>
        </w:rPr>
        <w:t>Covered by 3(d) representation</w:t>
      </w:r>
      <w:r>
        <w:rPr>
          <w:b/>
          <w:sz w:val="24"/>
        </w:rPr>
        <w:t>:  Yes.</w:t>
      </w:r>
    </w:p>
    <w:p>
      <w:pPr>
        <w:pStyle w:val="Normal"/>
        <w:widowControl/>
        <w:rPr>
          <w:sz w:val="24"/>
        </w:rPr>
      </w:pPr>
      <w:r>
        <w:rPr>
          <w:sz w:val="24"/>
        </w:rPr>
      </w:r>
    </w:p>
    <w:p>
      <w:pPr>
        <w:pStyle w:val="Normal"/>
        <w:widowControl/>
        <w:ind w:start="720" w:end="0"/>
        <w:rPr>
          <w:sz w:val="24"/>
        </w:rPr>
      </w:pPr>
      <w:r>
        <w:rPr>
          <w:sz w:val="24"/>
        </w:rPr>
      </w:r>
    </w:p>
    <w:p>
      <w:pPr>
        <w:pStyle w:val="PartNumbered"/>
        <w:widowControl/>
        <w:rPr/>
      </w:pPr>
      <w:r>
        <w:rPr/>
        <w:t>Part 4</w:t>
      </w:r>
    </w:p>
    <w:p>
      <w:pPr>
        <w:pStyle w:val="Normal"/>
        <w:widowControl/>
        <w:rPr/>
      </w:pPr>
      <w:r>
        <w:rPr/>
      </w:r>
    </w:p>
    <w:p>
      <w:pPr>
        <w:pStyle w:val="Normal"/>
        <w:widowControl/>
        <w:jc w:val="center"/>
        <w:rPr>
          <w:sz w:val="24"/>
        </w:rPr>
      </w:pPr>
      <w:r>
        <w:rPr>
          <w:sz w:val="24"/>
        </w:rPr>
        <w:t>Miscellaneous</w:t>
      </w:r>
    </w:p>
    <w:p>
      <w:pPr>
        <w:pStyle w:val="Normal"/>
        <w:widowControl/>
        <w:rPr>
          <w:sz w:val="24"/>
        </w:rPr>
      </w:pPr>
      <w:r>
        <w:rPr>
          <w:sz w:val="24"/>
        </w:rPr>
      </w:r>
    </w:p>
    <w:p>
      <w:pPr>
        <w:pStyle w:val="Style21"/>
        <w:widowControl/>
        <w:tabs>
          <w:tab w:val="clear" w:pos="360"/>
        </w:tabs>
        <w:rPr/>
      </w:pPr>
      <w:r>
        <w:rPr/>
        <w:t>(a)</w:t>
        <w:tab/>
        <w:t>Governing Law.  This Agreement will be governed by and construed in accordance with the laws of the State of New York without reference to choice of law doctrine.  Notwithstanding any other provision of this Agreement (including any provision of this Schedule), no provision of any Confirmation shall be effective either (i) to amend this provision or (ii) to cause any transaction to which such Confirmation relates to be construed in accordance with or governed by the laws of any jurisdiction other than those of the State of New York.</w:t>
      </w:r>
    </w:p>
    <w:p>
      <w:pPr>
        <w:pStyle w:val="Normal"/>
        <w:widowControl/>
        <w:rPr>
          <w:sz w:val="24"/>
        </w:rPr>
      </w:pPr>
      <w:r>
        <w:rPr>
          <w:sz w:val="24"/>
        </w:rPr>
      </w:r>
    </w:p>
    <w:p>
      <w:pPr>
        <w:pStyle w:val="Style21"/>
        <w:widowControl/>
        <w:tabs>
          <w:tab w:val="clear" w:pos="360"/>
        </w:tabs>
        <w:rPr/>
      </w:pPr>
      <w:r>
        <w:rPr/>
        <w:t>(b)</w:t>
        <w:tab/>
      </w:r>
      <w:r>
        <w:rPr>
          <w:b/>
        </w:rPr>
        <w:t>Multibranch Parties.</w:t>
      </w:r>
      <w:r>
        <w:rPr/>
        <w:t xml:space="preserve">  Party A is not a Multibranch Party.</w:t>
      </w:r>
    </w:p>
    <w:p>
      <w:pPr>
        <w:pStyle w:val="Normal"/>
        <w:widowControl/>
        <w:rPr>
          <w:sz w:val="24"/>
        </w:rPr>
      </w:pPr>
      <w:r>
        <w:rPr>
          <w:sz w:val="24"/>
        </w:rPr>
      </w:r>
    </w:p>
    <w:p>
      <w:pPr>
        <w:pStyle w:val="Normal"/>
        <w:widowControl/>
        <w:rPr>
          <w:sz w:val="24"/>
        </w:rPr>
      </w:pPr>
      <w:r>
        <w:rPr>
          <w:sz w:val="24"/>
        </w:rPr>
        <w:tab/>
        <w:t xml:space="preserve">Party B is not a Multibranch Party. </w:t>
      </w:r>
    </w:p>
    <w:p>
      <w:pPr>
        <w:pStyle w:val="Normal"/>
        <w:widowControl/>
        <w:rPr>
          <w:sz w:val="24"/>
        </w:rPr>
      </w:pPr>
      <w:r>
        <w:rPr>
          <w:sz w:val="24"/>
        </w:rPr>
      </w:r>
    </w:p>
    <w:p>
      <w:pPr>
        <w:pStyle w:val="Style21"/>
        <w:widowControl/>
        <w:tabs>
          <w:tab w:val="clear" w:pos="360"/>
        </w:tabs>
        <w:rPr/>
      </w:pPr>
      <w:r>
        <w:rPr/>
        <w:t>(c)</w:t>
        <w:tab/>
      </w:r>
      <w:r>
        <w:rPr>
          <w:b/>
        </w:rPr>
        <w:t>Offices.</w:t>
      </w:r>
      <w:r>
        <w:rPr/>
        <w:t xml:space="preserve">  The provisions of Section 10(a) shall apply.</w:t>
      </w:r>
    </w:p>
    <w:p>
      <w:pPr>
        <w:pStyle w:val="Normal"/>
        <w:widowControl/>
        <w:rPr>
          <w:sz w:val="24"/>
        </w:rPr>
      </w:pPr>
      <w:r>
        <w:rPr>
          <w:sz w:val="24"/>
        </w:rPr>
      </w:r>
    </w:p>
    <w:p>
      <w:pPr>
        <w:pStyle w:val="Style21"/>
        <w:widowControl/>
        <w:tabs>
          <w:tab w:val="clear" w:pos="360"/>
        </w:tabs>
        <w:rPr/>
      </w:pPr>
      <w:r>
        <w:rPr/>
        <w:t>(d)</w:t>
        <w:tab/>
        <w:t>Addresses for Notices.  For the purpose of Section 12(a):</w:t>
      </w:r>
    </w:p>
    <w:p>
      <w:pPr>
        <w:pStyle w:val="Normal"/>
        <w:widowControl/>
        <w:rPr>
          <w:sz w:val="24"/>
        </w:rPr>
      </w:pPr>
      <w:r>
        <w:rPr>
          <w:sz w:val="24"/>
        </w:rPr>
        <w:tab/>
        <w:t>Address for notices or communications to Party A:</w:t>
      </w:r>
    </w:p>
    <w:p>
      <w:pPr>
        <w:pStyle w:val="Normal"/>
        <w:widowControl/>
        <w:rPr>
          <w:sz w:val="24"/>
        </w:rPr>
      </w:pPr>
      <w:r>
        <w:rPr>
          <w:sz w:val="24"/>
        </w:rPr>
      </w:r>
    </w:p>
    <w:p>
      <w:pPr>
        <w:pStyle w:val="Normal"/>
        <w:widowControl/>
        <w:rPr>
          <w:sz w:val="24"/>
        </w:rPr>
      </w:pPr>
      <w:r>
        <w:rPr>
          <w:sz w:val="24"/>
        </w:rPr>
        <w:t>Address:</w:t>
        <w:tab/>
        <w:t>President and Fellows of Harvard College</w:t>
      </w:r>
    </w:p>
    <w:p>
      <w:pPr>
        <w:pStyle w:val="Normal"/>
        <w:widowControl/>
        <w:rPr>
          <w:sz w:val="24"/>
        </w:rPr>
      </w:pPr>
      <w:r>
        <w:rPr>
          <w:sz w:val="24"/>
        </w:rPr>
        <w:tab/>
        <w:tab/>
        <w:t>600 Atlantic Avenue</w:t>
      </w:r>
    </w:p>
    <w:p>
      <w:pPr>
        <w:pStyle w:val="Normal"/>
        <w:widowControl/>
        <w:rPr>
          <w:sz w:val="24"/>
        </w:rPr>
      </w:pPr>
      <w:r>
        <w:rPr>
          <w:sz w:val="24"/>
        </w:rPr>
        <w:tab/>
        <w:tab/>
        <w:t>Boston, Massachusetts 02210</w:t>
      </w:r>
    </w:p>
    <w:p>
      <w:pPr>
        <w:pStyle w:val="Normal"/>
        <w:widowControl/>
        <w:rPr>
          <w:sz w:val="24"/>
        </w:rPr>
      </w:pPr>
      <w:r>
        <w:rPr>
          <w:sz w:val="24"/>
        </w:rPr>
        <w:tab/>
        <w:tab/>
        <w:t>Telex No.:  703295; Answerback: Harvard BSNUD</w:t>
      </w:r>
    </w:p>
    <w:p>
      <w:pPr>
        <w:pStyle w:val="Normal"/>
        <w:widowControl/>
        <w:rPr>
          <w:sz w:val="24"/>
        </w:rPr>
      </w:pPr>
      <w:r>
        <w:rPr>
          <w:sz w:val="24"/>
        </w:rPr>
        <w:tab/>
        <w:tab/>
        <w:t>Facsimile No.:  (617) 523-1360</w:t>
      </w:r>
    </w:p>
    <w:p>
      <w:pPr>
        <w:pStyle w:val="Normal"/>
        <w:widowControl/>
        <w:rPr>
          <w:sz w:val="24"/>
        </w:rPr>
      </w:pPr>
      <w:r>
        <w:rPr>
          <w:sz w:val="24"/>
        </w:rPr>
        <w:tab/>
      </w:r>
    </w:p>
    <w:p>
      <w:pPr>
        <w:pStyle w:val="Normal"/>
        <w:widowControl/>
        <w:rPr>
          <w:sz w:val="24"/>
        </w:rPr>
      </w:pPr>
      <w:r>
        <w:rPr>
          <w:sz w:val="24"/>
        </w:rPr>
        <w:t>Attention:</w:t>
        <w:tab/>
        <w:t>Michael Pradko</w:t>
      </w:r>
    </w:p>
    <w:p>
      <w:pPr>
        <w:pStyle w:val="Normal"/>
        <w:widowControl/>
        <w:rPr>
          <w:sz w:val="24"/>
        </w:rPr>
      </w:pPr>
      <w:r>
        <w:rPr>
          <w:sz w:val="24"/>
        </w:rPr>
        <w:tab/>
        <w:tab/>
        <w:t>Chief Risk Officer</w:t>
      </w:r>
    </w:p>
    <w:p>
      <w:pPr>
        <w:pStyle w:val="Normal"/>
        <w:widowControl/>
        <w:rPr>
          <w:sz w:val="24"/>
        </w:rPr>
      </w:pPr>
      <w:r>
        <w:rPr>
          <w:sz w:val="24"/>
        </w:rPr>
        <w:tab/>
        <w:tab/>
        <w:t>Harvard Management Company, Inc.</w:t>
      </w:r>
    </w:p>
    <w:p>
      <w:pPr>
        <w:pStyle w:val="Normal"/>
        <w:widowControl/>
        <w:rPr>
          <w:sz w:val="24"/>
        </w:rPr>
      </w:pPr>
      <w:r>
        <w:rPr>
          <w:sz w:val="24"/>
        </w:rPr>
      </w:r>
    </w:p>
    <w:p>
      <w:pPr>
        <w:pStyle w:val="Normal"/>
        <w:widowControl/>
        <w:rPr>
          <w:sz w:val="24"/>
        </w:rPr>
      </w:pPr>
      <w:r>
        <w:rPr>
          <w:sz w:val="24"/>
        </w:rPr>
        <w:t>With a copy to:</w:t>
      </w:r>
    </w:p>
    <w:p>
      <w:pPr>
        <w:pStyle w:val="Normal"/>
        <w:widowControl/>
        <w:rPr>
          <w:sz w:val="24"/>
        </w:rPr>
      </w:pPr>
      <w:r>
        <w:rPr>
          <w:sz w:val="24"/>
        </w:rPr>
        <w:t>Address:</w:t>
      </w:r>
    </w:p>
    <w:p>
      <w:pPr>
        <w:pStyle w:val="Normal"/>
        <w:widowControl/>
        <w:rPr>
          <w:sz w:val="24"/>
        </w:rPr>
      </w:pPr>
      <w:r>
        <w:rPr>
          <w:sz w:val="24"/>
        </w:rPr>
        <w:tab/>
        <w:tab/>
        <w:t>President and Fellows of Harvard College</w:t>
      </w:r>
    </w:p>
    <w:p>
      <w:pPr>
        <w:pStyle w:val="Normal"/>
        <w:widowControl/>
        <w:rPr>
          <w:sz w:val="24"/>
        </w:rPr>
      </w:pPr>
      <w:r>
        <w:rPr>
          <w:sz w:val="24"/>
        </w:rPr>
        <w:tab/>
        <w:tab/>
        <w:t>600 Atlantic Avenue</w:t>
      </w:r>
    </w:p>
    <w:p>
      <w:pPr>
        <w:pStyle w:val="Normal"/>
        <w:widowControl/>
        <w:rPr>
          <w:sz w:val="24"/>
        </w:rPr>
      </w:pPr>
      <w:r>
        <w:rPr>
          <w:sz w:val="24"/>
        </w:rPr>
        <w:tab/>
        <w:tab/>
        <w:t>Boston, Massachusetts 02210</w:t>
      </w:r>
    </w:p>
    <w:p>
      <w:pPr>
        <w:pStyle w:val="Normal"/>
        <w:widowControl/>
        <w:rPr>
          <w:sz w:val="24"/>
        </w:rPr>
      </w:pPr>
      <w:r>
        <w:rPr>
          <w:sz w:val="24"/>
        </w:rPr>
        <w:tab/>
        <w:tab/>
        <w:t>Telex No.:  703295; Answerback: Harvard BSNUD</w:t>
      </w:r>
    </w:p>
    <w:p>
      <w:pPr>
        <w:pStyle w:val="Normal"/>
        <w:widowControl/>
        <w:rPr>
          <w:sz w:val="24"/>
        </w:rPr>
      </w:pPr>
      <w:r>
        <w:rPr>
          <w:sz w:val="24"/>
        </w:rPr>
        <w:tab/>
        <w:tab/>
        <w:t>Facsimile No.:  (617) 723-2674</w:t>
      </w:r>
    </w:p>
    <w:p>
      <w:pPr>
        <w:pStyle w:val="Normal"/>
        <w:widowControl/>
        <w:rPr>
          <w:sz w:val="24"/>
        </w:rPr>
      </w:pPr>
      <w:r>
        <w:rPr>
          <w:sz w:val="24"/>
        </w:rPr>
      </w:r>
    </w:p>
    <w:p>
      <w:pPr>
        <w:pStyle w:val="Normal"/>
        <w:widowControl/>
        <w:rPr>
          <w:sz w:val="24"/>
        </w:rPr>
      </w:pPr>
      <w:r>
        <w:rPr>
          <w:sz w:val="24"/>
        </w:rPr>
        <w:t>Attention:</w:t>
        <w:tab/>
        <w:t>Stephen T. McSweeney</w:t>
      </w:r>
    </w:p>
    <w:p>
      <w:pPr>
        <w:pStyle w:val="Normal"/>
        <w:widowControl/>
        <w:rPr>
          <w:sz w:val="24"/>
        </w:rPr>
      </w:pPr>
      <w:r>
        <w:rPr>
          <w:sz w:val="24"/>
        </w:rPr>
        <w:tab/>
        <w:tab/>
        <w:t>Chief Operations Officer</w:t>
      </w:r>
    </w:p>
    <w:p>
      <w:pPr>
        <w:pStyle w:val="Normal"/>
        <w:widowControl/>
        <w:rPr>
          <w:sz w:val="24"/>
        </w:rPr>
      </w:pPr>
      <w:r>
        <w:rPr>
          <w:sz w:val="24"/>
        </w:rPr>
        <w:tab/>
        <w:tab/>
        <w:t>Harvard Management Company, Inc.</w:t>
      </w:r>
    </w:p>
    <w:p>
      <w:pPr>
        <w:pStyle w:val="Normal"/>
        <w:widowControl/>
        <w:rPr>
          <w:sz w:val="24"/>
        </w:rPr>
      </w:pPr>
      <w:r>
        <w:rPr>
          <w:sz w:val="24"/>
        </w:rPr>
      </w:r>
    </w:p>
    <w:p>
      <w:pPr>
        <w:pStyle w:val="Normal"/>
        <w:widowControl/>
        <w:rPr>
          <w:sz w:val="24"/>
        </w:rPr>
      </w:pPr>
      <w:r>
        <w:rPr>
          <w:sz w:val="24"/>
        </w:rPr>
        <w:tab/>
        <w:t>Address for notices or communications to Party B shall be addressed to:</w:t>
      </w:r>
    </w:p>
    <w:p>
      <w:pPr>
        <w:pStyle w:val="Normal"/>
        <w:widowControl/>
        <w:rPr>
          <w:sz w:val="24"/>
        </w:rPr>
      </w:pPr>
      <w:r>
        <w:rPr>
          <w:sz w:val="24"/>
        </w:rPr>
      </w:r>
    </w:p>
    <w:p>
      <w:pPr>
        <w:pStyle w:val="Normal"/>
        <w:widowControl/>
        <w:rPr/>
      </w:pPr>
      <w:r>
        <w:rPr>
          <w:sz w:val="24"/>
        </w:rPr>
        <w:tab/>
      </w:r>
      <w:r>
        <w:rPr>
          <w:b/>
          <w:sz w:val="24"/>
        </w:rPr>
        <w:t>Address:</w:t>
      </w:r>
      <w:r>
        <w:rPr>
          <w:sz w:val="24"/>
        </w:rPr>
        <w:tab/>
      </w:r>
      <w:r>
        <w:rPr>
          <w:b/>
          <w:sz w:val="24"/>
        </w:rPr>
        <w:t xml:space="preserve">Enron North America Corp. </w:t>
      </w:r>
    </w:p>
    <w:p>
      <w:pPr>
        <w:pStyle w:val="Normal"/>
        <w:widowControl/>
        <w:ind w:firstLine="720" w:end="0"/>
        <w:rPr/>
      </w:pPr>
      <w:r>
        <w:rPr>
          <w:sz w:val="24"/>
        </w:rPr>
        <w:tab/>
        <w:tab/>
      </w:r>
      <w:r>
        <w:rPr>
          <w:b/>
          <w:sz w:val="24"/>
        </w:rPr>
        <w:t>P.O. Box 4428</w:t>
      </w:r>
    </w:p>
    <w:p>
      <w:pPr>
        <w:pStyle w:val="Normal"/>
        <w:widowControl/>
        <w:rPr/>
      </w:pPr>
      <w:r>
        <w:rPr>
          <w:sz w:val="24"/>
        </w:rPr>
        <w:tab/>
        <w:tab/>
        <w:tab/>
      </w:r>
      <w:r>
        <w:rPr>
          <w:b/>
          <w:sz w:val="24"/>
        </w:rPr>
        <w:t>Houston, Texas  77210-4428</w:t>
      </w:r>
    </w:p>
    <w:p>
      <w:pPr>
        <w:pStyle w:val="Normal"/>
        <w:widowControl/>
        <w:rPr/>
      </w:pPr>
      <w:r>
        <w:rPr>
          <w:sz w:val="24"/>
        </w:rPr>
        <w:tab/>
        <w:tab/>
        <w:tab/>
      </w:r>
      <w:r>
        <w:rPr>
          <w:b/>
          <w:sz w:val="24"/>
        </w:rPr>
        <w:t>Facsimile No.:  (713) 646-4816</w:t>
      </w:r>
    </w:p>
    <w:p>
      <w:pPr>
        <w:pStyle w:val="Normal"/>
        <w:widowControl/>
        <w:rPr/>
      </w:pPr>
      <w:r>
        <w:rPr>
          <w:sz w:val="24"/>
        </w:rPr>
        <w:tab/>
        <w:tab/>
        <w:tab/>
      </w:r>
      <w:r>
        <w:rPr>
          <w:b/>
          <w:sz w:val="24"/>
        </w:rPr>
        <w:t>Telephone No:. (713) 853-3300</w:t>
      </w:r>
    </w:p>
    <w:p>
      <w:pPr>
        <w:pStyle w:val="Normal"/>
        <w:widowControl/>
        <w:rPr/>
      </w:pPr>
      <w:r>
        <w:rPr>
          <w:sz w:val="24"/>
        </w:rPr>
        <w:tab/>
      </w:r>
      <w:r>
        <w:rPr>
          <w:b/>
          <w:sz w:val="24"/>
        </w:rPr>
        <w:t>Street Address:</w:t>
      </w:r>
    </w:p>
    <w:p>
      <w:pPr>
        <w:pStyle w:val="Normal"/>
        <w:widowControl/>
        <w:rPr/>
      </w:pPr>
      <w:r>
        <w:rPr>
          <w:sz w:val="24"/>
        </w:rPr>
        <w:tab/>
        <w:tab/>
        <w:tab/>
      </w:r>
      <w:r>
        <w:rPr>
          <w:b/>
          <w:sz w:val="24"/>
        </w:rPr>
        <w:t>1400 Smith Street</w:t>
      </w:r>
    </w:p>
    <w:p>
      <w:pPr>
        <w:pStyle w:val="Normal"/>
        <w:widowControl/>
        <w:rPr/>
      </w:pPr>
      <w:r>
        <w:rPr>
          <w:sz w:val="24"/>
        </w:rPr>
        <w:tab/>
        <w:tab/>
        <w:tab/>
      </w:r>
      <w:r>
        <w:rPr>
          <w:b/>
          <w:sz w:val="24"/>
        </w:rPr>
        <w:t xml:space="preserve">Houston, Texas  77002 </w:t>
      </w:r>
    </w:p>
    <w:p>
      <w:pPr>
        <w:pStyle w:val="Normal"/>
        <w:widowControl/>
        <w:rPr>
          <w:b/>
          <w:sz w:val="24"/>
        </w:rPr>
      </w:pPr>
      <w:r>
        <w:rPr>
          <w:b/>
          <w:sz w:val="24"/>
        </w:rPr>
      </w:r>
    </w:p>
    <w:p>
      <w:pPr>
        <w:pStyle w:val="Normal"/>
        <w:widowControl/>
        <w:ind w:start="720" w:end="0"/>
        <w:rPr/>
      </w:pPr>
      <w:r>
        <w:rPr>
          <w:b/>
          <w:sz w:val="24"/>
        </w:rPr>
        <w:t>Attention:</w:t>
      </w:r>
      <w:r>
        <w:rPr>
          <w:sz w:val="24"/>
        </w:rPr>
        <w:tab/>
      </w:r>
      <w:r>
        <w:rPr>
          <w:b/>
          <w:sz w:val="24"/>
        </w:rPr>
        <w:t>Director, Documentation Department</w:t>
      </w:r>
    </w:p>
    <w:p>
      <w:pPr>
        <w:pStyle w:val="Normal"/>
        <w:widowControl/>
        <w:rPr>
          <w:b/>
          <w:sz w:val="24"/>
        </w:rPr>
      </w:pPr>
      <w:r>
        <w:rPr>
          <w:b/>
          <w:sz w:val="24"/>
        </w:rPr>
      </w:r>
    </w:p>
    <w:p>
      <w:pPr>
        <w:pStyle w:val="Style21"/>
        <w:widowControl/>
        <w:rPr/>
      </w:pPr>
      <w:r>
        <w:rPr>
          <w:b/>
        </w:rPr>
        <w:t>A copy of any notice sent to party B pursuant to Section 5 or 6 or the Addendum to the Credit Support Annex must also be sent to (i) Enron North Corp., Attention:  Corporate Secretary at the above address and facsimile no.  (713) 853-2534, and (ii) Enron North America Corp., Attention:  Assistant General Counsel, Trading Group at the above address and facsimile no. (713) 646-4818.</w:t>
      </w:r>
      <w:r>
        <w:rPr>
          <w:strike/>
        </w:rPr>
        <w:t>[to be supplied]</w:t>
      </w:r>
    </w:p>
    <w:p>
      <w:pPr>
        <w:pStyle w:val="Style21"/>
        <w:widowControl/>
        <w:rPr/>
      </w:pPr>
      <w:r>
        <w:rPr/>
      </w:r>
    </w:p>
    <w:p>
      <w:pPr>
        <w:pStyle w:val="Style21"/>
        <w:widowControl/>
        <w:tabs>
          <w:tab w:val="clear" w:pos="360"/>
        </w:tabs>
        <w:rPr/>
      </w:pPr>
      <w:r>
        <w:rPr/>
        <w:t>(e)</w:t>
        <w:tab/>
        <w:t>Credit Support Document.  Details of any Credit Support Document:</w:t>
      </w:r>
    </w:p>
    <w:p>
      <w:pPr>
        <w:pStyle w:val="Normal"/>
        <w:widowControl/>
        <w:rPr>
          <w:sz w:val="24"/>
        </w:rPr>
      </w:pPr>
      <w:r>
        <w:rPr>
          <w:sz w:val="24"/>
        </w:rPr>
      </w:r>
    </w:p>
    <w:p>
      <w:pPr>
        <w:pStyle w:val="Normal"/>
        <w:widowControl/>
        <w:rPr>
          <w:sz w:val="24"/>
        </w:rPr>
      </w:pPr>
      <w:r>
        <w:rPr>
          <w:sz w:val="24"/>
        </w:rPr>
        <w:t>In respect of Party A:</w:t>
      </w:r>
    </w:p>
    <w:p>
      <w:pPr>
        <w:pStyle w:val="Normal"/>
        <w:widowControl/>
        <w:rPr>
          <w:sz w:val="24"/>
        </w:rPr>
      </w:pPr>
      <w:r>
        <w:rPr>
          <w:sz w:val="24"/>
        </w:rPr>
      </w:r>
    </w:p>
    <w:p>
      <w:pPr>
        <w:pStyle w:val="Normal"/>
        <w:widowControl/>
        <w:rPr>
          <w:sz w:val="24"/>
        </w:rPr>
      </w:pPr>
      <w:r>
        <w:rPr>
          <w:sz w:val="24"/>
        </w:rPr>
        <w:tab/>
        <w:t>Credit Support Annex.</w:t>
      </w:r>
    </w:p>
    <w:p>
      <w:pPr>
        <w:pStyle w:val="Normal"/>
        <w:widowControl/>
        <w:rPr>
          <w:sz w:val="24"/>
        </w:rPr>
      </w:pPr>
      <w:r>
        <w:rPr>
          <w:sz w:val="24"/>
        </w:rPr>
      </w:r>
    </w:p>
    <w:p>
      <w:pPr>
        <w:pStyle w:val="Normal"/>
        <w:widowControl/>
        <w:rPr>
          <w:sz w:val="24"/>
        </w:rPr>
      </w:pPr>
      <w:r>
        <w:rPr>
          <w:sz w:val="24"/>
        </w:rPr>
        <w:t>In respect of Party B:</w:t>
      </w:r>
    </w:p>
    <w:p>
      <w:pPr>
        <w:pStyle w:val="Normal"/>
        <w:widowControl/>
        <w:rPr>
          <w:sz w:val="24"/>
        </w:rPr>
      </w:pPr>
      <w:r>
        <w:rPr>
          <w:sz w:val="24"/>
        </w:rPr>
      </w:r>
    </w:p>
    <w:p>
      <w:pPr>
        <w:pStyle w:val="Style31"/>
        <w:widowControl/>
        <w:rPr/>
      </w:pPr>
      <w:r>
        <w:rPr/>
        <w:t>(i)</w:t>
        <w:tab/>
        <w:t>Credit Support Annex.</w:t>
      </w:r>
    </w:p>
    <w:p>
      <w:pPr>
        <w:pStyle w:val="Normal"/>
        <w:widowControl/>
        <w:rPr>
          <w:sz w:val="24"/>
        </w:rPr>
      </w:pPr>
      <w:r>
        <w:rPr>
          <w:sz w:val="24"/>
        </w:rPr>
      </w:r>
    </w:p>
    <w:p>
      <w:pPr>
        <w:pStyle w:val="Style31"/>
        <w:widowControl/>
        <w:rPr/>
      </w:pPr>
      <w:r>
        <w:rPr/>
        <w:t>(ii)</w:t>
        <w:tab/>
        <w:t>The Guarantee.</w:t>
      </w:r>
    </w:p>
    <w:p>
      <w:pPr>
        <w:pStyle w:val="Style31"/>
        <w:widowControl/>
        <w:rPr/>
      </w:pPr>
      <w:r>
        <w:rPr/>
      </w:r>
    </w:p>
    <w:p>
      <w:pPr>
        <w:pStyle w:val="Style21"/>
        <w:widowControl/>
        <w:tabs>
          <w:tab w:val="clear" w:pos="360"/>
        </w:tabs>
        <w:rPr>
          <w:strike/>
        </w:rPr>
      </w:pPr>
      <w:r>
        <w:rPr>
          <w:strike/>
        </w:rPr>
        <w:t>(iii) Each Letter of Credit.</w:t>
      </w:r>
    </w:p>
    <w:p>
      <w:pPr>
        <w:pStyle w:val="Style21"/>
        <w:widowControl/>
        <w:tabs>
          <w:tab w:val="clear" w:pos="360"/>
        </w:tabs>
        <w:rPr>
          <w:strike/>
        </w:rPr>
      </w:pPr>
      <w:r>
        <w:rPr>
          <w:strike/>
        </w:rPr>
      </w:r>
    </w:p>
    <w:p>
      <w:pPr>
        <w:pStyle w:val="Style21"/>
        <w:widowControl/>
        <w:tabs>
          <w:tab w:val="clear" w:pos="360"/>
        </w:tabs>
        <w:rPr/>
      </w:pPr>
      <w:r>
        <w:rPr>
          <w:strike/>
        </w:rPr>
        <w:t>(iv)</w:t>
      </w:r>
      <w:r>
        <w:rPr>
          <w:b/>
        </w:rPr>
        <w:t>(f)</w:t>
      </w:r>
      <w:r>
        <w:rPr/>
        <w:tab/>
      </w:r>
      <w:r>
        <w:rPr>
          <w:u w:val="single"/>
        </w:rPr>
        <w:t>Affiliate</w:t>
      </w:r>
      <w:r>
        <w:rPr/>
        <w:t>.  "Affiliate" will have the meaning specified in Section 14 of the Agreement.</w:t>
      </w:r>
    </w:p>
    <w:p>
      <w:pPr>
        <w:pStyle w:val="Style21"/>
        <w:widowControl/>
        <w:rPr/>
      </w:pPr>
      <w:r>
        <w:rPr/>
      </w:r>
    </w:p>
    <w:p>
      <w:pPr>
        <w:pStyle w:val="Style21"/>
        <w:widowControl/>
        <w:tabs>
          <w:tab w:val="clear" w:pos="360"/>
        </w:tabs>
        <w:rPr/>
      </w:pPr>
      <w:r>
        <w:rPr>
          <w:b/>
        </w:rPr>
        <w:t>(g)</w:t>
      </w:r>
      <w:r>
        <w:rPr/>
        <w:tab/>
      </w:r>
      <w:r>
        <w:rPr>
          <w:b/>
          <w:u w:val="single"/>
        </w:rPr>
        <w:t>Credit Support Provider</w:t>
      </w:r>
      <w:r>
        <w:rPr>
          <w:b/>
        </w:rPr>
        <w:t>.  (i) Credit Support Provider means in relation to party A, none, and (ii) Credit Support Provider means in relation to Party B, Enron Corp.</w:t>
      </w:r>
    </w:p>
    <w:p>
      <w:pPr>
        <w:pStyle w:val="Style21"/>
        <w:widowControl/>
        <w:rPr>
          <w:b/>
        </w:rPr>
      </w:pPr>
      <w:r>
        <w:rPr>
          <w:b/>
        </w:rPr>
      </w:r>
    </w:p>
    <w:p>
      <w:pPr>
        <w:pStyle w:val="Style21"/>
        <w:widowControl/>
        <w:tabs>
          <w:tab w:val="clear" w:pos="360"/>
        </w:tabs>
        <w:rPr/>
      </w:pPr>
      <w:r>
        <w:rPr>
          <w:b/>
        </w:rPr>
        <w:t>(h)</w:t>
      </w:r>
      <w:r>
        <w:rPr/>
        <w:tab/>
      </w:r>
      <w:r>
        <w:rPr>
          <w:b/>
          <w:u w:val="single"/>
        </w:rPr>
        <w:t>Netting of Payments</w:t>
      </w:r>
      <w:r>
        <w:rPr>
          <w:b/>
        </w:rPr>
        <w:t>.  Section 2(c)(ii) will not apply to all Transactions.</w:t>
      </w:r>
    </w:p>
    <w:p>
      <w:pPr>
        <w:pStyle w:val="Style21"/>
        <w:widowControl/>
        <w:rPr>
          <w:b/>
        </w:rPr>
      </w:pPr>
      <w:r>
        <w:rPr>
          <w:b/>
        </w:rPr>
      </w:r>
    </w:p>
    <w:p>
      <w:pPr>
        <w:pStyle w:val="Style21"/>
        <w:widowControl/>
        <w:tabs>
          <w:tab w:val="clear" w:pos="360"/>
        </w:tabs>
        <w:rPr/>
      </w:pPr>
      <w:r>
        <w:rPr>
          <w:b/>
        </w:rPr>
        <w:t>(i)</w:t>
      </w:r>
      <w:r>
        <w:rPr/>
        <w:tab/>
      </w:r>
      <w:r>
        <w:rPr>
          <w:b/>
          <w:u w:val="single"/>
        </w:rPr>
        <w:t>Calculation Agent</w:t>
      </w:r>
      <w:r>
        <w:rPr>
          <w:b/>
        </w:rPr>
        <w:t>.  Unless otherwise specified in a Confirmation, the Calculation Agent for each Transaction shall be Party B.</w:t>
      </w:r>
    </w:p>
    <w:p>
      <w:pPr>
        <w:pStyle w:val="Style21"/>
        <w:widowControl/>
        <w:rPr>
          <w:u w:val="single"/>
        </w:rPr>
      </w:pPr>
      <w:r>
        <w:rPr>
          <w:u w:val="single"/>
        </w:rPr>
      </w:r>
    </w:p>
    <w:p>
      <w:pPr>
        <w:pStyle w:val="Style21"/>
        <w:widowControl/>
        <w:ind w:start="720" w:end="0"/>
        <w:rPr>
          <w:u w:val="single"/>
        </w:rPr>
      </w:pPr>
      <w:r>
        <w:rPr>
          <w:u w:val="single"/>
        </w:rPr>
      </w:r>
    </w:p>
    <w:p>
      <w:pPr>
        <w:pStyle w:val="PartNumbered"/>
        <w:widowControl/>
        <w:rPr>
          <w:kern w:val="2"/>
        </w:rPr>
      </w:pPr>
      <w:r>
        <w:rPr>
          <w:kern w:val="2"/>
        </w:rPr>
        <w:t>Part 5</w:t>
      </w:r>
    </w:p>
    <w:p>
      <w:pPr>
        <w:pStyle w:val="Normal"/>
        <w:widowControl/>
        <w:jc w:val="center"/>
        <w:rPr>
          <w:kern w:val="2"/>
          <w:sz w:val="24"/>
        </w:rPr>
      </w:pPr>
      <w:r>
        <w:rPr>
          <w:kern w:val="2"/>
          <w:sz w:val="24"/>
        </w:rPr>
        <w:t>Other Provisions</w:t>
      </w:r>
    </w:p>
    <w:p>
      <w:pPr>
        <w:pStyle w:val="Normal"/>
        <w:widowControl/>
        <w:rPr>
          <w:kern w:val="2"/>
          <w:sz w:val="24"/>
        </w:rPr>
      </w:pPr>
      <w:r>
        <w:rPr>
          <w:kern w:val="2"/>
          <w:sz w:val="24"/>
        </w:rPr>
      </w:r>
    </w:p>
    <w:p>
      <w:pPr>
        <w:pStyle w:val="Style21"/>
        <w:widowControl/>
        <w:tabs>
          <w:tab w:val="clear" w:pos="360"/>
        </w:tabs>
        <w:rPr/>
      </w:pPr>
      <w:r>
        <w:rPr/>
        <w:t>(a)</w:t>
        <w:tab/>
        <w:t xml:space="preserve">Definitions.    This Agreement, including each Confirmation and each Swap Transaction, is subject to the 1991 ISDA Definitions, the 1998 Supplement to the 1991 ISDA Definitions, the 1998 ISDA FX and Currency Option Definitions (including without limitation Annex A thereto), the 1993 ISDA Commodity Derivatives Definitions </w:t>
      </w:r>
      <w:r>
        <w:rPr>
          <w:b/>
        </w:rPr>
        <w:t>(subject to the provisions of Part 6 below)</w:t>
      </w:r>
      <w:r>
        <w:rPr/>
        <w:t>, the 1996 Equity Derivatives Definitions and the 1998 ISDA Euro Definitions, as amended, supplemented, updated, and superseded from time to time (together, the "Definitions"), each as published by the International Swaps and Derivatives Association, Inc. ("ISDA") and will be governed in all respects by the Definitions (except that references to "Swap Transactions" shall be deemed to be references to "Transactions").  The Definitions are incorporated by reference in, and made part of, this Agreement and each Confirmation as if set forth in full in this Agreement and such Confirmations.  In the event of any inconsistency between the provisions of this Agreement and the Definitions, this Agreement will prevail (and, in the event of any inconsistency between any Confirmation and the Definitions, the Confirmation will control).  Any reference in a Confirmation to any Definitions which are amended or supplemented in this Schedule shall be deemed to be a reference to such Definitions as so amended or supplemented, unless the Confirmation states, by specific reference to any such amendment or supplement, that such amendment or supplement will not apply in respect of the Transaction to which such Confirmation relates.</w:t>
      </w:r>
    </w:p>
    <w:p>
      <w:pPr>
        <w:pStyle w:val="Normal"/>
        <w:widowControl/>
        <w:rPr>
          <w:sz w:val="24"/>
        </w:rPr>
      </w:pPr>
      <w:r>
        <w:rPr>
          <w:sz w:val="24"/>
        </w:rPr>
      </w:r>
    </w:p>
    <w:p>
      <w:pPr>
        <w:pStyle w:val="Style21"/>
        <w:widowControl/>
        <w:tabs>
          <w:tab w:val="clear" w:pos="360"/>
        </w:tabs>
        <w:rPr/>
      </w:pPr>
      <w:r>
        <w:rPr/>
        <w:t>(b)</w:t>
        <w:tab/>
      </w:r>
      <w:r>
        <w:rPr>
          <w:strike/>
        </w:rPr>
        <w:t>EMU Protocol. The parties agree that the definitions and provisions contained in Annexes 1 to 5 and Section 6 of the EMU Protocol published by ISDA on May 6, 1998 are incorporated by reference in, and made part of, this Agreement and each Confirmation as if set forth in full in this Agreement and such Confirmations. References in those definitions and provisions to any "ISDA Master Agreement" will be deemed to be references to this Agreement.</w:t>
      </w:r>
    </w:p>
    <w:p>
      <w:pPr>
        <w:pStyle w:val="Style21"/>
        <w:widowControl/>
        <w:tabs>
          <w:tab w:val="clear" w:pos="360"/>
        </w:tabs>
        <w:rPr>
          <w:strike/>
        </w:rPr>
      </w:pPr>
      <w:r>
        <w:rPr>
          <w:strike/>
        </w:rPr>
      </w:r>
    </w:p>
    <w:p>
      <w:pPr>
        <w:pStyle w:val="Style21"/>
        <w:widowControl/>
        <w:tabs>
          <w:tab w:val="clear" w:pos="360"/>
        </w:tabs>
        <w:rPr>
          <w:strike/>
        </w:rPr>
      </w:pPr>
      <w:r>
        <w:rPr>
          <w:strike/>
        </w:rPr>
        <w:t>(c) Calculation Agent. Unless otherwise specified in a Confirmation, the Calculation Agent for each Transaction shall be Party B.</w:t>
      </w:r>
    </w:p>
    <w:p>
      <w:pPr>
        <w:pStyle w:val="Style21"/>
        <w:widowControl/>
        <w:tabs>
          <w:tab w:val="clear" w:pos="360"/>
        </w:tabs>
        <w:rPr>
          <w:strike/>
        </w:rPr>
      </w:pPr>
      <w:r>
        <w:rPr>
          <w:strike/>
        </w:rPr>
      </w:r>
    </w:p>
    <w:p>
      <w:pPr>
        <w:pStyle w:val="Style21"/>
        <w:widowControl/>
        <w:tabs>
          <w:tab w:val="clear" w:pos="360"/>
        </w:tabs>
        <w:rPr/>
      </w:pPr>
      <w:r>
        <w:rPr>
          <w:strike/>
        </w:rPr>
        <w:t>(d)</w:t>
      </w:r>
      <w:r>
        <w:rPr/>
        <w:t xml:space="preserve"> Limitation on Discretion of the Calculation Agent. Where any provision of the Definitions or EMU Protocol provides or contemplates that the Calculation Agent will make any calculation, determination, specification, or choice, or is otherwise granted discretion of any kind, then each such provision shall for all purposes be considered to be amended hereby to provide that any such calculation, determination, specification, or choice shall be subject to the approval by the other party to the Transaction in question, and no such calculation, determination, specification, or choice shall be considered binding or final at any time when such other party has challenged, disputed, or otherwise expressed its dissatisfaction or disapproval thereof</w:t>
      </w:r>
      <w:r>
        <w:rPr>
          <w:b/>
        </w:rPr>
        <w:t>; provided that such other party notifies the Calculation Agent of such challenge, dispute, or dissatisfaction or disapproval within 10 days following actual notice to such other party of the content of such calculation, determination, specification, or choice</w:t>
      </w:r>
      <w:r>
        <w:rPr/>
        <w:t>.</w:t>
      </w:r>
    </w:p>
    <w:p>
      <w:pPr>
        <w:pStyle w:val="Normal"/>
        <w:widowControl/>
        <w:rPr>
          <w:sz w:val="24"/>
        </w:rPr>
      </w:pPr>
      <w:r>
        <w:rPr>
          <w:sz w:val="24"/>
        </w:rPr>
      </w:r>
    </w:p>
    <w:p>
      <w:pPr>
        <w:pStyle w:val="Normal"/>
        <w:widowControl/>
        <w:rPr>
          <w:sz w:val="24"/>
        </w:rPr>
      </w:pPr>
      <w:r>
        <w:rPr>
          <w:sz w:val="24"/>
        </w:rPr>
        <w:t>If a dispute between the parties arises out of or relates to the approval by one party of any calculation, determination, specification or choice by the Calculation Agent, the parties will negotiate in good faith to agree on an independent third party that will make such calculation, determination, specification or choice and, if they cannot so agree within three Local Business Days, each of the parties will promptly choose an independent third party and instruct the parties so chosen to agree on another independent third party that will make such calculation, determination, specification or choice.  Any calculation, determination, specification or choice pursuant to this section by an independent third party will be binding in the absence of manifest error.  The costs of any independent third party called upon to make such determination will be borne equally by the parties.</w:t>
      </w:r>
    </w:p>
    <w:p>
      <w:pPr>
        <w:pStyle w:val="Normal"/>
        <w:widowControl/>
        <w:tabs>
          <w:tab w:val="clear" w:pos="720"/>
          <w:tab w:val="left" w:pos="2160" w:leader="none"/>
        </w:tabs>
        <w:ind w:start="1440" w:end="0"/>
        <w:rPr>
          <w:sz w:val="24"/>
        </w:rPr>
      </w:pPr>
      <w:r>
        <w:rPr>
          <w:sz w:val="24"/>
        </w:rPr>
      </w:r>
    </w:p>
    <w:p>
      <w:pPr>
        <w:pStyle w:val="Style21"/>
        <w:widowControl/>
        <w:tabs>
          <w:tab w:val="clear" w:pos="360"/>
        </w:tabs>
        <w:rPr>
          <w:strike/>
        </w:rPr>
      </w:pPr>
      <w:r>
        <w:rPr>
          <w:strike/>
        </w:rPr>
        <w:t>(e) Amendments to Section 2.</w:t>
      </w:r>
    </w:p>
    <w:p>
      <w:pPr>
        <w:pStyle w:val="Style21"/>
        <w:widowControl/>
        <w:tabs>
          <w:tab w:val="clear" w:pos="360"/>
        </w:tabs>
        <w:rPr>
          <w:strike/>
        </w:rPr>
      </w:pPr>
      <w:r>
        <w:rPr>
          <w:strike/>
        </w:rPr>
      </w:r>
    </w:p>
    <w:p>
      <w:pPr>
        <w:pStyle w:val="Style21"/>
        <w:widowControl/>
        <w:tabs>
          <w:tab w:val="clear" w:pos="360"/>
        </w:tabs>
        <w:rPr>
          <w:strike/>
        </w:rPr>
      </w:pPr>
      <w:r>
        <w:rPr>
          <w:strike/>
        </w:rPr>
        <w:t>(i) The last sentence of Section 2(e) is amended by deleting therefrom the words "if and to the extent" and adding in place thereof the following: "for (i) any and all direct losses, costs, and expenses in respect thereof and any related costs of cover as reasonably determined by such other party and (ii) other amounts as may be".</w:t>
      </w:r>
    </w:p>
    <w:p>
      <w:pPr>
        <w:pStyle w:val="Style21"/>
        <w:widowControl/>
        <w:tabs>
          <w:tab w:val="clear" w:pos="360"/>
        </w:tabs>
        <w:rPr>
          <w:strike/>
        </w:rPr>
      </w:pPr>
      <w:r>
        <w:rPr>
          <w:strike/>
        </w:rPr>
      </w:r>
    </w:p>
    <w:p>
      <w:pPr>
        <w:pStyle w:val="Style21"/>
        <w:widowControl/>
        <w:tabs>
          <w:tab w:val="clear" w:pos="360"/>
        </w:tabs>
        <w:rPr>
          <w:strike/>
        </w:rPr>
      </w:pPr>
      <w:r>
        <w:rPr>
          <w:strike/>
        </w:rPr>
        <w:t>(ii) The following subsection 2(f) is added after Section 2(e):</w:t>
      </w:r>
    </w:p>
    <w:p>
      <w:pPr>
        <w:pStyle w:val="Style21"/>
        <w:widowControl/>
        <w:tabs>
          <w:tab w:val="clear" w:pos="360"/>
        </w:tabs>
        <w:rPr>
          <w:strike/>
        </w:rPr>
      </w:pPr>
      <w:r>
        <w:rPr>
          <w:strike/>
        </w:rPr>
      </w:r>
    </w:p>
    <w:p>
      <w:pPr>
        <w:pStyle w:val="Style21"/>
        <w:widowControl/>
        <w:tabs>
          <w:tab w:val="clear" w:pos="360"/>
        </w:tabs>
        <w:rPr>
          <w:strike/>
        </w:rPr>
      </w:pPr>
      <w:r>
        <w:rPr>
          <w:strike/>
        </w:rPr>
        <w:t>"(f) Escrow. If, by reason of the time difference between the locations in which payments under this Agreement are to be made or otherwise, it is not possible for simultaneous payments to be made on any date on which both parties are required to make payments hereunder, either party may at its option and in its sole discretion notify the other party that payments on such date are to be made in escrow. In such event, deposit of the payment due earlier on that date shall be made by 2:00 p.m. (local time at the place for the earlier payment) on that date with an escrow agent selected by such notifying party,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into escrow. The notifying party shall pay the costs of the escrow arrangements and shall, where possible, cause those arrangements to provide that the intended recipient of the payment due to be deposited first shall be entitled to interest on that deposited payment for each day in the period of its deposit at the rate offered (at 11:00 a.m. local time on that day) by the escrow agent for that day for overnight deposits in the relevant currency in the office where it holds that deposited payment if that payment is not released by 5:00 p.m. local time on the date it is deposited. In addition, the notifying party will bear the risk of any failure of the escrow agent to perform its obligations fully and promptly. Any amounts payable under this Agreement by the notifying party which are not received by the other party hereto on the due date will remain due and payable by the notifying party as of such date. Any amounts due from the other party, which have been paid to the escrow agent in accordance herewith will be treated as having been paid by such other party and received by the notifying party as of the date on which they were paid to the escrow agent."</w:t>
      </w:r>
    </w:p>
    <w:p>
      <w:pPr>
        <w:pStyle w:val="Style21"/>
        <w:widowControl/>
        <w:tabs>
          <w:tab w:val="clear" w:pos="360"/>
        </w:tabs>
        <w:rPr>
          <w:strike/>
        </w:rPr>
      </w:pPr>
      <w:r>
        <w:rPr>
          <w:strike/>
        </w:rPr>
      </w:r>
    </w:p>
    <w:p>
      <w:pPr>
        <w:pStyle w:val="Style21"/>
        <w:widowControl/>
        <w:tabs>
          <w:tab w:val="clear" w:pos="360"/>
        </w:tabs>
        <w:rPr>
          <w:strike/>
        </w:rPr>
      </w:pPr>
      <w:r>
        <w:rPr>
          <w:strike/>
        </w:rPr>
        <w:t>(f) Additional representations. Section 3 is amended by adding thereto the following subsections (g) and (h):</w:t>
      </w:r>
    </w:p>
    <w:p>
      <w:pPr>
        <w:pStyle w:val="Style21"/>
        <w:widowControl/>
        <w:tabs>
          <w:tab w:val="clear" w:pos="360"/>
        </w:tabs>
        <w:rPr>
          <w:strike/>
        </w:rPr>
      </w:pPr>
      <w:r>
        <w:rPr>
          <w:strike/>
        </w:rPr>
      </w:r>
    </w:p>
    <w:p>
      <w:pPr>
        <w:pStyle w:val="Style21"/>
        <w:widowControl/>
        <w:tabs>
          <w:tab w:val="clear" w:pos="360"/>
        </w:tabs>
        <w:rPr>
          <w:strike/>
        </w:rPr>
      </w:pPr>
      <w:r>
        <w:rPr>
          <w:strike/>
        </w:rPr>
        <w:t>"(g) Enron North America Corporation represents to the other party (which representations will be deemed to be repeated by it on and as of each date on which a Transaction is entered into) that:</w:t>
      </w:r>
    </w:p>
    <w:p>
      <w:pPr>
        <w:pStyle w:val="Style21"/>
        <w:widowControl/>
        <w:tabs>
          <w:tab w:val="clear" w:pos="360"/>
        </w:tabs>
        <w:rPr>
          <w:strike/>
        </w:rPr>
      </w:pPr>
      <w:r>
        <w:rPr>
          <w:strike/>
        </w:rPr>
      </w:r>
    </w:p>
    <w:p>
      <w:pPr>
        <w:pStyle w:val="Style21"/>
        <w:widowControl/>
        <w:tabs>
          <w:tab w:val="clear" w:pos="360"/>
        </w:tabs>
        <w:rPr>
          <w:strike/>
        </w:rPr>
      </w:pPr>
      <w:r>
        <w:rPr>
          <w:strike/>
        </w:rPr>
        <w:t>(i) Status. Each of the Guarantor (as such term is defined in the Schedule hereto) and each other Credit Support Provider (the Guarantor and each such other Credit Support Provider referred to herein as an "Obligor") is duly organized and validly existing under the laws of the jurisdiction of its organization or incorporation and, if relevant under such laws, in good standing;</w:t>
      </w:r>
    </w:p>
    <w:p>
      <w:pPr>
        <w:pStyle w:val="Style21"/>
        <w:widowControl/>
        <w:tabs>
          <w:tab w:val="clear" w:pos="360"/>
        </w:tabs>
        <w:rPr>
          <w:strike/>
        </w:rPr>
      </w:pPr>
      <w:r>
        <w:rPr>
          <w:strike/>
        </w:rPr>
      </w:r>
    </w:p>
    <w:p>
      <w:pPr>
        <w:pStyle w:val="Style21"/>
        <w:widowControl/>
        <w:tabs>
          <w:tab w:val="clear" w:pos="360"/>
        </w:tabs>
        <w:rPr>
          <w:strike/>
        </w:rPr>
      </w:pPr>
      <w:r>
        <w:rPr>
          <w:strike/>
        </w:rPr>
        <w:t>(ii) Powers. Each Obligor has the power to execute and deliver each Credit Support Document to which it is a party and to perform its obligations under such Document and has taken all necessary action to authorize such execution, delivery and performance;</w:t>
      </w:r>
    </w:p>
    <w:p>
      <w:pPr>
        <w:pStyle w:val="Style21"/>
        <w:widowControl/>
        <w:tabs>
          <w:tab w:val="clear" w:pos="360"/>
        </w:tabs>
        <w:rPr>
          <w:strike/>
        </w:rPr>
      </w:pPr>
      <w:r>
        <w:rPr>
          <w:strike/>
        </w:rPr>
      </w:r>
    </w:p>
    <w:p>
      <w:pPr>
        <w:pStyle w:val="Style21"/>
        <w:widowControl/>
        <w:tabs>
          <w:tab w:val="clear" w:pos="360"/>
        </w:tabs>
        <w:rPr>
          <w:strike/>
        </w:rPr>
      </w:pPr>
      <w:r>
        <w:rPr>
          <w:strike/>
        </w:rPr>
        <w:t>(iii) No Violation or Conflict. Such execution, delivery and performance do not violate or conflict with any law applicable to such Obligor, any provision of its constitutional documents, any order or judgment of any court or other agency of government applicable to it or any of its assets or any contractual restriction binding on or affecting it or any of its assets;</w:t>
      </w:r>
    </w:p>
    <w:p>
      <w:pPr>
        <w:pStyle w:val="Style21"/>
        <w:widowControl/>
        <w:tabs>
          <w:tab w:val="clear" w:pos="360"/>
        </w:tabs>
        <w:rPr>
          <w:strike/>
        </w:rPr>
      </w:pPr>
      <w:r>
        <w:rPr>
          <w:strike/>
        </w:rPr>
      </w:r>
    </w:p>
    <w:p>
      <w:pPr>
        <w:pStyle w:val="Style21"/>
        <w:widowControl/>
        <w:tabs>
          <w:tab w:val="clear" w:pos="360"/>
        </w:tabs>
        <w:rPr>
          <w:strike/>
        </w:rPr>
      </w:pPr>
      <w:r>
        <w:rPr>
          <w:strike/>
        </w:rPr>
        <w:t>(iv) Consents. All governmental and other consents that are required to have been obtained by each Obligor with respect to each Credit Support Document to which it is a party have been obtained and are in full force and effect and all conditions of any such consents have been complied with;</w:t>
      </w:r>
    </w:p>
    <w:p>
      <w:pPr>
        <w:pStyle w:val="Style21"/>
        <w:widowControl/>
        <w:tabs>
          <w:tab w:val="clear" w:pos="360"/>
        </w:tabs>
        <w:rPr>
          <w:strike/>
        </w:rPr>
      </w:pPr>
      <w:r>
        <w:rPr>
          <w:strike/>
        </w:rPr>
      </w:r>
    </w:p>
    <w:p>
      <w:pPr>
        <w:pStyle w:val="Style21"/>
        <w:widowControl/>
        <w:tabs>
          <w:tab w:val="clear" w:pos="360"/>
        </w:tabs>
        <w:rPr>
          <w:strike/>
        </w:rPr>
      </w:pPr>
      <w:r>
        <w:rPr>
          <w:strike/>
        </w:rPr>
        <w:t>(v) Obligations Binding. The obligations of each Obligor under any Credit Support Document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and</w:t>
      </w:r>
    </w:p>
    <w:p>
      <w:pPr>
        <w:pStyle w:val="Style21"/>
        <w:widowControl/>
        <w:tabs>
          <w:tab w:val="clear" w:pos="360"/>
        </w:tabs>
        <w:rPr>
          <w:strike/>
        </w:rPr>
      </w:pPr>
      <w:r>
        <w:rPr>
          <w:strike/>
        </w:rPr>
      </w:r>
    </w:p>
    <w:p>
      <w:pPr>
        <w:pStyle w:val="Style21"/>
        <w:widowControl/>
        <w:tabs>
          <w:tab w:val="clear" w:pos="360"/>
        </w:tabs>
        <w:rPr>
          <w:strike/>
        </w:rPr>
      </w:pPr>
      <w:r>
        <w:rPr>
          <w:strike/>
        </w:rPr>
        <w:t>(vi) Absence of Litigation. There is not pending or, to Enron North America Corporation's knowledge after due inquiry, threatened against any Obligor or any of such Obligor's Affiliates any action, suit or proceeding at law or in equity or before any court, tribunal, governmental body, agency or official or any arbitrator that is likely to affect the legality, validity or enforceability against it of any Credit Support Document to which it is a party or its ability to perform its obligations under such Credit Support Document.</w:t>
      </w:r>
    </w:p>
    <w:p>
      <w:pPr>
        <w:pStyle w:val="Style21"/>
        <w:widowControl/>
        <w:tabs>
          <w:tab w:val="clear" w:pos="360"/>
        </w:tabs>
        <w:rPr>
          <w:strike/>
        </w:rPr>
      </w:pPr>
      <w:r>
        <w:rPr>
          <w:strike/>
        </w:rPr>
      </w:r>
    </w:p>
    <w:p>
      <w:pPr>
        <w:pStyle w:val="Style21"/>
        <w:widowControl/>
        <w:tabs>
          <w:tab w:val="clear" w:pos="360"/>
        </w:tabs>
        <w:rPr>
          <w:strike/>
        </w:rPr>
      </w:pPr>
      <w:r>
        <w:rPr>
          <w:strike/>
        </w:rPr>
        <w:t>(vii) Option Transactions. With respect to Options, it is a producer, processor, commercial user of, or merchant handling the commodity subject to the Transaction or the products or by products thereof, and is entering into each Option Transaction solely for purposes related to its business as such.</w:t>
      </w:r>
    </w:p>
    <w:p>
      <w:pPr>
        <w:pStyle w:val="Style21"/>
        <w:widowControl/>
        <w:tabs>
          <w:tab w:val="clear" w:pos="360"/>
        </w:tabs>
        <w:rPr>
          <w:strike/>
        </w:rPr>
      </w:pPr>
      <w:r>
        <w:rPr>
          <w:strike/>
        </w:rPr>
      </w:r>
    </w:p>
    <w:p>
      <w:pPr>
        <w:pStyle w:val="Style21"/>
        <w:widowControl/>
        <w:tabs>
          <w:tab w:val="clear" w:pos="360"/>
        </w:tabs>
        <w:rPr/>
      </w:pPr>
      <w:r>
        <w:rPr>
          <w:strike/>
        </w:rPr>
        <w:t>"(h)</w:t>
      </w:r>
      <w:r>
        <w:rPr>
          <w:b/>
        </w:rPr>
        <w:t>(c)</w:t>
      </w:r>
      <w:r>
        <w:rPr/>
        <w:tab/>
      </w:r>
      <w:r>
        <w:rPr>
          <w:b/>
        </w:rPr>
        <w:t xml:space="preserve">Option Transactions.  With respect to all Options, transactions, Party A will be deemed to be the offeror, </w:t>
      </w:r>
    </w:p>
    <w:p>
      <w:pPr>
        <w:pStyle w:val="Style21"/>
        <w:widowControl/>
        <w:rPr>
          <w:b/>
        </w:rPr>
      </w:pPr>
      <w:r>
        <w:rPr>
          <w:b/>
        </w:rPr>
      </w:r>
    </w:p>
    <w:p>
      <w:pPr>
        <w:pStyle w:val="Style21"/>
        <w:widowControl/>
        <w:tabs>
          <w:tab w:val="clear" w:pos="360"/>
        </w:tabs>
        <w:rPr/>
      </w:pPr>
      <w:r>
        <w:rPr>
          <w:b/>
        </w:rPr>
        <w:t>(d)</w:t>
      </w:r>
      <w:r>
        <w:rPr/>
        <w:tab/>
      </w:r>
      <w:r>
        <w:rPr>
          <w:b/>
        </w:rPr>
        <w:t xml:space="preserve">Additional representations.  Section 3 is amended by adding thereto the following </w:t>
      </w:r>
    </w:p>
    <w:p>
      <w:pPr>
        <w:pStyle w:val="Style21"/>
        <w:widowControl/>
        <w:rPr>
          <w:b/>
        </w:rPr>
      </w:pPr>
      <w:r>
        <w:rPr>
          <w:b/>
        </w:rPr>
      </w:r>
    </w:p>
    <w:p>
      <w:pPr>
        <w:pStyle w:val="Normal"/>
        <w:widowControl/>
        <w:ind w:start="1440" w:end="0"/>
        <w:rPr>
          <w:b/>
          <w:sz w:val="24"/>
        </w:rPr>
      </w:pPr>
      <w:r>
        <w:rPr>
          <w:b/>
          <w:sz w:val="24"/>
        </w:rPr>
      </w:r>
    </w:p>
    <w:p>
      <w:pPr>
        <w:pStyle w:val="Normal"/>
        <w:widowControl/>
        <w:ind w:start="720" w:end="0"/>
        <w:rPr/>
      </w:pPr>
      <w:r>
        <w:rPr>
          <w:b/>
          <w:sz w:val="24"/>
        </w:rPr>
        <w:t>"(g)</w:t>
      </w:r>
      <w:r>
        <w:rPr>
          <w:sz w:val="24"/>
        </w:rPr>
        <w:t xml:space="preserve">  </w:t>
        <w:tab/>
        <w:t>Each party makes the following additional representations pursuant to Section 3, which representations will be deemed to be repeated on and as of each date on which a Transaction is entered into:</w:t>
      </w:r>
    </w:p>
    <w:p>
      <w:pPr>
        <w:pStyle w:val="Normal"/>
        <w:widowControl/>
        <w:rPr>
          <w:sz w:val="24"/>
        </w:rPr>
      </w:pPr>
      <w:r>
        <w:rPr>
          <w:sz w:val="24"/>
        </w:rPr>
      </w:r>
    </w:p>
    <w:p>
      <w:pPr>
        <w:pStyle w:val="Normal"/>
        <w:widowControl/>
        <w:tabs>
          <w:tab w:val="clear" w:pos="720"/>
          <w:tab w:val="left" w:pos="2160" w:leader="none"/>
        </w:tabs>
        <w:ind w:start="1440" w:end="0"/>
        <w:rPr/>
      </w:pPr>
      <w:r>
        <w:rPr>
          <w:sz w:val="24"/>
        </w:rPr>
        <w:t xml:space="preserve">(i) </w:t>
        <w:tab/>
        <w:t>The financial statements most recently furnished to the other party hereunder fairly represent the financial position as of their date of the entity to which they relate and the results of operations for the period then ended, which statements were prepared in accordance with the principles required by the Schedule</w:t>
      </w:r>
      <w:r>
        <w:rPr>
          <w:strike/>
          <w:sz w:val="24"/>
        </w:rPr>
        <w:t>, and there has been no material adverse change in the financial condition of the entity to which they relate since that date</w:t>
      </w:r>
      <w:r>
        <w:rPr>
          <w:sz w:val="24"/>
        </w:rPr>
        <w:t>.</w:t>
      </w:r>
    </w:p>
    <w:p>
      <w:pPr>
        <w:pStyle w:val="Normal"/>
        <w:widowControl/>
        <w:ind w:start="1440" w:end="0"/>
        <w:rPr>
          <w:sz w:val="24"/>
        </w:rPr>
      </w:pPr>
      <w:r>
        <w:rPr>
          <w:sz w:val="24"/>
        </w:rPr>
      </w:r>
    </w:p>
    <w:p>
      <w:pPr>
        <w:pStyle w:val="Normal"/>
        <w:widowControl/>
        <w:tabs>
          <w:tab w:val="clear" w:pos="720"/>
          <w:tab w:val="left" w:pos="2160" w:leader="none"/>
        </w:tabs>
        <w:ind w:start="1440" w:end="0"/>
        <w:rPr>
          <w:sz w:val="24"/>
        </w:rPr>
      </w:pPr>
      <w:r>
        <w:rPr>
          <w:sz w:val="24"/>
        </w:rPr>
        <w:t xml:space="preserve">(ii) </w:t>
        <w:tab/>
        <w:t xml:space="preserve">It is a corporation established under the laws of a jurisdiction within the United States of America. </w:t>
      </w:r>
    </w:p>
    <w:p>
      <w:pPr>
        <w:pStyle w:val="Normal"/>
        <w:widowControl/>
        <w:tabs>
          <w:tab w:val="clear" w:pos="720"/>
          <w:tab w:val="left" w:pos="2160" w:leader="none"/>
        </w:tabs>
        <w:ind w:start="1440" w:end="0"/>
        <w:rPr>
          <w:sz w:val="24"/>
        </w:rPr>
      </w:pPr>
      <w:r>
        <w:rPr>
          <w:sz w:val="24"/>
        </w:rPr>
      </w:r>
    </w:p>
    <w:p>
      <w:pPr>
        <w:pStyle w:val="Normal"/>
        <w:widowControl/>
        <w:tabs>
          <w:tab w:val="clear" w:pos="720"/>
          <w:tab w:val="left" w:pos="2160" w:leader="none"/>
        </w:tabs>
        <w:ind w:start="1440" w:end="0"/>
        <w:rPr>
          <w:sz w:val="24"/>
        </w:rPr>
      </w:pPr>
      <w:r>
        <w:rPr>
          <w:sz w:val="24"/>
        </w:rPr>
        <w:t xml:space="preserve">(iii) </w:t>
        <w:tab/>
        <w:t>It is an "eligible swap participant" as that term is defined by the Commodity Futures Trading Commission at 17 C.F.R. 35.1(b)(2).</w:t>
      </w:r>
    </w:p>
    <w:p>
      <w:pPr>
        <w:pStyle w:val="Normal"/>
        <w:widowControl/>
        <w:tabs>
          <w:tab w:val="clear" w:pos="720"/>
          <w:tab w:val="left" w:pos="2160" w:leader="none"/>
        </w:tabs>
        <w:ind w:start="1440" w:end="0"/>
        <w:rPr>
          <w:sz w:val="24"/>
        </w:rPr>
      </w:pPr>
      <w:r>
        <w:rPr>
          <w:sz w:val="24"/>
        </w:rPr>
      </w:r>
    </w:p>
    <w:p>
      <w:pPr>
        <w:pStyle w:val="Normal"/>
        <w:widowControl/>
        <w:tabs>
          <w:tab w:val="clear" w:pos="720"/>
          <w:tab w:val="left" w:pos="2160" w:leader="none"/>
        </w:tabs>
        <w:ind w:start="1440" w:end="0"/>
        <w:rPr/>
      </w:pPr>
      <w:r>
        <w:rPr>
          <w:sz w:val="24"/>
        </w:rPr>
        <w:t>(iv)</w:t>
      </w:r>
      <w:r>
        <w:rPr>
          <w:b/>
          <w:sz w:val="24"/>
        </w:rPr>
        <w:t xml:space="preserve"> </w:t>
      </w:r>
      <w:r>
        <w:rPr>
          <w:sz w:val="24"/>
        </w:rPr>
        <w:tab/>
      </w:r>
      <w:r>
        <w:rPr>
          <w:b/>
          <w:sz w:val="24"/>
        </w:rPr>
        <w:t>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Documents, and such Transactions.</w:t>
      </w:r>
    </w:p>
    <w:p>
      <w:pPr>
        <w:pStyle w:val="Normal"/>
        <w:widowControl/>
        <w:tabs>
          <w:tab w:val="clear" w:pos="720"/>
          <w:tab w:val="left" w:pos="2160" w:leader="none"/>
        </w:tabs>
        <w:ind w:start="1440" w:end="0"/>
        <w:rPr>
          <w:b/>
          <w:sz w:val="24"/>
        </w:rPr>
      </w:pPr>
      <w:r>
        <w:rPr>
          <w:b/>
          <w:sz w:val="24"/>
        </w:rPr>
      </w:r>
    </w:p>
    <w:p>
      <w:pPr>
        <w:pStyle w:val="Normal"/>
        <w:widowControl/>
        <w:ind w:start="1440" w:end="0"/>
        <w:rPr/>
      </w:pPr>
      <w:r>
        <w:rPr>
          <w:b/>
          <w:sz w:val="24"/>
        </w:rPr>
        <w:t>(v)</w:t>
      </w:r>
      <w:r>
        <w:rPr>
          <w:sz w:val="24"/>
        </w:rPr>
        <w:tab/>
        <w:t>(1) It is not relying on any advice, statements, or recommendations (whether written or oral) of the other party regarding any Transaction as investment advice, other than the written representations expressly made by that other party in this Agreement and in the Confirmation in respect of that Transaction;</w:t>
      </w:r>
    </w:p>
    <w:p>
      <w:pPr>
        <w:pStyle w:val="Normal"/>
        <w:widowControl/>
        <w:rPr>
          <w:sz w:val="24"/>
        </w:rPr>
      </w:pPr>
      <w:r>
        <w:rPr>
          <w:sz w:val="24"/>
        </w:rPr>
      </w:r>
    </w:p>
    <w:p>
      <w:pPr>
        <w:pStyle w:val="Normal"/>
        <w:widowControl/>
        <w:tabs>
          <w:tab w:val="clear" w:pos="720"/>
          <w:tab w:val="left" w:pos="2160" w:leader="none"/>
        </w:tabs>
        <w:ind w:start="1440" w:end="0"/>
        <w:rPr>
          <w:sz w:val="24"/>
        </w:rPr>
      </w:pPr>
      <w:r>
        <w:rPr>
          <w:sz w:val="24"/>
        </w:rPr>
        <w:tab/>
        <w:t>(2)</w:t>
        <w:tab/>
        <w:t>In respect of each Transaction under this Agreement,</w:t>
      </w:r>
    </w:p>
    <w:p>
      <w:pPr>
        <w:pStyle w:val="Normal"/>
        <w:widowControl/>
        <w:rPr>
          <w:sz w:val="24"/>
        </w:rPr>
      </w:pPr>
      <w:r>
        <w:rPr>
          <w:sz w:val="24"/>
        </w:rPr>
      </w:r>
    </w:p>
    <w:p>
      <w:pPr>
        <w:pStyle w:val="Normal"/>
        <w:widowControl/>
        <w:tabs>
          <w:tab w:val="clear" w:pos="720"/>
          <w:tab w:val="left" w:pos="2160" w:leader="none"/>
        </w:tabs>
        <w:ind w:hanging="720" w:start="2160" w:end="0"/>
        <w:rPr>
          <w:sz w:val="24"/>
        </w:rPr>
      </w:pPr>
      <w:r>
        <w:rPr>
          <w:sz w:val="24"/>
        </w:rPr>
        <w:tab/>
        <w:t>(A)</w:t>
        <w:tab/>
        <w:t>it has the capacity to evaluate (internally or through independent professional advice) that Transaction (including decisions regarding the appropriateness or suitability of that Transaction) and has made its own decision to enter into that Transaction;</w:t>
      </w:r>
    </w:p>
    <w:p>
      <w:pPr>
        <w:pStyle w:val="Normal"/>
        <w:widowControl/>
        <w:rPr>
          <w:sz w:val="24"/>
        </w:rPr>
      </w:pPr>
      <w:r>
        <w:rPr>
          <w:sz w:val="24"/>
        </w:rPr>
      </w:r>
    </w:p>
    <w:p>
      <w:pPr>
        <w:pStyle w:val="Normal"/>
        <w:widowControl/>
        <w:tabs>
          <w:tab w:val="clear" w:pos="720"/>
          <w:tab w:val="left" w:pos="2160" w:leader="none"/>
        </w:tabs>
        <w:ind w:hanging="720" w:start="2160" w:end="0"/>
        <w:rPr>
          <w:sz w:val="24"/>
        </w:rPr>
      </w:pPr>
      <w:r>
        <w:rPr>
          <w:sz w:val="24"/>
        </w:rPr>
        <w:tab/>
        <w:t xml:space="preserve">(B) </w:t>
        <w:tab/>
        <w:t>it understands the terms, conditions, and risks of that Transaction and is willing to accept those terms and conditions and to assume (financially and otherwise) those risks;</w:t>
      </w:r>
    </w:p>
    <w:p>
      <w:pPr>
        <w:pStyle w:val="Normal"/>
        <w:widowControl/>
        <w:rPr>
          <w:sz w:val="24"/>
        </w:rPr>
      </w:pPr>
      <w:r>
        <w:rPr>
          <w:sz w:val="24"/>
        </w:rPr>
      </w:r>
    </w:p>
    <w:p>
      <w:pPr>
        <w:pStyle w:val="Normal"/>
        <w:widowControl/>
        <w:tabs>
          <w:tab w:val="clear" w:pos="720"/>
          <w:tab w:val="left" w:pos="2160" w:leader="none"/>
        </w:tabs>
        <w:ind w:hanging="720" w:start="2160" w:end="0"/>
        <w:rPr>
          <w:sz w:val="24"/>
        </w:rPr>
      </w:pPr>
      <w:r>
        <w:rPr>
          <w:sz w:val="24"/>
        </w:rPr>
        <w:tab/>
        <w:t xml:space="preserve">(C) </w:t>
        <w:tab/>
        <w:t>it is entering into that Transaction as principal and not as agent for any other party;</w:t>
      </w:r>
    </w:p>
    <w:p>
      <w:pPr>
        <w:pStyle w:val="Normal"/>
        <w:widowControl/>
        <w:tabs>
          <w:tab w:val="clear" w:pos="720"/>
          <w:tab w:val="left" w:pos="2160" w:leader="none"/>
        </w:tabs>
        <w:ind w:hanging="720" w:start="2160" w:end="0"/>
        <w:rPr>
          <w:sz w:val="24"/>
        </w:rPr>
      </w:pPr>
      <w:r>
        <w:rPr>
          <w:sz w:val="24"/>
        </w:rPr>
      </w:r>
    </w:p>
    <w:p>
      <w:pPr>
        <w:pStyle w:val="Normal"/>
        <w:widowControl/>
        <w:tabs>
          <w:tab w:val="clear" w:pos="720"/>
          <w:tab w:val="left" w:pos="2160" w:leader="none"/>
        </w:tabs>
        <w:ind w:hanging="720" w:start="2160" w:end="0"/>
        <w:rPr>
          <w:sz w:val="24"/>
        </w:rPr>
      </w:pPr>
      <w:r>
        <w:rPr>
          <w:sz w:val="24"/>
        </w:rPr>
        <w:tab/>
        <w:t>(D)</w:t>
        <w:tab/>
        <w:t>it acknowledges and agrees that the other party is not acting as an investment fiduciary or advisor to it in connection with that Transaction; and</w:t>
      </w:r>
    </w:p>
    <w:p>
      <w:pPr>
        <w:pStyle w:val="Normal"/>
        <w:widowControl/>
        <w:rPr>
          <w:sz w:val="24"/>
        </w:rPr>
      </w:pPr>
      <w:r>
        <w:rPr>
          <w:sz w:val="24"/>
        </w:rPr>
      </w:r>
    </w:p>
    <w:p>
      <w:pPr>
        <w:pStyle w:val="Normal"/>
        <w:widowControl/>
        <w:tabs>
          <w:tab w:val="clear" w:pos="720"/>
          <w:tab w:val="left" w:pos="2160" w:leader="none"/>
        </w:tabs>
        <w:ind w:hanging="720" w:start="2160" w:end="0"/>
        <w:rPr>
          <w:sz w:val="24"/>
        </w:rPr>
      </w:pPr>
      <w:r>
        <w:rPr>
          <w:sz w:val="24"/>
        </w:rPr>
        <w:tab/>
        <w:t>(E)</w:t>
        <w:tab/>
        <w:t>it is entering into that Transaction for the purposes of managing its borrowings or investments, hedging its underlying assets or liabilities, or in connection with a line of business, and not for purposes of speculation."</w:t>
      </w:r>
    </w:p>
    <w:p>
      <w:pPr>
        <w:pStyle w:val="Normal"/>
        <w:widowControl/>
        <w:rPr>
          <w:sz w:val="24"/>
        </w:rPr>
      </w:pPr>
      <w:r>
        <w:rPr>
          <w:sz w:val="24"/>
        </w:rPr>
      </w:r>
    </w:p>
    <w:p>
      <w:pPr>
        <w:pStyle w:val="Normal"/>
        <w:widowControl/>
        <w:ind w:hanging="2160" w:start="2160" w:end="0"/>
        <w:rPr/>
      </w:pPr>
      <w:r>
        <w:rPr>
          <w:sz w:val="24"/>
        </w:rPr>
        <w:tab/>
      </w:r>
      <w:r>
        <w:rPr>
          <w:b/>
          <w:sz w:val="24"/>
        </w:rPr>
        <w:t>(F)</w:t>
      </w:r>
      <w:r>
        <w:rPr>
          <w:sz w:val="24"/>
        </w:rPr>
        <w:tab/>
      </w:r>
      <w:r>
        <w:rPr>
          <w:b/>
          <w:sz w:val="24"/>
        </w:rPr>
        <w:t>it not relying upon any representations (whether written or oral) of the other party other than the representations expressly set forth in this Agreement and in such Credit Support Document;</w:t>
      </w:r>
    </w:p>
    <w:p>
      <w:pPr>
        <w:pStyle w:val="Normal"/>
        <w:widowControl/>
        <w:ind w:hanging="2160" w:start="2160" w:end="0"/>
        <w:rPr>
          <w:b/>
          <w:sz w:val="24"/>
        </w:rPr>
      </w:pPr>
      <w:r>
        <w:rPr>
          <w:b/>
          <w:sz w:val="24"/>
        </w:rPr>
      </w:r>
    </w:p>
    <w:p>
      <w:pPr>
        <w:pStyle w:val="Normal"/>
        <w:widowControl/>
        <w:ind w:start="2160" w:end="0"/>
        <w:rPr/>
      </w:pPr>
      <w:r>
        <w:rPr>
          <w:sz w:val="24"/>
        </w:rPr>
        <w:t xml:space="preserve"> </w:t>
      </w:r>
      <w:r>
        <w:rPr>
          <w:b/>
          <w:sz w:val="24"/>
        </w:rPr>
        <w:t>(G)</w:t>
      </w:r>
      <w:r>
        <w:rPr>
          <w:sz w:val="24"/>
        </w:rPr>
        <w:tab/>
      </w:r>
      <w:r>
        <w:rPr>
          <w:b/>
          <w:sz w:val="24"/>
        </w:rPr>
        <w:t>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w:t>
      </w:r>
    </w:p>
    <w:p>
      <w:pPr>
        <w:pStyle w:val="Normal"/>
        <w:widowControl/>
        <w:ind w:start="2160" w:end="0"/>
        <w:rPr>
          <w:b/>
          <w:sz w:val="24"/>
        </w:rPr>
      </w:pPr>
      <w:r>
        <w:rPr>
          <w:b/>
          <w:sz w:val="24"/>
        </w:rPr>
      </w:r>
    </w:p>
    <w:p>
      <w:pPr>
        <w:pStyle w:val="Normal"/>
        <w:widowControl/>
        <w:ind w:start="2160" w:end="0"/>
        <w:rPr/>
      </w:pPr>
      <w:r>
        <w:rPr>
          <w:b/>
          <w:sz w:val="24"/>
        </w:rPr>
        <w:t>(H)</w:t>
      </w:r>
      <w:r>
        <w:rPr>
          <w:sz w:val="24"/>
        </w:rPr>
        <w:tab/>
      </w:r>
      <w:r>
        <w:rPr>
          <w:b/>
          <w:sz w:val="24"/>
        </w:rPr>
        <w:t>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w:t>
      </w:r>
    </w:p>
    <w:p>
      <w:pPr>
        <w:pStyle w:val="Normal"/>
        <w:widowControl/>
        <w:ind w:start="2160" w:end="0"/>
        <w:rPr>
          <w:b/>
          <w:sz w:val="24"/>
        </w:rPr>
      </w:pPr>
      <w:r>
        <w:rPr>
          <w:b/>
          <w:sz w:val="24"/>
        </w:rPr>
      </w:r>
    </w:p>
    <w:p>
      <w:pPr>
        <w:pStyle w:val="Normal"/>
        <w:widowControl/>
        <w:ind w:start="2160" w:end="0"/>
        <w:rPr/>
      </w:pPr>
      <w:r>
        <w:rPr>
          <w:b/>
          <w:sz w:val="24"/>
        </w:rPr>
        <w:t>(I)</w:t>
      </w:r>
      <w:r>
        <w:rPr>
          <w:sz w:val="24"/>
        </w:rPr>
        <w:tab/>
      </w:r>
      <w:r>
        <w:rPr>
          <w:b/>
          <w:sz w:val="24"/>
        </w:rPr>
        <w:t xml:space="preserve">its decisions have been the result of arm’s length negotiations between the parties; and </w:t>
      </w:r>
    </w:p>
    <w:p>
      <w:pPr>
        <w:pStyle w:val="Normal"/>
        <w:widowControl/>
        <w:ind w:start="2160" w:end="0"/>
        <w:rPr>
          <w:b/>
          <w:sz w:val="24"/>
        </w:rPr>
      </w:pPr>
      <w:r>
        <w:rPr>
          <w:b/>
          <w:sz w:val="24"/>
        </w:rPr>
      </w:r>
    </w:p>
    <w:p>
      <w:pPr>
        <w:pStyle w:val="Normal"/>
        <w:widowControl/>
        <w:ind w:start="2160" w:end="0"/>
        <w:rPr/>
      </w:pPr>
      <w:r>
        <w:rPr>
          <w:b/>
          <w:sz w:val="24"/>
        </w:rPr>
        <w:t>(J)</w:t>
      </w:r>
      <w:r>
        <w:rPr>
          <w:sz w:val="24"/>
        </w:rPr>
        <w:tab/>
      </w:r>
      <w:r>
        <w:rPr>
          <w:b/>
          <w:sz w:val="24"/>
        </w:rPr>
        <w:t>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ind w:start="2160" w:end="0"/>
        <w:rPr>
          <w:b/>
          <w:sz w:val="24"/>
        </w:rPr>
      </w:pPr>
      <w:r>
        <w:rPr>
          <w:b/>
          <w:sz w:val="24"/>
        </w:rPr>
      </w:r>
    </w:p>
    <w:p>
      <w:pPr>
        <w:pStyle w:val="Style21"/>
        <w:widowControl/>
        <w:tabs>
          <w:tab w:val="clear" w:pos="360"/>
        </w:tabs>
        <w:rPr/>
      </w:pPr>
      <w:r>
        <w:rPr>
          <w:b/>
        </w:rPr>
        <w:t>(e)</w:t>
      </w:r>
      <w:r>
        <w:rPr>
          <w:strike/>
        </w:rPr>
        <w:t>(g)</w:t>
      </w:r>
      <w:r>
        <w:rPr/>
        <w:tab/>
        <w:t>Jurisdiction.  Section 13(b)(i) is deleted in its entirety, and the following is inserted in substitution therefor:  "submits to the non-exclusive jurisdiction of the courts of The State of New York and the United States District Court for the Southern District of New York; and".</w:t>
      </w:r>
    </w:p>
    <w:p>
      <w:pPr>
        <w:pStyle w:val="Normal"/>
        <w:widowControl/>
        <w:rPr>
          <w:sz w:val="24"/>
        </w:rPr>
      </w:pPr>
      <w:r>
        <w:rPr>
          <w:sz w:val="24"/>
        </w:rPr>
      </w:r>
    </w:p>
    <w:p>
      <w:pPr>
        <w:pStyle w:val="Style21"/>
        <w:widowControl/>
        <w:tabs>
          <w:tab w:val="clear" w:pos="360"/>
        </w:tabs>
        <w:rPr/>
      </w:pPr>
      <w:r>
        <w:rPr>
          <w:strike/>
        </w:rPr>
        <w:t>(h)</w:t>
      </w:r>
      <w:r>
        <w:rPr>
          <w:b/>
        </w:rPr>
        <w:t>(f)</w:t>
      </w:r>
      <w:r>
        <w:rPr/>
        <w:tab/>
        <w:t>Amendment to Section 7.  Section 7 is amended by (i) adding the words "or assigned" after the word "transferred" in the first sentence of that Section; (ii) deleting subsection (a) thereof and the heading "(b)"; (iii) adding the words "or assignment" after the word "transfer" in the last line of that Section; and (iv) adding the following at the end of such Section:  "No transfer or assignment of any rights under or with respect to this Agreement by either party shall be effective until the identity of the transferee or assignee is entered on the books and records maintained by the other party.".</w:t>
      </w:r>
    </w:p>
    <w:p>
      <w:pPr>
        <w:pStyle w:val="Style21"/>
        <w:widowControl/>
        <w:rPr/>
      </w:pPr>
      <w:r>
        <w:rPr/>
      </w:r>
    </w:p>
    <w:p>
      <w:pPr>
        <w:pStyle w:val="Style21"/>
        <w:widowControl/>
        <w:rPr>
          <w:b/>
        </w:rPr>
      </w:pPr>
      <w:r>
        <w:rPr>
          <w:b/>
        </w:rPr>
        <w:t>In addition, the following paragraph is added at the end of Section 7.  Notwithstanding the foregoing, a transfer of all of Party B’s interest and obligations under this Agreement shall not be deemed to violate this Section 7 if such transfer is to an entity (i) is a direct or indirect wholly owned subsidiary of Enron Corp., and is organized under the laws of the United States or a state thereof and has it principal place of business in the United States, and (ii) the Guarantee remains in full force and effect in respect of the transferee (or a Guarantee of Enron Corp. with terms at least as favorable to party A as the Guarantee is in full force and effect in respect of the transferee, which Guarantee shall be a Credit Support Document).</w:t>
      </w:r>
    </w:p>
    <w:p>
      <w:pPr>
        <w:pStyle w:val="Normal"/>
        <w:widowControl/>
        <w:rPr>
          <w:b/>
          <w:sz w:val="24"/>
        </w:rPr>
      </w:pPr>
      <w:r>
        <w:rPr>
          <w:b/>
          <w:sz w:val="24"/>
        </w:rPr>
      </w:r>
    </w:p>
    <w:p>
      <w:pPr>
        <w:pStyle w:val="Style21"/>
        <w:widowControl/>
        <w:tabs>
          <w:tab w:val="clear" w:pos="360"/>
        </w:tabs>
        <w:rPr/>
      </w:pPr>
      <w:r>
        <w:rPr>
          <w:b/>
        </w:rPr>
        <w:t>(g)</w:t>
      </w:r>
      <w:r>
        <w:rPr>
          <w:strike/>
        </w:rPr>
        <w:t>(i)</w:t>
      </w:r>
      <w:r>
        <w:rPr/>
        <w:tab/>
        <w:t>Service of Process.  The third sentence of Section 13(c) is deleted.</w:t>
      </w:r>
    </w:p>
    <w:p>
      <w:pPr>
        <w:pStyle w:val="Normal"/>
        <w:widowControl/>
        <w:rPr>
          <w:sz w:val="24"/>
        </w:rPr>
      </w:pPr>
      <w:r>
        <w:rPr>
          <w:sz w:val="24"/>
        </w:rPr>
      </w:r>
    </w:p>
    <w:p>
      <w:pPr>
        <w:pStyle w:val="Style21"/>
        <w:widowControl/>
        <w:tabs>
          <w:tab w:val="clear" w:pos="360"/>
        </w:tabs>
        <w:rPr/>
      </w:pPr>
      <w:r>
        <w:rPr>
          <w:strike/>
        </w:rPr>
        <w:t>(j)</w:t>
      </w:r>
      <w:r>
        <w:rPr>
          <w:b/>
        </w:rPr>
        <w:t>(h)</w:t>
      </w:r>
      <w:r>
        <w:rPr/>
        <w:tab/>
        <w:t>Confirmations, etc.  Except as the parties may otherwise from time to time agree, Party B shall prepare and furnish to Party A the Confirmation relating to each Transaction.  Each Confirmation shall be substantially in the form of the appropriate form of confirmation attached as an exhibit to the relevant Definitions or as the parties shall from time to time agree.</w:t>
      </w:r>
    </w:p>
    <w:p>
      <w:pPr>
        <w:pStyle w:val="Normal"/>
        <w:widowControl/>
        <w:rPr>
          <w:sz w:val="24"/>
        </w:rPr>
      </w:pPr>
      <w:r>
        <w:rPr>
          <w:sz w:val="24"/>
        </w:rPr>
      </w:r>
    </w:p>
    <w:p>
      <w:pPr>
        <w:pStyle w:val="Normal"/>
        <w:widowControl/>
        <w:rPr>
          <w:sz w:val="24"/>
        </w:rPr>
      </w:pPr>
      <w:r>
        <w:rPr>
          <w:sz w:val="24"/>
        </w:rPr>
        <w:t xml:space="preserve">The parties agree that oral agreements concluded over the telephone by their authorized representatives with respect to Transactions, including Confirmations of Transactions agreed to by the parties over the telephone, shall be binding, it being the intention and agreement of the parties that each Transaction will constitute a "qualified financial contract" for purposes of Section 5-701 of the General Obligations Law of the State of New York and that the parties will be bound by the terms of each Transaction from the time they reach agreement (by telephone, by exchange of electronic messages or otherwise) on such terms.  Further, Party B shall promptly send Party A a Confirmation of each Transaction between them and Party A shall promptly confirm the accuracy of that Confirmation by telex, facsimile, or any other means agreed to by the parties.  Any Confirmation may be executed in counterparts, and signatures evidenced by facsimile transmission shall be accepted as originals.  In the case of any discrepancy between the terms of any such oral agreement and the terms of any Confirmation executed by both parties (or, in the case of Party B, deemed executed by Party B), the terms of such Confirmation will control.  In the event that either party makes a tape recording or other audio or digital recording of any conversation relating to any oral agreement entered into as contemplated by this Agreement, then such party:  (i) shall not without the prior written consent of the other party destroy or otherwise dispose of such recording except in accordance with procedures as to the timing and manner of such destruction and disposition applicable to all of its counterparties generally and (ii) shall make such recording available to the other party at its request so long as such recording exists. </w:t>
      </w:r>
    </w:p>
    <w:p>
      <w:pPr>
        <w:pStyle w:val="Normal"/>
        <w:widowControl/>
        <w:rPr>
          <w:sz w:val="24"/>
        </w:rPr>
      </w:pPr>
      <w:r>
        <w:rPr>
          <w:sz w:val="24"/>
        </w:rPr>
      </w:r>
    </w:p>
    <w:p>
      <w:pPr>
        <w:pStyle w:val="Normal"/>
        <w:widowControl/>
        <w:rPr>
          <w:sz w:val="24"/>
        </w:rPr>
      </w:pPr>
      <w:r>
        <w:rPr>
          <w:sz w:val="24"/>
        </w:rPr>
        <w:t>In the event of any inconsistency between the provisions of this Agreement and any Confirmation, this Agreement will control.</w:t>
      </w:r>
    </w:p>
    <w:p>
      <w:pPr>
        <w:pStyle w:val="Normal"/>
        <w:widowControl/>
        <w:rPr>
          <w:sz w:val="24"/>
        </w:rPr>
      </w:pPr>
      <w:r>
        <w:rPr>
          <w:sz w:val="24"/>
        </w:rPr>
      </w:r>
    </w:p>
    <w:p>
      <w:pPr>
        <w:pStyle w:val="Normal"/>
        <w:widowControl/>
        <w:rPr>
          <w:sz w:val="24"/>
        </w:rPr>
      </w:pPr>
      <w:r>
        <w:rPr>
          <w:sz w:val="24"/>
        </w:rPr>
        <w:t>Notwithstanding any provision of this Agreement or any Confirmation, a Confirmation shall be deemed for all purposes to have been duly executed and delivered by, and shall be enforceable against, Party B if it is transmitted by Party B (or any affiliate or agent of Party B) to (and received by) Party A and states or indicates (including without limitation by means of a typed or printed application or recitation of the name of Party B or any affiliate or agent of Party B purporting to act on behalf of Party B) that it is or evidences the obligation of Party B.</w:t>
      </w:r>
    </w:p>
    <w:p>
      <w:pPr>
        <w:pStyle w:val="Normal"/>
        <w:widowControl/>
        <w:rPr>
          <w:sz w:val="24"/>
        </w:rPr>
      </w:pPr>
      <w:r>
        <w:rPr>
          <w:sz w:val="24"/>
        </w:rPr>
      </w:r>
    </w:p>
    <w:p>
      <w:pPr>
        <w:pStyle w:val="Style21"/>
        <w:widowControl/>
        <w:tabs>
          <w:tab w:val="clear" w:pos="360"/>
        </w:tabs>
        <w:rPr/>
      </w:pPr>
      <w:r>
        <w:rPr>
          <w:strike/>
        </w:rPr>
        <w:t>(k)</w:t>
      </w:r>
      <w:r>
        <w:rPr>
          <w:b/>
        </w:rPr>
        <w:t>(i)</w:t>
      </w:r>
      <w:r>
        <w:rPr/>
        <w:tab/>
        <w:t>List upon Request.  Upon request, Party B shall send to Party A, in connection with Party A's internal audit procedures, a complete and correct list of all Transactions outstanding as of the last Business Day of the immediately preceding month, in such detail as Party A may reasonably request to permit Party A to reconcile such list with its own books.</w:t>
      </w:r>
    </w:p>
    <w:p>
      <w:pPr>
        <w:pStyle w:val="Style21"/>
        <w:widowControl/>
        <w:rPr/>
      </w:pPr>
      <w:r>
        <w:rPr/>
      </w:r>
    </w:p>
    <w:p>
      <w:pPr>
        <w:pStyle w:val="Style21"/>
        <w:widowControl/>
        <w:tabs>
          <w:tab w:val="clear" w:pos="360"/>
        </w:tabs>
        <w:rPr/>
      </w:pPr>
      <w:r>
        <w:rPr>
          <w:strike/>
        </w:rPr>
        <w:t>(l) Default Rights. If an Event of Default occurs, the Non-defaulting Party (at its election) may set off</w:t>
      </w:r>
      <w:r>
        <w:rPr>
          <w:b/>
        </w:rPr>
        <w:t>(j)</w:t>
      </w:r>
      <w:r>
        <w:rPr/>
        <w:tab/>
      </w:r>
      <w:r>
        <w:rPr>
          <w:b/>
        </w:rPr>
        <w:t>Setoff.  (A) Upon the designation or deemed designation of an Early Termination Date the Non-defaulting Part or the non-Affected Party (in either case, “X”) may, at its option and in its discretion, setoff, against</w:t>
      </w:r>
      <w:r>
        <w:rPr/>
        <w:t xml:space="preserve"> any </w:t>
      </w:r>
      <w:r>
        <w:rPr>
          <w:strike/>
        </w:rPr>
        <w:t>or all</w:t>
      </w:r>
      <w:r>
        <w:rPr/>
        <w:t xml:space="preserve"> amounts </w:t>
      </w:r>
      <w:r>
        <w:rPr>
          <w:strike/>
        </w:rPr>
        <w:t>which</w:t>
      </w:r>
      <w:r>
        <w:rPr/>
        <w:t xml:space="preserve"> </w:t>
      </w:r>
      <w:r>
        <w:rPr>
          <w:b/>
        </w:rPr>
        <w:t>owned to</w:t>
      </w:r>
      <w:r>
        <w:rPr/>
        <w:t xml:space="preserve"> the Defaulting Party </w:t>
      </w:r>
      <w:r>
        <w:rPr>
          <w:strike/>
        </w:rPr>
        <w:t>owes to it</w:t>
      </w:r>
      <w:r>
        <w:rPr/>
        <w:t xml:space="preserve"> </w:t>
      </w:r>
      <w:r>
        <w:rPr>
          <w:b/>
        </w:rPr>
        <w:t>or Affected Party (in either case, “Y”) in Dollars or any other currency by X or any Affiliate of X</w:t>
      </w:r>
      <w:r>
        <w:rPr/>
        <w:t xml:space="preserve"> under this Agreement or otherwise </w:t>
      </w:r>
      <w:r>
        <w:rPr>
          <w:strike/>
        </w:rPr>
        <w:t>whether or not then due, against any or all amounts which it owes to the Defaulting Party</w:t>
      </w:r>
      <w:r>
        <w:rPr>
          <w:b/>
        </w:rPr>
        <w:t>, any amounts owed in Dollars or any other currency by Y to X or any of its Affiliates (irrespective of place of payment or booking office of the obligation)</w:t>
      </w:r>
      <w:r>
        <w:rPr/>
        <w:t xml:space="preserve"> under this Agreement or otherwise </w:t>
      </w:r>
      <w:r>
        <w:rPr>
          <w:strike/>
        </w:rPr>
        <w:t>whether or not then due; provided that any amount not then due which is included in such setoff shall be discounted to present value as at the time of setoff (to take account of the period between the date of setoff and the date on which such amount would have otherwise been due) at a rate of interest based on the London Interbank Rate for the applicable period, as determined by</w:t>
      </w:r>
      <w:r>
        <w:rPr>
          <w:b/>
        </w:rPr>
        <w:t xml:space="preserv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 off effected under this Section as soon as practicable after the setoff is affected provided that failure to give such notice shall not affect the validity of the setoff.  If an obligation is unascertained, X may in good faith estimate that obligation and set-off in respect of its estimate, subject to the relevant party accounting to the other when the obligation is ascertained.  Nothing herein shall be effective to create a charge or other security interest.  This set6off provision shall be without prejudice and in addition to any right of setoff, combination of accounts, lien or other right to which any party is at anytime otherwise entitled (whether by operation of law, contract or otherwise).   </w:t>
      </w:r>
    </w:p>
    <w:p>
      <w:pPr>
        <w:pStyle w:val="Style21"/>
        <w:widowControl/>
        <w:rPr>
          <w:b/>
        </w:rPr>
      </w:pPr>
      <w:r>
        <w:rPr>
          <w:b/>
        </w:rPr>
      </w:r>
    </w:p>
    <w:p>
      <w:pPr>
        <w:pStyle w:val="Style21"/>
        <w:widowControl/>
        <w:tabs>
          <w:tab w:val="clear" w:pos="360"/>
        </w:tabs>
        <w:rPr/>
      </w:pPr>
      <w:r>
        <w:rPr>
          <w:b/>
        </w:rPr>
        <w:t>(k)</w:t>
      </w:r>
      <w:r>
        <w:rPr/>
        <w:tab/>
      </w:r>
      <w:r>
        <w:rPr>
          <w:b/>
        </w:rPr>
        <w:t>(B)  Notwithstanding any provision to the contrary contained in this Agreement, the Non-Defaulting Party or non-Affected Party, as the case may be, shall not be required to pay to the Defaulting Party or Affected Party any amount under Section 6(e) until</w:t>
      </w:r>
      <w:r>
        <w:rPr/>
        <w:t xml:space="preserve"> the Non-defaulting Party </w:t>
      </w:r>
      <w:r>
        <w:rPr>
          <w:strike/>
        </w:rPr>
        <w:t>in any commercially reasonable manner.</w:t>
      </w:r>
      <w:r>
        <w:rPr/>
        <w:t xml:space="preserve"> </w:t>
      </w:r>
      <w:r>
        <w:rPr>
          <w:b/>
        </w:rPr>
        <w:t xml:space="preserve">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p>
    <w:p>
      <w:pPr>
        <w:pStyle w:val="Style21"/>
        <w:widowControl/>
        <w:rPr/>
      </w:pPr>
      <w:r>
        <w:rPr/>
      </w:r>
    </w:p>
    <w:p>
      <w:pPr>
        <w:pStyle w:val="Style21"/>
        <w:widowControl/>
        <w:tabs>
          <w:tab w:val="clear" w:pos="360"/>
        </w:tabs>
        <w:rPr/>
      </w:pPr>
      <w:r>
        <w:rPr>
          <w:strike/>
        </w:rPr>
        <w:t>(m)</w:t>
      </w:r>
      <w:r>
        <w:rPr>
          <w:b/>
        </w:rPr>
        <w:t>(l)</w:t>
      </w:r>
      <w:r>
        <w:rPr/>
        <w:tab/>
      </w:r>
      <w:r>
        <w:rPr>
          <w:b/>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PATIES ACKNOWLEDGE AND AGREE THAT SUCH DAMAGES ARE DIFFICULT OR IMPOSSIBLE TO DETERMINE AND THAT SUCH PAYMENT IS INTENDED TO BE A REASONABLE AND GENUINE PRE-ESTIMATE AND APPROXIMATION OF THE AMOUNT OF SUCH DAMAGES AND NOT A PENALTY.</w:t>
      </w:r>
    </w:p>
    <w:p>
      <w:pPr>
        <w:pStyle w:val="Style21"/>
        <w:widowControl/>
        <w:rPr>
          <w:b/>
        </w:rPr>
      </w:pPr>
      <w:r>
        <w:rPr>
          <w:b/>
        </w:rPr>
      </w:r>
    </w:p>
    <w:p>
      <w:pPr>
        <w:pStyle w:val="Style21"/>
        <w:widowControl/>
        <w:tabs>
          <w:tab w:val="clear" w:pos="360"/>
        </w:tabs>
        <w:rPr/>
      </w:pPr>
      <w:r>
        <w:rPr>
          <w:b/>
        </w:rPr>
        <w:t>(m)</w:t>
      </w:r>
      <w:r>
        <w:rPr/>
        <w:tab/>
      </w:r>
      <w:r>
        <w:rPr>
          <w:b/>
        </w:rPr>
        <w:t>Confidentiality.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Style21"/>
        <w:widowControl/>
        <w:rPr>
          <w:b/>
        </w:rPr>
      </w:pPr>
      <w:r>
        <w:rPr>
          <w:b/>
        </w:rPr>
      </w:r>
    </w:p>
    <w:p>
      <w:pPr>
        <w:pStyle w:val="Style21"/>
        <w:widowControl/>
        <w:tabs>
          <w:tab w:val="clear" w:pos="360"/>
        </w:tabs>
        <w:rPr/>
      </w:pPr>
      <w:r>
        <w:rPr>
          <w:b/>
        </w:rPr>
        <w:t>(n)</w:t>
      </w:r>
      <w:r>
        <w:rPr/>
        <w:tab/>
      </w:r>
      <w:r>
        <w:rPr>
          <w:b/>
        </w:rPr>
        <w:t xml:space="preserve">Applicable Rate.  The definition of “Applicable rate” set forth in Section 14 is hereby amended by adding to the end of Subsection (b) of the definition after the word “Rate” the following provision: “; </w:t>
      </w:r>
      <w:r>
        <w:rPr>
          <w:b/>
          <w:u w:val="single"/>
        </w:rPr>
        <w:t>provided</w:t>
      </w:r>
      <w:r>
        <w:rPr>
          <w:b/>
        </w:rPr>
        <w:t xml:space="preserve">, </w:t>
      </w:r>
      <w:r>
        <w:rPr>
          <w:b/>
          <w:u w:val="single"/>
        </w:rPr>
        <w:t>however</w:t>
      </w:r>
      <w:r>
        <w:rPr>
          <w:b/>
        </w:rPr>
        <w:t>, that if the payee is a Defaulting Party for purposes of Section 6(e), then the rate shall be the Non-default Rate.”</w:t>
      </w:r>
    </w:p>
    <w:p>
      <w:pPr>
        <w:pStyle w:val="Style21"/>
        <w:widowControl/>
        <w:rPr>
          <w:b/>
        </w:rPr>
      </w:pPr>
      <w:r>
        <w:rPr>
          <w:b/>
        </w:rPr>
      </w:r>
    </w:p>
    <w:p>
      <w:pPr>
        <w:pStyle w:val="Style21"/>
        <w:widowControl/>
        <w:tabs>
          <w:tab w:val="clear" w:pos="360"/>
        </w:tabs>
        <w:rPr/>
      </w:pPr>
      <w:r>
        <w:rPr>
          <w:b/>
        </w:rPr>
        <w:t>(o)</w:t>
      </w:r>
      <w:r>
        <w:rPr/>
        <w:tab/>
      </w:r>
      <w:r>
        <w:rPr>
          <w:b/>
        </w:rPr>
        <w:t>Conditions Precedent.  The condition precedent set forth in clause (1) of Section 2(a)(iii) shall not apply to payments owned by a party if the other party shall have satisfied in full all its payment obligations under Section 2(a)(i) and shall at the relevant time have no future payment obligations whether absolute or contingent under Section 2(a)(i).</w:t>
      </w:r>
    </w:p>
    <w:p>
      <w:pPr>
        <w:pStyle w:val="Style21"/>
        <w:widowControl/>
        <w:rPr>
          <w:b/>
        </w:rPr>
      </w:pPr>
      <w:r>
        <w:rPr>
          <w:b/>
        </w:rPr>
      </w:r>
    </w:p>
    <w:p>
      <w:pPr>
        <w:pStyle w:val="Style21"/>
        <w:widowControl/>
        <w:tabs>
          <w:tab w:val="clear" w:pos="360"/>
        </w:tabs>
        <w:rPr/>
      </w:pPr>
      <w:r>
        <w:rPr>
          <w:b/>
        </w:rPr>
        <w:t>(p)</w:t>
      </w:r>
      <w:r>
        <w:rPr/>
        <w:tab/>
      </w:r>
      <w:r>
        <w:rPr>
          <w:b/>
        </w:rPr>
        <w:t>Reference Market-makers.  The definition of “Reference Market-makers” in Section 14 is hereby amended by deleting clause (b) thereof.</w:t>
      </w:r>
    </w:p>
    <w:p>
      <w:pPr>
        <w:pStyle w:val="Style21"/>
        <w:widowControl/>
        <w:rPr>
          <w:b/>
        </w:rPr>
      </w:pPr>
      <w:r>
        <w:rPr>
          <w:b/>
        </w:rPr>
      </w:r>
    </w:p>
    <w:p>
      <w:pPr>
        <w:pStyle w:val="Style21"/>
        <w:widowControl/>
        <w:tabs>
          <w:tab w:val="clear" w:pos="360"/>
        </w:tabs>
        <w:rPr/>
      </w:pPr>
      <w:r>
        <w:rPr>
          <w:b/>
        </w:rPr>
        <w:t>(q)</w:t>
      </w:r>
      <w:r>
        <w:rPr/>
        <w:tab/>
      </w:r>
      <w:r>
        <w:rPr>
          <w:b/>
        </w:rPr>
        <w:t>Recording.  Each party consents to the recording at any time and from time to time, by the other party of any and all communications between officers or employees of the parties, and waives any further notice of such recording.</w:t>
      </w:r>
    </w:p>
    <w:p>
      <w:pPr>
        <w:pStyle w:val="Normal"/>
        <w:widowControl/>
        <w:rPr>
          <w:b/>
          <w:sz w:val="24"/>
        </w:rPr>
      </w:pPr>
      <w:r>
        <w:rPr>
          <w:b/>
          <w:sz w:val="24"/>
        </w:rPr>
      </w:r>
    </w:p>
    <w:p>
      <w:pPr>
        <w:pStyle w:val="Style21"/>
        <w:widowControl/>
        <w:tabs>
          <w:tab w:val="clear" w:pos="360"/>
        </w:tabs>
        <w:rPr/>
      </w:pPr>
      <w:r>
        <w:rPr>
          <w:b/>
        </w:rPr>
        <w:t>(r)</w:t>
      </w:r>
      <w:r>
        <w:rPr/>
        <w:tab/>
        <w:t>Notices.  Notwithstanding any provision of this Agreement, no notice shall be effective if given by electronic messaging system (including without limitation any communication of a nature contemplated by Section 9(b) of this Agreement).</w:t>
      </w:r>
    </w:p>
    <w:p>
      <w:pPr>
        <w:pStyle w:val="Normal"/>
        <w:widowControl/>
        <w:rPr>
          <w:sz w:val="24"/>
        </w:rPr>
      </w:pPr>
      <w:r>
        <w:rPr>
          <w:sz w:val="24"/>
        </w:rPr>
      </w:r>
    </w:p>
    <w:p>
      <w:pPr>
        <w:pStyle w:val="Normal"/>
        <w:widowControl/>
        <w:rPr>
          <w:sz w:val="24"/>
        </w:rPr>
      </w:pPr>
      <w:r>
        <w:rPr>
          <w:sz w:val="24"/>
        </w:rPr>
        <w:t>Notwithstanding any provision of this Agreement, a notice shall be effective only upon its actual receipt.</w:t>
      </w:r>
    </w:p>
    <w:p>
      <w:pPr>
        <w:pStyle w:val="Normal"/>
        <w:widowControl/>
        <w:rPr>
          <w:sz w:val="24"/>
        </w:rPr>
      </w:pPr>
      <w:r>
        <w:rPr>
          <w:sz w:val="24"/>
        </w:rPr>
      </w:r>
    </w:p>
    <w:p>
      <w:pPr>
        <w:pStyle w:val="Style21"/>
        <w:widowControl/>
        <w:tabs>
          <w:tab w:val="clear" w:pos="360"/>
        </w:tabs>
        <w:rPr>
          <w:strike/>
        </w:rPr>
      </w:pPr>
      <w:r>
        <w:rPr>
          <w:strike/>
        </w:rPr>
        <w:t>(n) Additional Representation, etc. Party B agrees as follows: The necessary authorizing action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Party B's supervisory authorities; and at all times during the term of this Agreement, Party B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vice-president or higher. The parties agree that each Transaction and this Agreement are a "swap agreement" and a "qualified financial contract" and that this Agreement is a "master agreement", for purposes of Section 11(e)(8) of the Federal Deposit Insurance Act or any successor provisions.</w:t>
      </w:r>
    </w:p>
    <w:p>
      <w:pPr>
        <w:pStyle w:val="Style21"/>
        <w:widowControl/>
        <w:tabs>
          <w:tab w:val="clear" w:pos="360"/>
        </w:tabs>
        <w:rPr>
          <w:strike/>
        </w:rPr>
      </w:pPr>
      <w:r>
        <w:rPr>
          <w:strike/>
        </w:rPr>
      </w:r>
    </w:p>
    <w:p>
      <w:pPr>
        <w:pStyle w:val="Style21"/>
        <w:widowControl/>
        <w:tabs>
          <w:tab w:val="clear" w:pos="360"/>
        </w:tabs>
        <w:rPr/>
      </w:pPr>
      <w:r>
        <w:rPr>
          <w:strike/>
        </w:rPr>
        <w:t>(o)</w:t>
      </w:r>
      <w:r>
        <w:rPr>
          <w:b/>
        </w:rPr>
        <w:t>(s)</w:t>
      </w:r>
      <w:r>
        <w:rPr/>
        <w:tab/>
        <w:t>Master Netting Provisions.  Each of the parties agrees that, and has entered hereinto and will enter into each Transaction hereunder and each Net Transaction (as defined below) in consideration of and in reliance upon the fact that, all Net Transactions constitute a single business and contractual relationship and have been made in consideration of each other.  Accordingly, each of Party A and Party B agrees (i) that, if an Early Termination Date has been specified under this Agreement, each of them shall be entitled to set off claims and apply property held by them in respect of any Net Transaction against obligations owing to them in respect of any other Net Transactions, and (iii) that payments, deliveries, and other transfers made by either of them in respect of any Net Transaction shall be deemed to have been made in consideration of payments, deliveries, and other transfers in respect of any other Net Transactions, and the obligations to make any such payments, deliveries, and other transfers may, if such an Early Termination Date has been specified, be applied against each other and netted.</w:t>
      </w:r>
    </w:p>
    <w:p>
      <w:pPr>
        <w:pStyle w:val="Normal"/>
        <w:widowControl/>
        <w:rPr>
          <w:sz w:val="24"/>
        </w:rPr>
      </w:pPr>
      <w:r>
        <w:rPr>
          <w:sz w:val="24"/>
        </w:rPr>
      </w:r>
    </w:p>
    <w:p>
      <w:pPr>
        <w:pStyle w:val="Normal"/>
        <w:widowControl/>
        <w:rPr/>
      </w:pPr>
      <w:r>
        <w:rPr>
          <w:sz w:val="24"/>
        </w:rPr>
        <w:tab/>
        <w:t xml:space="preserve">For purposes of this Paragraph </w:t>
      </w:r>
      <w:r>
        <w:rPr>
          <w:strike/>
          <w:sz w:val="24"/>
        </w:rPr>
        <w:t>(o)</w:t>
      </w:r>
      <w:r>
        <w:rPr>
          <w:b/>
          <w:sz w:val="24"/>
        </w:rPr>
        <w:t>(t)</w:t>
      </w:r>
      <w:r>
        <w:rPr>
          <w:sz w:val="24"/>
        </w:rPr>
        <w:t>, the term "Net Transaction" shall mean any Transaction hereunder and any other contract or agreement that entitles a party to receive a payment from, or obligates such party to make a payment to, the other party to this Agreement, including without limitation any repurchase agreement or reverse repurchase agreement, any interest rate or currency options, any other foreign exchange agreement, any loan or other extension of credit, and any securities contract, commodity contract, forward contract, or swap agreement (each as defined in the Federal Deposit Insurance Act, as it may be amended from time to time), and any other contract or agreement, howsoever such contract or agreement may be evidenced[; and by way of clarification and not limitation, it is the intention and agreement of the parties that Party A shall be entitled to offset, apply, and net against any obligation of Party A to make any payment, delivery, or other transfer in respect of any Net Transaction any obligation of Party B to make any payment, delivery, or transfer to Party A (including without limitation any obligation to return or deliver margin) in respect of futures contracts or options on futures contracts purchased or sold by Party A through Party B or otherwise in respect of any futures or securities account of Party A with Party B].</w:t>
      </w:r>
    </w:p>
    <w:p>
      <w:pPr>
        <w:pStyle w:val="Normal"/>
        <w:widowControl/>
        <w:rPr>
          <w:sz w:val="24"/>
        </w:rPr>
      </w:pPr>
      <w:r>
        <w:rPr>
          <w:sz w:val="24"/>
        </w:rPr>
      </w:r>
    </w:p>
    <w:p>
      <w:pPr>
        <w:pStyle w:val="Normal"/>
        <w:widowControl/>
        <w:rPr>
          <w:sz w:val="24"/>
        </w:rPr>
      </w:pPr>
      <w:r>
        <w:rPr>
          <w:sz w:val="24"/>
        </w:rPr>
        <w:tab/>
        <w:t xml:space="preserve">Each of the parties represents and warrants to the other that it is a "financial institution" within the meaning of the Federal Deposit Insurance Corporation Improvement Act of 1991 ("FDICIA"), as supplemented by Regulation EE of the Federal Reserve Board; this Agreement constitutes a "netting contract" as defined in FDICIA; and each payment entitlement and payment obligation hereunder and under each Transaction entered into pursuant to this Agreement, under each Transaction entered into pursuant to the Master Repurchase Agreement, and under each other Net Transaction constitutes a "covered contractual payment entitlement" or "covered contractual payment obligation" as defined in FDICIA. </w:t>
      </w:r>
    </w:p>
    <w:p>
      <w:pPr>
        <w:pStyle w:val="Normal"/>
        <w:widowControl/>
        <w:jc w:val="center"/>
        <w:rPr>
          <w:sz w:val="24"/>
        </w:rPr>
      </w:pPr>
      <w:r>
        <w:rPr>
          <w:sz w:val="24"/>
        </w:rPr>
      </w:r>
    </w:p>
    <w:p>
      <w:pPr>
        <w:pStyle w:val="PartNumbered"/>
        <w:widowControl/>
        <w:rPr/>
      </w:pPr>
      <w:r>
        <w:rPr/>
        <w:t>Part 6</w:t>
      </w:r>
    </w:p>
    <w:p>
      <w:pPr>
        <w:pStyle w:val="Normal"/>
        <w:widowControl/>
        <w:jc w:val="center"/>
        <w:rPr>
          <w:sz w:val="24"/>
        </w:rPr>
      </w:pPr>
      <w:r>
        <w:rPr>
          <w:strike/>
          <w:sz w:val="24"/>
        </w:rPr>
        <w:t>FRABBA and BBAIRS</w:t>
      </w:r>
      <w:r>
        <w:rPr>
          <w:sz w:val="24"/>
        </w:rPr>
        <w:t xml:space="preserve"> </w:t>
      </w:r>
      <w:r>
        <w:rPr>
          <w:b/>
          <w:sz w:val="24"/>
        </w:rPr>
        <w:t>Additional Provisions for Commodity Derivatives Transactions</w:t>
      </w:r>
    </w:p>
    <w:p>
      <w:pPr>
        <w:pStyle w:val="Normal"/>
        <w:widowControl/>
        <w:rPr>
          <w:sz w:val="24"/>
        </w:rPr>
      </w:pPr>
      <w:r>
        <w:rPr>
          <w:sz w:val="24"/>
        </w:rPr>
      </w:r>
    </w:p>
    <w:p>
      <w:pPr>
        <w:pStyle w:val="Heading1"/>
        <w:widowControl/>
        <w:tabs>
          <w:tab w:val="clear" w:pos="360"/>
          <w:tab w:val="left" w:pos="720" w:leader="none"/>
        </w:tabs>
        <w:rPr/>
      </w:pPr>
      <w:r>
        <w:rPr>
          <w:strike/>
        </w:rPr>
        <w:t>Standard Terms. This Agreement amends the British Bankers' Association London Interbank Interest Rate Swaps Recommended Terms and conditions (the "BBAIRS Terms") and the British Bankers Association London Interbank Forward Rate Agreements Recommended Terms and Conditions (the "FRABBA Terms") (collectively, the "Standard Terms"), with respect to any swap agreements or forward rate agreements, respectively, between Party A and Party B that are entered into and confirmed subject to or as per such terms (each, a "Standard Terms Transaction"). Notwithstanding any provision of Section 1(b) of this Agreement that may be to the contrary each confirmation (as defined or described in the relevant Standard Terms) which formed or forms a part of, or was or is stated to be governed by the Standard Terms, whether entered into heretofore or hereafter shall constitute a Confirmation hereunder and each Standard Terms Transaction evidenced by any such confirmation will remain in full force and effect and be governed hereby and by the 1991 ISDA Definitions (as published by the International Swaps and Derivatives Association, Inc.) (the "1991 Definitions"). However, nothing in the Agreement or the 1991 Definitions shall be deemed to modify the calculation of the time or amount of payment due with respect to a Standard Terms Transaction; provided, however, that in all cases the provisions of Sections 5 and 6 of this Agreement shall be applicable to each Standard Terms Transaction notwithstanding that those Sections may modify the calculation of the time or amount of any payment due with respect to such Standard Terms Transaction. Notwithstanding the Standard Terms, each Standard Terms Transaction will be governed by the governing law of the Agreement (without reference to choice of law doctrine).</w:t>
      </w:r>
      <w:r>
        <w:rPr>
          <w:b/>
        </w:rPr>
        <w:t>(a)</w:t>
      </w:r>
      <w:r>
        <w:rPr/>
        <w:tab/>
      </w:r>
      <w:r>
        <w:rPr>
          <w:b/>
        </w:rPr>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Heading1"/>
        <w:widowControl/>
        <w:rPr>
          <w:b/>
        </w:rPr>
      </w:pPr>
      <w:r>
        <w:rPr>
          <w:b/>
        </w:rPr>
      </w:r>
    </w:p>
    <w:p>
      <w:pPr>
        <w:pStyle w:val="Heading1"/>
        <w:widowControl/>
        <w:tabs>
          <w:tab w:val="clear" w:pos="360"/>
          <w:tab w:val="left" w:pos="720" w:leader="none"/>
        </w:tabs>
        <w:rPr/>
      </w:pPr>
      <w:r>
        <w:rPr>
          <w:b/>
        </w:rPr>
        <w:t>(b)</w:t>
      </w:r>
      <w:r>
        <w:rPr/>
        <w:tab/>
      </w:r>
      <w:r>
        <w:rPr>
          <w:b/>
        </w:rPr>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rPr>
          <w:b/>
        </w:rPr>
      </w:pPr>
      <w:r>
        <w:rPr>
          <w:b/>
        </w:rPr>
      </w:r>
    </w:p>
    <w:p>
      <w:pPr>
        <w:pStyle w:val="Heading1"/>
        <w:widowControl/>
        <w:tabs>
          <w:tab w:val="clear" w:pos="360"/>
          <w:tab w:val="left" w:pos="720" w:leader="none"/>
        </w:tabs>
        <w:rPr/>
      </w:pPr>
      <w:r>
        <w:rPr>
          <w:b/>
        </w:rPr>
        <w:t>(c)</w:t>
      </w:r>
      <w:r>
        <w:rPr/>
        <w:tab/>
      </w:r>
      <w:r>
        <w:rPr>
          <w:b/>
        </w:rPr>
        <w:t>Section 7.4(c)(viii) of the Commodity Definitions is hereby amended by the addition of the following at the end thereof:</w:t>
      </w:r>
    </w:p>
    <w:p>
      <w:pPr>
        <w:pStyle w:val="Normal"/>
        <w:widowControl/>
        <w:rPr>
          <w:b/>
        </w:rPr>
      </w:pPr>
      <w:r>
        <w:rPr>
          <w:b/>
        </w:rPr>
      </w:r>
    </w:p>
    <w:p>
      <w:pPr>
        <w:pStyle w:val="Normal"/>
        <w:widowControl/>
        <w:ind w:start="720" w:end="0"/>
        <w:rPr/>
      </w:pPr>
      <w:r>
        <w:rPr>
          <w:b/>
        </w:rPr>
        <w:t>“</w:t>
      </w:r>
      <w:r>
        <w:rPr>
          <w:b/>
          <w:sz w:val="24"/>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start="720" w:end="0"/>
        <w:rPr>
          <w:b/>
          <w:sz w:val="24"/>
        </w:rPr>
      </w:pPr>
      <w:r>
        <w:rPr>
          <w:b/>
          <w:sz w:val="24"/>
        </w:rPr>
      </w:r>
    </w:p>
    <w:p>
      <w:pPr>
        <w:pStyle w:val="Heading1"/>
        <w:widowControl/>
        <w:tabs>
          <w:tab w:val="clear" w:pos="360"/>
          <w:tab w:val="left" w:pos="720" w:leader="none"/>
        </w:tabs>
        <w:rPr/>
      </w:pPr>
      <w:r>
        <w:rPr>
          <w:b/>
        </w:rPr>
        <w:t>(d)</w:t>
      </w:r>
      <w:r>
        <w:rPr/>
        <w:tab/>
      </w:r>
      <w:r>
        <w:rPr>
          <w:b/>
        </w:rPr>
        <w:t>Section 7.5(e) of the Commodity Definitions is hereby deleted.</w:t>
      </w:r>
    </w:p>
    <w:p>
      <w:pPr>
        <w:pStyle w:val="Normal"/>
        <w:widowControl/>
        <w:rPr>
          <w:b/>
        </w:rPr>
      </w:pPr>
      <w:r>
        <w:rPr>
          <w:b/>
        </w:rPr>
      </w:r>
    </w:p>
    <w:p>
      <w:pPr>
        <w:pStyle w:val="Heading1"/>
        <w:widowControl/>
        <w:tabs>
          <w:tab w:val="clear" w:pos="360"/>
          <w:tab w:val="left" w:pos="720" w:leader="none"/>
        </w:tabs>
        <w:rPr/>
      </w:pPr>
      <w:r>
        <w:rPr>
          <w:b/>
        </w:rPr>
        <w:t>(e)</w:t>
      </w:r>
      <w:r>
        <w:rPr/>
        <w:tab/>
      </w:r>
      <w:r>
        <w:rPr>
          <w:b/>
        </w:rPr>
        <w:t>“Additional Market Disruption Events” shall apply only if so specified in the relevant Confirmation.</w:t>
      </w:r>
    </w:p>
    <w:p>
      <w:pPr>
        <w:pStyle w:val="Normal"/>
        <w:widowControl/>
        <w:rPr>
          <w:b/>
        </w:rPr>
      </w:pPr>
      <w:r>
        <w:rPr>
          <w:b/>
        </w:rPr>
      </w:r>
    </w:p>
    <w:p>
      <w:pPr>
        <w:pStyle w:val="Heading1"/>
        <w:widowControl/>
        <w:tabs>
          <w:tab w:val="clear" w:pos="360"/>
          <w:tab w:val="left" w:pos="720" w:leader="none"/>
        </w:tabs>
        <w:rPr/>
      </w:pPr>
      <w:r>
        <w:rPr>
          <w:b/>
        </w:rPr>
        <w:t>(f)</w:t>
      </w:r>
      <w:r>
        <w:rPr/>
        <w:tab/>
      </w:r>
      <w:r>
        <w:rPr>
          <w:b/>
        </w:rPr>
        <w:t>The following “Disruption Fallbacks” specified in Section 7.5(c) of the Commodity Definitions shall apply, in the following order, except as otherwise specified in the relevant Confirmation:</w:t>
      </w:r>
    </w:p>
    <w:p>
      <w:pPr>
        <w:pStyle w:val="Normal"/>
        <w:widowControl/>
        <w:rPr>
          <w:b/>
          <w:sz w:val="24"/>
        </w:rPr>
      </w:pPr>
      <w:r>
        <w:rPr>
          <w:b/>
          <w:sz w:val="24"/>
        </w:rPr>
      </w:r>
    </w:p>
    <w:p>
      <w:pPr>
        <w:pStyle w:val="Normal"/>
        <w:widowControl/>
        <w:ind w:hanging="720" w:start="1440" w:end="0"/>
        <w:rPr/>
      </w:pPr>
      <w:r>
        <w:rPr>
          <w:b/>
          <w:sz w:val="24"/>
        </w:rPr>
        <w:t>(i)</w:t>
      </w:r>
      <w:r>
        <w:rPr>
          <w:sz w:val="24"/>
        </w:rPr>
        <w:tab/>
      </w:r>
      <w:r>
        <w:rPr>
          <w:b/>
          <w:sz w:val="24"/>
        </w:rPr>
        <w:t>“Postponement”, with three (3) Commodity Business Days as the Maximum Days of Disruption:</w:t>
      </w:r>
    </w:p>
    <w:p>
      <w:pPr>
        <w:pStyle w:val="Normal"/>
        <w:widowControl/>
        <w:ind w:hanging="720" w:start="1440" w:end="0"/>
        <w:rPr>
          <w:b/>
          <w:sz w:val="24"/>
        </w:rPr>
      </w:pPr>
      <w:r>
        <w:rPr>
          <w:b/>
          <w:sz w:val="24"/>
        </w:rPr>
      </w:r>
    </w:p>
    <w:p>
      <w:pPr>
        <w:pStyle w:val="Normal"/>
        <w:widowControl/>
        <w:ind w:hanging="720" w:start="1440" w:end="0"/>
        <w:rPr/>
      </w:pPr>
      <w:r>
        <w:rPr>
          <w:b/>
          <w:sz w:val="24"/>
        </w:rPr>
        <w:t>(ii)</w:t>
      </w:r>
      <w:r>
        <w:rPr>
          <w:sz w:val="24"/>
        </w:rPr>
        <w:tab/>
      </w:r>
      <w:r>
        <w:rPr>
          <w:b/>
          <w:sz w:val="24"/>
        </w:rPr>
        <w:t>“Fallback Reference Price” (if the relevant parties have specified an alternate Commodity Reference Price in the Confirmation):</w:t>
      </w:r>
    </w:p>
    <w:p>
      <w:pPr>
        <w:pStyle w:val="Normal"/>
        <w:widowControl/>
        <w:ind w:hanging="720" w:start="1440" w:end="0"/>
        <w:rPr>
          <w:b/>
          <w:sz w:val="24"/>
        </w:rPr>
      </w:pPr>
      <w:r>
        <w:rPr>
          <w:b/>
          <w:sz w:val="24"/>
        </w:rPr>
      </w:r>
    </w:p>
    <w:p>
      <w:pPr>
        <w:pStyle w:val="Normal"/>
        <w:widowControl/>
        <w:ind w:hanging="720" w:start="1440" w:end="0"/>
        <w:rPr/>
      </w:pPr>
      <w:r>
        <w:rPr>
          <w:b/>
          <w:sz w:val="24"/>
        </w:rPr>
        <w:t>(iii)</w:t>
      </w:r>
      <w:r>
        <w:rPr>
          <w:sz w:val="24"/>
        </w:rPr>
        <w:tab/>
      </w:r>
      <w:r>
        <w:rPr>
          <w:b/>
          <w:sz w:val="24"/>
        </w:rPr>
        <w:t>“Negotiated Fallback” (provided that the reference in Section 7.5(c)(ii) to “fifth Business Day” shall be amended to be “twelfth Business Day”); and</w:t>
      </w:r>
    </w:p>
    <w:p>
      <w:pPr>
        <w:pStyle w:val="Normal"/>
        <w:widowControl/>
        <w:ind w:hanging="720" w:start="1440" w:end="0"/>
        <w:rPr>
          <w:b/>
          <w:sz w:val="24"/>
        </w:rPr>
      </w:pPr>
      <w:r>
        <w:rPr>
          <w:b/>
          <w:sz w:val="24"/>
        </w:rPr>
      </w:r>
    </w:p>
    <w:p>
      <w:pPr>
        <w:pStyle w:val="Normal"/>
        <w:widowControl/>
        <w:ind w:hanging="720" w:start="1440" w:end="0"/>
        <w:rPr/>
      </w:pPr>
      <w:r>
        <w:rPr>
          <w:b/>
          <w:sz w:val="24"/>
        </w:rPr>
        <w:t>(iv)</w:t>
      </w:r>
      <w:r>
        <w:rPr>
          <w:sz w:val="24"/>
        </w:rPr>
        <w:tab/>
      </w:r>
      <w:r>
        <w:rPr>
          <w:b/>
          <w:sz w:val="24"/>
        </w:rPr>
        <w:t>The Relevant Price will be determined and calculated as set forth in the definition of “Commodity-Reference Dealers”; however, notwithstanding any reference to the number of Specified Prices in such definition,  Party B shall obtain in good faith quotations from two (2) leading dealers in the relevant market and the price for that Pricing Date will be the arithmetic mean of the Specified Prices.</w:t>
      </w:r>
    </w:p>
    <w:p>
      <w:pPr>
        <w:pStyle w:val="Normal"/>
        <w:widowControl/>
        <w:ind w:hanging="720" w:start="1440" w:end="0"/>
        <w:rPr>
          <w:b/>
          <w:sz w:val="24"/>
        </w:rPr>
      </w:pPr>
      <w:r>
        <w:rPr>
          <w:b/>
          <w:sz w:val="24"/>
        </w:rPr>
      </w:r>
    </w:p>
    <w:p>
      <w:pPr>
        <w:pStyle w:val="Heading1"/>
        <w:widowControl/>
        <w:tabs>
          <w:tab w:val="clear" w:pos="360"/>
          <w:tab w:val="left" w:pos="720" w:leader="none"/>
        </w:tabs>
        <w:rPr/>
      </w:pPr>
      <w:r>
        <w:rPr>
          <w:b/>
        </w:rPr>
        <w:t>(g)</w:t>
      </w:r>
      <w:r>
        <w:rPr/>
        <w:tab/>
      </w:r>
      <w:r>
        <w:rPr>
          <w:b/>
        </w:rPr>
        <w:t>For purposes of any Transaction in which paper of pulp is the relevant Commodity, the phrase “within 30 calendar days“ in line 5 of Section 7.3 of the commodity Definitions shall be replaced by the phrase “within 40 calendar days.”</w:t>
      </w:r>
    </w:p>
    <w:p>
      <w:pPr>
        <w:pStyle w:val="Heading1"/>
        <w:widowControl/>
        <w:rPr>
          <w:b/>
        </w:rPr>
      </w:pPr>
      <w:r>
        <w:rPr>
          <w:b/>
        </w:rPr>
      </w:r>
    </w:p>
    <w:p>
      <w:pPr>
        <w:pStyle w:val="Heading1"/>
        <w:widowControl/>
        <w:tabs>
          <w:tab w:val="clear" w:pos="360"/>
          <w:tab w:val="left" w:pos="720" w:leader="none"/>
        </w:tabs>
        <w:rPr/>
      </w:pPr>
      <w:r>
        <w:rPr>
          <w:b/>
        </w:rPr>
        <w:t>(h)</w:t>
      </w:r>
      <w:r>
        <w:rPr/>
        <w:tab/>
      </w:r>
      <w:r>
        <w:rPr>
          <w:b/>
        </w:rPr>
        <w:t>For purposes of any Transaction in which the relevant Commodity is traded in a market that is less liquid than other OTC derivatives markets, Party A recognizes that (i) such market is less liquid than other OTC derivates markets, (ii) it may be more difficult for it to obtain quotations form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w:t>
      </w:r>
    </w:p>
    <w:p>
      <w:pPr>
        <w:pStyle w:val="Normal"/>
        <w:widowControl/>
        <w:rPr>
          <w:sz w:val="24"/>
        </w:rPr>
      </w:pPr>
      <w:r>
        <w:rPr>
          <w:sz w:val="24"/>
        </w:rPr>
      </w:r>
      <w:r>
        <w:br w:type="page"/>
      </w:r>
    </w:p>
    <w:p>
      <w:pPr>
        <w:pStyle w:val="Normal"/>
        <w:widowControl/>
        <w:rPr>
          <w:sz w:val="24"/>
        </w:rPr>
      </w:pPr>
      <w:r>
        <w:rPr>
          <w:sz w:val="24"/>
        </w:rPr>
        <w:tab/>
        <w:t>IN WITNESS WHEREOF, the parties have executed and delivered this document as of the date specified on the first page hereof.</w:t>
      </w:r>
    </w:p>
    <w:p>
      <w:pPr>
        <w:pStyle w:val="Normal"/>
        <w:widowControl/>
        <w:rPr>
          <w:sz w:val="24"/>
        </w:rPr>
      </w:pPr>
      <w:r>
        <w:rPr>
          <w:sz w:val="24"/>
        </w:rPr>
      </w:r>
    </w:p>
    <w:p>
      <w:pPr>
        <w:pStyle w:val="Normal"/>
        <w:widowControl/>
        <w:ind w:firstLine="720" w:start="2880" w:end="0"/>
        <w:rPr>
          <w:sz w:val="24"/>
        </w:rPr>
      </w:pPr>
      <w:r>
        <w:rPr>
          <w:sz w:val="24"/>
        </w:rPr>
        <w:t>PRESIDENT AND FELLOWS OF</w:t>
      </w:r>
    </w:p>
    <w:p>
      <w:pPr>
        <w:pStyle w:val="Normal"/>
        <w:widowControl/>
        <w:ind w:firstLine="720" w:start="2880" w:end="0"/>
        <w:rPr>
          <w:sz w:val="24"/>
        </w:rPr>
      </w:pPr>
      <w:r>
        <w:rPr>
          <w:sz w:val="24"/>
        </w:rPr>
        <w:t>HARVARD COLLEGE</w:t>
      </w:r>
    </w:p>
    <w:p>
      <w:pPr>
        <w:pStyle w:val="Normal"/>
        <w:widowControl/>
        <w:rPr>
          <w:sz w:val="24"/>
        </w:rPr>
      </w:pPr>
      <w:r>
        <w:rPr>
          <w:sz w:val="24"/>
        </w:rPr>
      </w:r>
    </w:p>
    <w:p>
      <w:pPr>
        <w:pStyle w:val="Normal"/>
        <w:widowControl/>
        <w:rPr>
          <w:sz w:val="24"/>
        </w:rPr>
      </w:pPr>
      <w:r>
        <w:rPr>
          <w:sz w:val="24"/>
        </w:rPr>
        <w:tab/>
        <w:tab/>
        <w:tab/>
        <w:tab/>
        <w:tab/>
        <w:t>By Harvard Management Company, Inc.,</w:t>
      </w:r>
    </w:p>
    <w:p>
      <w:pPr>
        <w:pStyle w:val="Normal"/>
        <w:widowControl/>
        <w:rPr>
          <w:sz w:val="24"/>
        </w:rPr>
      </w:pPr>
      <w:r>
        <w:rPr>
          <w:sz w:val="24"/>
        </w:rPr>
        <w:tab/>
        <w:tab/>
        <w:tab/>
        <w:tab/>
        <w:tab/>
        <w:t xml:space="preserve">   pursuant to delegated authority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ab/>
        <w:tab/>
        <w:tab/>
        <w:tab/>
        <w:t xml:space="preserve">   By_______________________________</w:t>
      </w:r>
    </w:p>
    <w:p>
      <w:pPr>
        <w:pStyle w:val="Normal"/>
        <w:widowControl/>
        <w:rPr>
          <w:sz w:val="24"/>
        </w:rPr>
      </w:pPr>
      <w:r>
        <w:rPr>
          <w:sz w:val="24"/>
        </w:rPr>
        <w:tab/>
        <w:tab/>
        <w:tab/>
        <w:tab/>
        <w:tab/>
        <w:t xml:space="preserve">       Authorized Signatory</w:t>
      </w:r>
    </w:p>
    <w:p>
      <w:pPr>
        <w:pStyle w:val="Normal"/>
        <w:widowControl/>
        <w:rPr>
          <w:sz w:val="24"/>
        </w:rPr>
      </w:pPr>
      <w:r>
        <w:rPr>
          <w:sz w:val="24"/>
        </w:rPr>
        <w:tab/>
        <w:tab/>
        <w:tab/>
        <w:tab/>
        <w:tab/>
        <w:t xml:space="preserve"> </w:t>
      </w:r>
    </w:p>
    <w:p>
      <w:pPr>
        <w:pStyle w:val="Normal"/>
        <w:widowControl/>
        <w:rPr>
          <w:sz w:val="24"/>
        </w:rPr>
      </w:pPr>
      <w:r>
        <w:rPr>
          <w:sz w:val="24"/>
        </w:rPr>
      </w:r>
    </w:p>
    <w:p>
      <w:pPr>
        <w:pStyle w:val="Normal"/>
        <w:widowControl/>
        <w:rPr>
          <w:sz w:val="24"/>
        </w:rPr>
      </w:pPr>
      <w:r>
        <w:rPr>
          <w:sz w:val="24"/>
        </w:rPr>
        <w:tab/>
        <w:tab/>
        <w:tab/>
        <w:tab/>
        <w:tab/>
        <w:t xml:space="preserve">   By_______________________________</w:t>
      </w:r>
    </w:p>
    <w:p>
      <w:pPr>
        <w:pStyle w:val="Normal"/>
        <w:widowControl/>
        <w:rPr>
          <w:sz w:val="24"/>
        </w:rPr>
      </w:pPr>
      <w:r>
        <w:rPr>
          <w:sz w:val="24"/>
        </w:rPr>
        <w:tab/>
        <w:tab/>
        <w:tab/>
        <w:tab/>
        <w:tab/>
        <w:t xml:space="preserve">       Authorized Signatory</w:t>
      </w:r>
    </w:p>
    <w:p>
      <w:pPr>
        <w:pStyle w:val="Normal"/>
        <w:widowControl/>
        <w:rPr>
          <w:sz w:val="24"/>
        </w:rPr>
      </w:pPr>
      <w:r>
        <w:rPr>
          <w:sz w:val="24"/>
        </w:rPr>
        <w:tab/>
        <w:tab/>
        <w:tab/>
        <w:tab/>
        <w:tab/>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ab/>
        <w:tab/>
        <w:tab/>
        <w:tab/>
        <w:t xml:space="preserve">ENRON NORTH AMERICA </w:t>
      </w:r>
      <w:r>
        <w:rPr>
          <w:strike/>
          <w:sz w:val="24"/>
        </w:rPr>
        <w:t>CORPORATION</w:t>
      </w:r>
      <w:r>
        <w:rPr>
          <w:sz w:val="24"/>
        </w:rPr>
        <w:t xml:space="preserve"> </w:t>
      </w:r>
      <w:r>
        <w:rPr>
          <w:b/>
          <w:sz w:val="24"/>
        </w:rPr>
        <w:t>CORP.</w:t>
      </w:r>
    </w:p>
    <w:p>
      <w:pPr>
        <w:pStyle w:val="Normal"/>
        <w:widowControl/>
        <w:rPr>
          <w:sz w:val="24"/>
        </w:rPr>
      </w:pPr>
      <w:r>
        <w:rPr>
          <w:sz w:val="24"/>
        </w:rPr>
        <w:tab/>
        <w:tab/>
        <w:tab/>
        <w:tab/>
      </w:r>
    </w:p>
    <w:p>
      <w:pPr>
        <w:pStyle w:val="Normal"/>
        <w:widowControl/>
        <w:rPr>
          <w:sz w:val="24"/>
        </w:rPr>
      </w:pPr>
      <w:r>
        <w:rPr>
          <w:sz w:val="24"/>
        </w:rPr>
      </w:r>
    </w:p>
    <w:p>
      <w:pPr>
        <w:pStyle w:val="Normal"/>
        <w:widowControl/>
        <w:rPr>
          <w:sz w:val="24"/>
        </w:rPr>
      </w:pPr>
      <w:r>
        <w:rPr>
          <w:sz w:val="24"/>
        </w:rPr>
        <w:tab/>
        <w:tab/>
        <w:tab/>
        <w:tab/>
        <w:tab/>
        <w:t>By_____________________________</w:t>
      </w:r>
    </w:p>
    <w:p>
      <w:pPr>
        <w:pStyle w:val="Normal"/>
        <w:widowControl/>
        <w:rPr>
          <w:sz w:val="24"/>
        </w:rPr>
      </w:pPr>
      <w:r>
        <w:rPr>
          <w:sz w:val="24"/>
        </w:rPr>
        <w:tab/>
        <w:tab/>
        <w:tab/>
        <w:tab/>
        <w:tab/>
        <w:t xml:space="preserve">    Name:</w:t>
      </w:r>
    </w:p>
    <w:p>
      <w:pPr>
        <w:pStyle w:val="Normal"/>
        <w:widowControl/>
        <w:rPr>
          <w:sz w:val="24"/>
        </w:rPr>
      </w:pPr>
      <w:r>
        <w:rPr>
          <w:sz w:val="24"/>
        </w:rPr>
        <w:tab/>
        <w:tab/>
        <w:tab/>
        <w:tab/>
        <w:tab/>
        <w:t xml:space="preserve">    Title:</w:t>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6"/>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25</w:t>
    </w:r>
    <w:r>
      <w:rPr>
        <w:rStyle w:val="PageNumber"/>
        <w:sz w:val="24"/>
      </w:rPr>
      <w:fldChar w:fldCharType="end"/>
    </w:r>
    <w:r>
      <w:rPr>
        <w:rStyle w:val="PageNumber"/>
        <w:sz w:val="24"/>
      </w:rPr>
      <w:t>-</w:t>
    </w:r>
  </w:p>
  <w:p>
    <w:pPr>
      <w:pStyle w:val="Footer"/>
      <w:widowControl/>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81005.DOC</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left" w:pos="360" w:leader="none"/>
        <w:tab w:val="left" w:pos="720" w:leader="none"/>
      </w:tabs>
      <w:ind w:hanging="72" w:start="72" w:end="0"/>
      <w:outlineLvl w:val="0"/>
    </w:pPr>
    <w:rPr>
      <w:kern w:val="2"/>
      <w:sz w:val="24"/>
    </w:rPr>
  </w:style>
  <w:style w:type="paragraph" w:styleId="Heading2">
    <w:name w:val="heading 2"/>
    <w:basedOn w:val="Normal"/>
    <w:next w:val="Normal"/>
    <w:qFormat/>
    <w:pPr>
      <w:keepNext w:val="true"/>
      <w:numPr>
        <w:ilvl w:val="1"/>
        <w:numId w:val="1"/>
      </w:numPr>
      <w:tabs>
        <w:tab w:val="clear" w:pos="720"/>
        <w:tab w:val="left" w:pos="1440" w:leader="none"/>
      </w:tabs>
      <w:ind w:hanging="0" w:start="720" w:end="0"/>
      <w:outlineLvl w:val="1"/>
    </w:pPr>
    <w:rPr>
      <w:sz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sz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cs="Arial"/>
      <w:sz w:val="24"/>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cs="Arial"/>
      <w:i/>
      <w:sz w:val="24"/>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cs="Arial"/>
      <w:b/>
      <w:i/>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2160" w:leader="none"/>
      </w:tabs>
      <w:ind w:hanging="720" w:start="2160" w:end="0"/>
    </w:pPr>
    <w:rPr>
      <w:sz w:val="24"/>
    </w:rPr>
  </w:style>
  <w:style w:type="paragraph" w:styleId="BodyTextIndent2">
    <w:name w:val="Body Text Indent 2"/>
    <w:basedOn w:val="Normal"/>
    <w:qFormat/>
    <w:pPr>
      <w:tabs>
        <w:tab w:val="clear" w:pos="720"/>
        <w:tab w:val="left" w:pos="1440" w:leader="none"/>
      </w:tabs>
      <w:ind w:hanging="0" w:start="2160" w:end="0"/>
    </w:pPr>
    <w:rPr>
      <w:sz w:val="24"/>
    </w:rPr>
  </w:style>
  <w:style w:type="paragraph" w:styleId="BodyTextIndent3">
    <w:name w:val="Body Text Indent 3"/>
    <w:basedOn w:val="Normal"/>
    <w:qFormat/>
    <w:pPr>
      <w:ind w:hanging="0" w:start="1440" w:end="0"/>
    </w:pPr>
    <w:rPr>
      <w:sz w:val="24"/>
    </w:rPr>
  </w:style>
  <w:style w:type="paragraph" w:styleId="PlainText">
    <w:name w:val="Plain Text"/>
    <w:basedOn w:val="Normal"/>
    <w:qFormat/>
    <w:pPr/>
    <w:rPr>
      <w:rFonts w:ascii="Courier New" w:hAnsi="Courier New" w:cs="Courier New"/>
      <w:sz w:val="24"/>
    </w:rPr>
  </w:style>
  <w:style w:type="paragraph" w:styleId="PartNumbered">
    <w:name w:val="Part Numbered"/>
    <w:basedOn w:val="Normal"/>
    <w:next w:val="Normal"/>
    <w:qFormat/>
    <w:pPr>
      <w:ind w:firstLine="4320" w:start="0" w:end="0"/>
    </w:pPr>
    <w:rPr>
      <w:sz w:val="24"/>
    </w:rPr>
  </w:style>
  <w:style w:type="paragraph" w:styleId="BodyTextFirstIndent2">
    <w:name w:val="Body Text First Indent 2"/>
    <w:basedOn w:val="BodyTextIndent"/>
    <w:qFormat/>
    <w:pPr>
      <w:tabs>
        <w:tab w:val="clear" w:pos="2160"/>
      </w:tabs>
      <w:spacing w:before="0" w:after="120"/>
      <w:ind w:firstLine="210" w:start="360" w:end="0"/>
    </w:pPr>
    <w:rPr/>
  </w:style>
  <w:style w:type="paragraph" w:styleId="Level1">
    <w:name w:val="Level1"/>
    <w:basedOn w:val="Normal"/>
    <w:qFormat/>
    <w:pPr>
      <w:ind w:firstLine="288" w:start="0" w:end="0"/>
      <w:jc w:val="center"/>
    </w:pPr>
    <w:rPr>
      <w:sz w:val="24"/>
    </w:rPr>
  </w:style>
  <w:style w:type="paragraph" w:styleId="Style21">
    <w:name w:val="Style2"/>
    <w:basedOn w:val="Normal"/>
    <w:qFormat/>
    <w:pPr>
      <w:tabs>
        <w:tab w:val="clear" w:pos="720"/>
        <w:tab w:val="left" w:pos="360" w:leader="none"/>
      </w:tabs>
    </w:pPr>
    <w:rPr>
      <w:sz w:val="24"/>
    </w:rPr>
  </w:style>
  <w:style w:type="paragraph" w:styleId="Style31">
    <w:name w:val="Style3"/>
    <w:basedOn w:val="Normal"/>
    <w:qFormat/>
    <w:pPr>
      <w:tabs>
        <w:tab w:val="clear" w:pos="720"/>
        <w:tab w:val="left" w:pos="1440" w:leader="none"/>
      </w:tabs>
      <w:ind w:hanging="0" w:start="720" w:end="0"/>
    </w:pPr>
    <w:rPr>
      <w:sz w:val="24"/>
    </w:rPr>
  </w:style>
  <w:style w:type="paragraph" w:styleId="Style41">
    <w:name w:val="Style4"/>
    <w:basedOn w:val="Normal"/>
    <w:qFormat/>
    <w:pPr>
      <w:ind w:hanging="0" w:start="144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2000-08-10T20:48:00Z</dcterms:created>
  <dc:creator>Mmortali</dc:creator>
  <dc:description/>
  <dc:language>en-CA</dc:language>
  <cp:lastModifiedBy>Tdiggins</cp:lastModifiedBy>
  <cp:lastPrinted>2000-07-26T22:44:00Z</cp:lastPrinted>
  <dcterms:modified xsi:type="dcterms:W3CDTF">2000-08-10T20:48:00Z</dcterms:modified>
  <cp:revision>2</cp:revision>
  <dc:subject/>
  <dc:title>SCHEDULE</dc:title>
</cp:coreProperties>
</file>