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09/10/2001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LOUISVILLE GAS &amp; ELECTRIC COMPANY, a corporation organized under the law of the State of Kentucky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$5,000,000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atLeast" w:line="240"/>
        <w:ind w:firstLine="720" w:end="0"/>
        <w:jc w:val="both"/>
        <w:rPr>
          <w:color w:val="FF0000"/>
          <w:sz w:val="22"/>
          <w:szCs w:val="22"/>
        </w:rPr>
      </w:pPr>
      <w:r>
        <w:rPr>
          <w:color w:val="FF0000"/>
          <w:sz w:val="22"/>
          <w:szCs w:val="22"/>
        </w:rPr>
      </w:r>
    </w:p>
    <w:p>
      <w:pPr>
        <w:pStyle w:val="Normal"/>
        <w:spacing w:lineRule="atLeast" w:line="240"/>
        <w:ind w:firstLine="720" w:end="0"/>
        <w:jc w:val="both"/>
        <w:rPr/>
      </w:pPr>
      <w:r>
        <w:rPr>
          <w:sz w:val="22"/>
          <w:szCs w:val="22"/>
        </w:rPr>
        <w:t>(h)</w:t>
        <w:tab/>
      </w:r>
      <w:r>
        <w:rPr>
          <w:b/>
          <w:bCs/>
          <w:sz w:val="22"/>
          <w:szCs w:val="22"/>
        </w:rPr>
        <w:t>Additional Termination Event</w:t>
      </w:r>
      <w:r>
        <w:rPr>
          <w:sz w:val="22"/>
          <w:szCs w:val="22"/>
        </w:rPr>
        <w:t xml:space="preserve"> will apply.  The following will each constitute an Additional Termination Event with respect to Party B:</w:t>
      </w:r>
    </w:p>
    <w:p>
      <w:pPr>
        <w:pStyle w:val="Normal"/>
        <w:spacing w:lineRule="exact" w:line="240" w:before="240" w:after="0"/>
        <w:ind w:start="720" w:end="0"/>
        <w:jc w:val="both"/>
        <w:rPr>
          <w:color w:val="FF0000"/>
          <w:sz w:val="22"/>
          <w:szCs w:val="22"/>
        </w:rPr>
      </w:pPr>
      <w:r>
        <w:rPr>
          <w:sz w:val="22"/>
          <w:szCs w:val="22"/>
        </w:rPr>
        <w:t>The filing of a motion, petition, pleading, application or other similar action, including the assertion of a position, in any proceeding or action by Party B, a commission, regulatory agency or other entity having jurisdiction over Party B, in respect of Party B, or in respect of any other similarly situated entity organized under the laws of the state(s) in which Party B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Party B.</w:t>
      </w:r>
    </w:p>
    <w:p>
      <w:pPr>
        <w:pStyle w:val="Normal"/>
        <w:spacing w:lineRule="exact" w:line="240" w:before="240" w:after="0"/>
        <w:ind w:firstLine="720" w:end="0"/>
        <w:jc w:val="both"/>
        <w:rPr/>
      </w:pPr>
      <w:r>
        <w:rPr>
          <w:sz w:val="22"/>
          <w:szCs w:val="22"/>
        </w:rPr>
        <w:t>(i)</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corporation organized under the laws of the State of Kentucky.</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Normal"/>
              <w:tabs>
                <w:tab w:val="clear" w:pos="720"/>
                <w:tab w:val="left" w:pos="990" w:leader="none"/>
              </w:tabs>
              <w:spacing w:lineRule="exact" w:line="240" w:before="240" w:after="0"/>
              <w:jc w:val="both"/>
              <w:rPr>
                <w:color w:val="000000"/>
                <w:sz w:val="22"/>
                <w:szCs w:val="22"/>
              </w:rPr>
            </w:pPr>
            <w:r>
              <w:rPr>
                <w:sz w:val="22"/>
                <w:szCs w:val="22"/>
              </w:rPr>
              <w:t>United States Internal Revenue Service Form W</w:t>
              <w:noBreakHyphen/>
              <w:t>9</w:t>
            </w:r>
          </w:p>
          <w:p>
            <w:pPr>
              <w:pStyle w:val="Justified"/>
              <w:widowControl/>
              <w:spacing w:lineRule="atLeast" w:line="240" w:before="240" w:after="0"/>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 and as otherwise provided in this Part 3</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Louisville Gas &amp; Electric Company</w:t>
            </w:r>
          </w:p>
          <w:p>
            <w:pPr>
              <w:pStyle w:val="Normal"/>
              <w:keepNext w:val="true"/>
              <w:tabs>
                <w:tab w:val="clear" w:pos="720"/>
                <w:tab w:val="left" w:pos="3762" w:leader="none"/>
                <w:tab w:val="left" w:pos="4230" w:leader="none"/>
                <w:tab w:val="left" w:pos="9360" w:leader="none"/>
              </w:tabs>
              <w:spacing w:lineRule="exact" w:line="240"/>
              <w:jc w:val="both"/>
              <w:rPr/>
            </w:pPr>
            <w:r>
              <w:rPr>
                <w:sz w:val="22"/>
                <w:szCs w:val="22"/>
              </w:rPr>
              <w:t>220 West Main Street, 7</w:t>
            </w:r>
            <w:r>
              <w:rPr>
                <w:sz w:val="22"/>
                <w:szCs w:val="22"/>
                <w:vertAlign w:val="superscript"/>
              </w:rPr>
              <w:t>th</w:t>
            </w:r>
            <w:r>
              <w:rPr>
                <w:sz w:val="22"/>
                <w:szCs w:val="22"/>
              </w:rPr>
              <w:t xml:space="preserve"> Floor</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Louisville, Kentucky  40202</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(n)</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color w:val="000000"/>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r>
        <w:rPr>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szCs w:val="22"/>
              </w:rPr>
            </w:pPr>
            <w:r>
              <w:rPr>
                <w:b/>
                <w:bCs/>
                <w:color w:val="000000"/>
                <w:sz w:val="22"/>
                <w:szCs w:val="22"/>
              </w:rPr>
              <w:t>ENRON NORTH AMERICA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LOUISVILLE GAS &amp; ELECTRIC COMPANY</w:t>
            </w:r>
          </w:p>
          <w:p>
            <w:pPr>
              <w:pStyle w:val="Justified"/>
              <w:keepNext w:val="true"/>
              <w:widowControl/>
              <w:spacing w:lineRule="exact" w:line="240" w:before="0" w:after="0"/>
              <w:rPr>
                <w:rFonts w:ascii="Times New Roman" w:hAnsi="Times New Roman" w:cs="Times New Roman"/>
                <w:sz w:val="22"/>
                <w:szCs w:val="22"/>
              </w:rPr>
            </w:pPr>
            <w:r>
              <w:rPr>
                <w:rFonts w:cs="Times New Roman" w:ascii="Times New Roman" w:hAnsi="Times New Roman"/>
                <w:sz w:val="22"/>
                <w:szCs w:val="22"/>
              </w:rPr>
            </w:r>
          </w:p>
          <w:p>
            <w:pPr>
              <w:pStyle w:val="Normal"/>
              <w:keepNext w:val="true"/>
              <w:spacing w:lineRule="exact" w:line="240"/>
              <w:jc w:val="both"/>
              <w:rPr>
                <w:rFonts w:ascii="Times New Roman" w:hAnsi="Times New Roman" w:cs="Times New Roman"/>
                <w:sz w:val="22"/>
                <w:szCs w:val="22"/>
              </w:rPr>
            </w:pPr>
            <w:r>
              <w:rPr>
                <w:rFonts w:cs="Times New Roman"/>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200_</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LOUISVILLE GAS &amp; ELECTRIC COMPANY, a corporation organized under the law of the State of Kentucky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Heading2"/>
        <w:ind w:hanging="0" w:end="0"/>
        <w:jc w:val="start"/>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$20,000,000 and with respect to Party B, U.S. $5,000,000; provided, however, that the Threshold for a party shall be zero upon the occurrence and during the continuance of a Material Adverse Change or an Event of Default or Potential Event of Default with respect to such party.</w:t>
      </w:r>
    </w:p>
    <w:p>
      <w:pPr>
        <w:pStyle w:val="Normal"/>
        <w:keepNext w:val="true"/>
        <w:ind w:hanging="720" w:start="216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[X]</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start="72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r>
        <w:rPr>
          <w:color w:val="993300"/>
          <w:sz w:val="22"/>
          <w:szCs w:val="22"/>
        </w:rPr>
        <w:t>]</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spacing w:lineRule="exact" w:line="240" w:before="240" w:after="0"/>
        <w:ind w:start="720" w:end="0"/>
        <w:jc w:val="both"/>
        <w:rPr>
          <w:i/>
          <w:i/>
          <w:iCs/>
          <w:sz w:val="22"/>
          <w:szCs w:val="22"/>
        </w:rPr>
      </w:pPr>
      <w:r>
        <w:rPr>
          <w:b/>
          <w:bCs/>
          <w:sz w:val="22"/>
          <w:szCs w:val="22"/>
        </w:rPr>
        <w:t>“</w:t>
      </w:r>
      <w:r>
        <w:rPr>
          <w:b/>
          <w:bCs/>
          <w:sz w:val="22"/>
          <w:szCs w:val="22"/>
        </w:rPr>
        <w:t>Depreciation, Depletion and Amortization Expense”</w:t>
      </w:r>
      <w:r>
        <w:rPr>
          <w:sz w:val="22"/>
          <w:szCs w:val="22"/>
        </w:rPr>
        <w:t xml:space="preserve"> means, with respect to Party B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bCs/>
          <w:i/>
          <w:i/>
          <w:iCs/>
          <w:sz w:val="22"/>
          <w:szCs w:val="22"/>
        </w:rPr>
      </w:pPr>
      <w:r>
        <w:rPr>
          <w:b/>
          <w:bCs/>
          <w:i/>
          <w:iCs/>
          <w:sz w:val="22"/>
          <w:szCs w:val="22"/>
        </w:rPr>
      </w:r>
    </w:p>
    <w:p>
      <w:pPr>
        <w:pStyle w:val="BodyText"/>
        <w:ind w:start="720" w:end="0"/>
        <w:jc w:val="both"/>
        <w:rPr/>
      </w:pPr>
      <w:r>
        <w:rPr>
          <w:b/>
          <w:bCs/>
        </w:rPr>
        <w:t>“</w:t>
      </w:r>
      <w:r>
        <w:rPr>
          <w:b/>
          <w:bCs/>
        </w:rPr>
        <w:t>EBITDA”</w:t>
      </w:r>
      <w:r>
        <w:rPr/>
        <w:t xml:space="preserve"> means, with respect to Party B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exact" w:line="240" w:before="240" w:after="0"/>
        <w:ind w:start="720" w:end="0"/>
        <w:jc w:val="both"/>
        <w:rPr/>
      </w:pPr>
      <w:r>
        <w:rPr>
          <w:b/>
          <w:bCs/>
          <w:sz w:val="22"/>
          <w:szCs w:val="22"/>
        </w:rPr>
        <w:t>“</w:t>
      </w:r>
      <w:r>
        <w:rPr>
          <w:b/>
          <w:bCs/>
          <w:sz w:val="22"/>
          <w:szCs w:val="22"/>
        </w:rPr>
        <w:t>EBITDA Coverage Ratio”</w:t>
      </w:r>
      <w:r>
        <w:rPr>
          <w:sz w:val="22"/>
          <w:szCs w:val="22"/>
        </w:rPr>
        <w:t xml:space="preserve"> means, with respect to any period, the ratio of (i) EBITDA for such period to (ii) the aggregate amount of Interest Expense for such period.</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spacing w:lineRule="atLeast" w:line="240"/>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GAAP”</w:t>
      </w:r>
      <w:r>
        <w:rPr>
          <w:sz w:val="22"/>
          <w:szCs w:val="22"/>
        </w:rPr>
        <w:t xml:space="preserve"> means generally accepted accounting principles that are generally accepted in the country in which the applicable party is organized and on a basis consistent with prior periods.</w:t>
      </w:r>
    </w:p>
    <w:p>
      <w:pPr>
        <w:pStyle w:val="Normal"/>
        <w:spacing w:lineRule="exact" w:line="240" w:before="240" w:after="0"/>
        <w:ind w:start="720" w:end="0"/>
        <w:jc w:val="both"/>
        <w:rPr>
          <w:color w:val="FF0000"/>
          <w:sz w:val="22"/>
          <w:szCs w:val="22"/>
        </w:rPr>
      </w:pPr>
      <w:r>
        <w:rPr>
          <w:b/>
          <w:bCs/>
          <w:sz w:val="22"/>
          <w:szCs w:val="22"/>
        </w:rPr>
        <w:t>“</w:t>
      </w:r>
      <w:r>
        <w:rPr>
          <w:b/>
          <w:bCs/>
          <w:sz w:val="22"/>
          <w:szCs w:val="22"/>
        </w:rPr>
        <w:t>Interest Expense”</w:t>
      </w:r>
      <w:r>
        <w:rPr>
          <w:sz w:val="22"/>
          <w:szCs w:val="22"/>
        </w:rPr>
        <w:t xml:space="preserve"> means, for any period, without duplication, the total consolidated interest expense of Party B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p>
    <w:p>
      <w:pPr>
        <w:pStyle w:val="Normal"/>
        <w:ind w:start="720" w:end="0"/>
        <w:jc w:val="both"/>
        <w:rPr>
          <w:color w:val="FF0000"/>
          <w:sz w:val="22"/>
          <w:szCs w:val="22"/>
        </w:rPr>
      </w:pPr>
      <w:r>
        <w:rPr>
          <w:color w:val="FF0000"/>
          <w:sz w:val="22"/>
          <w:szCs w:val="22"/>
        </w:rPr>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its Credit Support Provider fails to have a Credit Rating from S&amp;P; or (b) with respect to Party B, (i) its Credit Rating is below “BBB-” by S&amp;P or it fails to have a Credit Rating from S&amp;P, or (ii) its EBITDA Coverage Ratio shall be less than 4 to 1.</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Net Income”</w:t>
      </w:r>
      <w:r>
        <w:rPr>
          <w:sz w:val="22"/>
          <w:szCs w:val="22"/>
        </w:rPr>
        <w:t xml:space="preserve"> means consolidated gross revenues of Party B and other proper income credits, less all proper income charges, including taxes on income, all determined in accordance with GAAP.</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Header"/>
        <w:widowControl/>
        <w:tabs>
          <w:tab w:val="clear" w:pos="4320"/>
          <w:tab w:val="clear" w:pos="8640"/>
        </w:tabs>
        <w:spacing w:lineRule="exact" w:line="240"/>
        <w:rPr/>
      </w:pPr>
      <w:r>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008" w:right="1008" w:gutter="0" w:header="720" w:top="776"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Justified"/>
        <w:widowControl/>
        <w:spacing w:lineRule="exact" w:line="48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xml:space="preserve">, 200__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WHEREAS, LOUISVILLE GAS &amp; ELECTRIC COMPANY, a Kentucky corporation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818"/>
        <w:gridCol w:w="3600"/>
        <w:gridCol w:w="1620"/>
        <w:gridCol w:w="3150"/>
      </w:tblGrid>
      <w:tr>
        <w:trPr/>
        <w:tc>
          <w:tcPr>
            <w:tcW w:w="181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60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Louisville Gas &amp; Electric Company</w:t>
            </w:r>
          </w:p>
        </w:tc>
        <w:tc>
          <w:tcPr>
            <w:tcW w:w="1620" w:type="dxa"/>
            <w:tcBorders/>
          </w:tcPr>
          <w:p>
            <w:pPr>
              <w:pStyle w:val="Normal"/>
              <w:keepNext w:val="true"/>
              <w:keepLines/>
              <w:spacing w:lineRule="atLeast" w:line="240"/>
              <w:rPr>
                <w:color w:val="000000"/>
                <w:sz w:val="22"/>
                <w:szCs w:val="22"/>
              </w:rPr>
            </w:pPr>
            <w:r>
              <w:rPr>
                <w:color w:val="000000"/>
                <w:sz w:val="22"/>
                <w:szCs w:val="22"/>
              </w:rPr>
              <w:t>To Guarantor:</w:t>
            </w:r>
          </w:p>
        </w:tc>
        <w:tc>
          <w:tcPr>
            <w:tcW w:w="315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8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600" w:type="dxa"/>
            <w:tcBorders/>
          </w:tcPr>
          <w:p>
            <w:pPr>
              <w:pStyle w:val="Normal"/>
              <w:keepNext w:val="true"/>
              <w:keepLines/>
              <w:tabs>
                <w:tab w:val="clear" w:pos="720"/>
                <w:tab w:val="left" w:pos="3132" w:leader="none"/>
              </w:tabs>
              <w:spacing w:lineRule="atLeast" w:line="240"/>
              <w:rPr/>
            </w:pPr>
            <w:r>
              <w:rPr>
                <w:color w:val="000000"/>
                <w:sz w:val="22"/>
                <w:szCs w:val="22"/>
              </w:rPr>
              <w:t>220 West Main Street, 7</w:t>
            </w:r>
            <w:r>
              <w:rPr>
                <w:color w:val="000000"/>
                <w:sz w:val="22"/>
                <w:szCs w:val="22"/>
                <w:vertAlign w:val="superscript"/>
              </w:rPr>
              <w:t>th</w:t>
            </w:r>
            <w:r>
              <w:rPr>
                <w:color w:val="000000"/>
                <w:sz w:val="22"/>
                <w:szCs w:val="22"/>
              </w:rPr>
              <w:t xml:space="preserve"> Floor</w:t>
            </w:r>
          </w:p>
        </w:tc>
        <w:tc>
          <w:tcPr>
            <w:tcW w:w="162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15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8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60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Louisville, Kentucky  40202</w:t>
            </w:r>
          </w:p>
        </w:tc>
        <w:tc>
          <w:tcPr>
            <w:tcW w:w="162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15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8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60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62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15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8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60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62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15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p>
      <w:pPr>
        <w:pStyle w:val="Normal"/>
        <w:rPr>
          <w:sz w:val="22"/>
          <w:szCs w:val="22"/>
        </w:rPr>
      </w:pPr>
      <w:r>
        <w:rPr>
          <w:sz w:val="22"/>
          <w:szCs w:val="22"/>
        </w:rPr>
      </w:r>
    </w:p>
    <w:sectPr>
      <w:headerReference w:type="default" r:id="rId12"/>
      <w:headerReference w:type="first" r:id="rId13"/>
      <w:footerReference w:type="default" r:id="rId14"/>
      <w:footerReference w:type="first" r:id="rId15"/>
      <w:type w:val="nextPage"/>
      <w:pgSz w:w="12240" w:h="15840"/>
      <w:pgMar w:left="1008" w:right="1008"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/mnt/main-storage/datasets/enron-docs/doc/803__louisville_gas___elec_.doc</w:t>
    </w:r>
    <w:r>
      <w:rPr>
        <w:rStyle w:val="PageNumber"/>
        <w:sz w:val="16"/>
        <w:szCs w:val="16"/>
      </w:rPr>
      <w:fldChar w:fldCharType="end"/>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/mnt/main-storage/datasets/enron-docs/doc/803__louisville_gas___elec_.doc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/mnt/main-storage/datasets/enron-docs/doc/803__louisville_gas___elec_.doc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/mnt/main-storage/datasets/enron-docs/doc/803__louisville_gas___elec_.doc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/mnt/main-storage/datasets/enron-docs/doc/803__louisville_gas___elec_.doc</w:t>
    </w:r>
    <w:r>
      <w:rPr>
        <w:sz w:val="16"/>
        <w:szCs w:val="16"/>
      </w:rPr>
      <w:fldChar w:fldCharType="end"/>
    </w:r>
  </w:p>
  <w:p>
    <w:pPr>
      <w:pStyle w:val="Footer"/>
      <w:rPr>
        <w:sz w:val="16"/>
        <w:szCs w:val="16"/>
      </w:rPr>
    </w:pPr>
    <w:r>
      <w:rPr>
        <w:sz w:val="16"/>
        <w:szCs w:val="16"/>
      </w:rPr>
    </w:r>
  </w:p>
  <w:p>
    <w:pPr>
      <w:pStyle w:val="Footer"/>
      <w:widowControl/>
      <w:jc w:val="center"/>
      <w:rPr/>
    </w:pPr>
    <w:r>
      <w:rPr/>
      <w:t>Exhibit A</w:t>
    </w:r>
  </w:p>
  <w:p>
    <w:pPr>
      <w:pStyle w:val="Footer"/>
      <w:widowControl/>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2001-09-06T12:44:00Z</dcterms:created>
  <dc:creator>mheard</dc:creator>
  <dc:description/>
  <dc:language>en-CA</dc:language>
  <cp:lastModifiedBy>tjones</cp:lastModifiedBy>
  <cp:lastPrinted>2001-09-10T16:43:00Z</cp:lastPrinted>
  <dcterms:modified xsi:type="dcterms:W3CDTF">2001-09-10T19:13:00Z</dcterms:modified>
  <cp:revision>41</cp:revision>
  <dc:subject/>
  <dc:title>ISDA Multicurrency Agreement</dc:title>
</cp:coreProperties>
</file>