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pPr>
      <w:r>
        <w:rPr>
          <w:b/>
          <w:sz w:val="24"/>
        </w:rPr>
        <w:t>Date:</w:t>
        <w:tab/>
      </w:r>
      <w:r>
        <w:rPr>
          <w:sz w:val="24"/>
        </w:rPr>
        <w:tab/>
        <w:t>7</w:t>
      </w:r>
      <w:r>
        <w:rPr>
          <w:sz w:val="24"/>
          <w:vertAlign w:val="superscript"/>
        </w:rPr>
        <w:t>th</w:t>
      </w:r>
      <w:r>
        <w:rPr>
          <w:sz w:val="24"/>
        </w:rPr>
        <w:t xml:space="preserve"> July 2000</w:t>
      </w:r>
    </w:p>
    <w:p>
      <w:pPr>
        <w:pStyle w:val="Normal"/>
        <w:rPr/>
      </w:pPr>
      <w:r>
        <w:rPr>
          <w:b/>
          <w:sz w:val="24"/>
        </w:rPr>
        <w:t>To:</w:t>
        <w:tab/>
        <w:tab/>
      </w:r>
      <w:r>
        <w:rPr>
          <w:sz w:val="24"/>
        </w:rPr>
        <w:t>Distribution</w:t>
      </w:r>
    </w:p>
    <w:p>
      <w:pPr>
        <w:pStyle w:val="Normal"/>
        <w:rPr/>
      </w:pPr>
      <w:r>
        <w:rPr>
          <w:b/>
          <w:sz w:val="24"/>
        </w:rPr>
        <w:t>From:</w:t>
        <w:tab/>
      </w:r>
      <w:r>
        <w:rPr>
          <w:sz w:val="24"/>
        </w:rPr>
        <w:tab/>
        <w:t>Government and Regulatory Affairs - Enron Europe</w:t>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rPr>
          <w:sz w:val="24"/>
        </w:rPr>
      </w:pPr>
      <w:r>
        <w:rPr>
          <w:sz w:val="24"/>
        </w:rPr>
      </w:r>
    </w:p>
    <w:p>
      <w:pPr>
        <w:pStyle w:val="Normal"/>
        <w:rPr/>
      </w:pPr>
      <w:r>
        <w:rPr/>
      </w:r>
    </w:p>
    <w:p>
      <w:pPr>
        <w:pStyle w:val="Normal"/>
        <w:spacing w:lineRule="atLeast" w:line="240"/>
        <w:rPr>
          <w:b/>
          <w:color w:val="000000"/>
          <w:sz w:val="24"/>
          <w:lang w:val="en-AU" w:eastAsia="en-US"/>
        </w:rPr>
      </w:pPr>
      <w:r>
        <w:rPr>
          <w:b/>
          <w:color w:val="000000"/>
          <w:sz w:val="24"/>
          <w:lang w:val="en-AU" w:eastAsia="en-US"/>
        </w:rPr>
        <w:t>UK Gas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Enron responded to Transco's proposals for transportation prices for October 2000.</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Enron will be responding to Transco's proposed modifications to the Entry Capacity regime.  Representations close on July 11th.</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UK Power</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are participating in the industry groups reviewing the trading and metering elements of the Balancing and Settlement Code which was released (on the Ofgem website) on 16 June.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attended the public hearing of the Competition Commission (CC) on 26 June relating to Ofgem’s attempts to introduce a market abuse condition into the licence of generating companies.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Ofgem released a consultation draft of the scheme for implementing NETA on 12 June.  Comments filed on 3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Comments filed with Ofgem on the consultation paper "Connection and use of System Code proposed changes to the National Grid Company’s licence" on 3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Comments are due on Ofgem’s guidelines to the application of the Competition Act 1998 by 7 July.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UK Coal</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will be meeting with the office of the Rail Regulator on Wednesday 12th July.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Denmark/Norway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Eltra has announced that steps will be taken to implement a more effective use-or-lose-it policy until year-end followed by all 1000 MW of Skagerrak capacity being available to Nord Pool and an extra 400 MW being available to the market on the Danish/German border from 1 January.  All this is subject to agreement by the Norwegian parliament.  We are seeking further details.</w:t>
      </w:r>
    </w:p>
    <w:p>
      <w:pPr>
        <w:pStyle w:val="Normal"/>
        <w:spacing w:lineRule="atLeast" w:line="240"/>
        <w:rPr>
          <w:b/>
          <w:color w:val="000000"/>
          <w:sz w:val="24"/>
          <w:lang w:val="en-AU" w:eastAsia="en-US"/>
        </w:rPr>
      </w:pPr>
      <w:r>
        <w:rPr>
          <w:b/>
          <w:color w:val="000000"/>
          <w:sz w:val="24"/>
          <w:lang w:val="en-AU" w:eastAsia="en-US"/>
        </w:rPr>
        <w:t>EES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Continued to develop UK gas transportation curves - using recent Ofgem document on NGC to do so.</w:t>
      </w:r>
      <w:r>
        <w:br w:type="page"/>
      </w:r>
    </w:p>
    <w:p>
      <w:pPr>
        <w:pStyle w:val="Normal"/>
        <w:spacing w:lineRule="atLeast" w:line="240"/>
        <w:rPr>
          <w:b/>
          <w:color w:val="000000"/>
          <w:sz w:val="24"/>
          <w:lang w:val="en-AU" w:eastAsia="en-US"/>
        </w:rPr>
      </w:pPr>
      <w:r>
        <w:rPr>
          <w:b/>
          <w:color w:val="000000"/>
          <w:sz w:val="24"/>
          <w:lang w:val="en-AU" w:eastAsia="en-US"/>
        </w:rPr>
        <w:t>EU</w:t>
      </w:r>
    </w:p>
    <w:p>
      <w:pPr>
        <w:pStyle w:val="Normal"/>
        <w:numPr>
          <w:ilvl w:val="0"/>
          <w:numId w:val="1"/>
        </w:numPr>
        <w:spacing w:lineRule="atLeast" w:line="240" w:before="120" w:after="120"/>
        <w:ind w:hanging="357" w:start="357" w:end="0"/>
        <w:rPr>
          <w:sz w:val="22"/>
        </w:rPr>
      </w:pPr>
      <w:r>
        <w:rPr>
          <w:sz w:val="22"/>
        </w:rPr>
        <w:t>On June 17 we submitted our comments to the Merger Task Force on the anticipated negative impact of the partial take-over of GALP by ENI on the Portugese gas market.</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June 20 we accompanied the delegation of the Energy Services Coalition during their meeting with the Commission officials in Brussels to discuss the question of the inclusion of energy services in the WTO negotiations.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June 27 we spoke at the European Energy Millenium Forum 2000 on the progress towards the completion of the Internal Market in Electricity.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At the EFET Electricity Working Group meeting on June 29 we agreed that three new EFET papers will be finalised and released by August:</w:t>
      </w:r>
    </w:p>
    <w:p>
      <w:pPr>
        <w:pStyle w:val="Normal"/>
        <w:spacing w:lineRule="atLeast" w:line="240" w:before="120" w:after="120"/>
        <w:ind w:start="357" w:end="0"/>
        <w:rPr>
          <w:color w:val="000000"/>
          <w:sz w:val="22"/>
          <w:lang w:val="en-AU" w:eastAsia="en-US"/>
        </w:rPr>
      </w:pPr>
      <w:r>
        <w:rPr>
          <w:color w:val="000000"/>
          <w:sz w:val="22"/>
          <w:lang w:val="en-AU" w:eastAsia="en-US"/>
        </w:rPr>
        <w:t>-  comments on the EC discussion papers on ATC and congestion management;</w:t>
      </w:r>
    </w:p>
    <w:p>
      <w:pPr>
        <w:pStyle w:val="BodyText"/>
        <w:tabs>
          <w:tab w:val="clear" w:pos="0"/>
          <w:tab w:val="clear" w:pos="720"/>
          <w:tab w:val="clear" w:pos="1440"/>
          <w:tab w:val="clear" w:pos="2160"/>
          <w:tab w:val="clear" w:pos="2880"/>
          <w:tab w:val="clear" w:pos="3600"/>
          <w:tab w:val="clear" w:pos="4320"/>
        </w:tabs>
        <w:spacing w:before="120" w:after="120"/>
        <w:ind w:hanging="210" w:start="567" w:end="0"/>
        <w:rPr/>
      </w:pPr>
      <w:r>
        <w:rPr/>
        <w:t>-  paper in anticipation of the Commission’s proposals on accelerating and deepening of liberalisation process in the European electricity and gas markets;</w:t>
      </w:r>
    </w:p>
    <w:p>
      <w:pPr>
        <w:pStyle w:val="Normal"/>
        <w:spacing w:lineRule="atLeast" w:line="240" w:before="120" w:after="120"/>
        <w:ind w:start="357" w:end="0"/>
        <w:rPr>
          <w:color w:val="000000"/>
          <w:sz w:val="22"/>
          <w:lang w:val="en-AU" w:eastAsia="en-US"/>
        </w:rPr>
      </w:pPr>
      <w:r>
        <w:rPr>
          <w:color w:val="000000"/>
          <w:sz w:val="22"/>
          <w:lang w:val="en-AU" w:eastAsia="en-US"/>
        </w:rPr>
        <w:t>-  case-study on the distortions in the Dutch electricity market in early 2000.</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France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Enron hosted Mr. Vincent Thouvenin, Head of the Gas Unit at the Ministry of Economy, Finance and Industry, and Mr. Dominique Bureau, Head of the Council on Economic Analysis (an advisory body to Lionel Jospin) on Tuesday, 4 July, for a tour of the trading floor and of EnronOnline.  This was followed by a discussion on gas liberalisation in France and a general exchange on the development of the "new economy" and its impact on the French energy sector.</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12 July, Enron will meet with the President and the Commissioners of the CRE for a discussion about transmission access and Enron's general views on electricity market access.  There will also be a second meeting to discuss the CRE's work on developing a spot market for balancing, which will be held with the CRE staff following our audition with the Commission.</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Enron will attend the second meeting of the RTE's (the grid operator) advisory working group on transmission access, which will be held on 12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24 July, Enron will meet with the new advisor to Energy Minister Christian Pierret -- Mr. Patrice Caine (replacing Mathias Hautefort).</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Italy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The creation of a traders' and wholesalers' association for gas and electricity is progressing.  13 July is the deadline for legal registration.  So far thirteen companies have been engaged as founding members.</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Poland</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The PSE Board agreed and circulated a revised version of the balancing and settlement rules on 26 June.  While we at least had several days to assemble contents on the earlier version, there was no consultation whatsoever on this significantly amended version.  However, the document remains subject to changes, notably to align it with the secondary legislation that is likely to be agreed by government in August.  We will submit detailed comments on the new documents within a couple of weeks.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FREE sent to Gielda Energii on 3 July a series of questions in relation to Gielda admission requirements and Gielda licensing counterparty issues.  The main purpose is to get the Gielda to set out to what extent they are imposing additional or unnecessary requirements on traders.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FREE sent a letter to the Ministry of Economy on 3 July recording our concerns about the Ministry's refusal to directly include FREE in consultations on the secondary legislation.</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r>
      <w:r>
        <w:br w:type="page"/>
      </w:r>
    </w:p>
    <w:p>
      <w:pPr>
        <w:pStyle w:val="Normal"/>
        <w:spacing w:lineRule="atLeast" w:line="240"/>
        <w:rPr/>
      </w:pPr>
      <w:r>
        <w:rPr/>
        <w:t>Distribution</w:t>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Stuart Ffoulkes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lang w:val="en-AU" w:eastAsia="en-US"/>
              </w:rPr>
            </w:pPr>
            <w:r>
              <w:rPr>
                <w:color w:val="000000"/>
                <w:sz w:val="18"/>
                <w:lang w:val="en-AU" w:eastAsia="en-US"/>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lang w:val="en-AU" w:eastAsia="en-US"/>
              </w:rPr>
            </w:pPr>
            <w:r>
              <w:rPr>
                <w:color w:val="000000"/>
                <w:sz w:val="18"/>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color w:val="000000"/>
                <w:sz w:val="18"/>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bl>
    <w:p>
      <w:pPr>
        <w:pStyle w:val="Normal"/>
        <w:jc w:val="both"/>
        <w:rPr>
          <w:sz w:val="22"/>
        </w:rPr>
      </w:pPr>
      <w:r>
        <w:rPr>
          <w:sz w:val="22"/>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2000-07-07T05:39:00Z</dcterms:created>
  <dc:creator>SEvans2</dc:creator>
  <dc:description/>
  <dc:language>en-CA</dc:language>
  <cp:lastModifiedBy>KBanks</cp:lastModifiedBy>
  <cp:lastPrinted>2000-07-06T10:08:00Z</cp:lastPrinted>
  <dcterms:modified xsi:type="dcterms:W3CDTF">2000-07-07T05:39:00Z</dcterms:modified>
  <cp:revision>2</cp:revision>
  <dc:subject/>
  <dc:title>Weekly Report </dc:title>
</cp:coreProperties>
</file>