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567" w:end="0"/>
        <w:jc w:val="center"/>
        <w:rPr>
          <w:rFonts w:ascii="Arial" w:hAnsi="Arial" w:cs="Arial"/>
          <w:b/>
          <w:sz w:val="20"/>
          <w:u w:val="single"/>
        </w:rPr>
      </w:pPr>
      <w:r>
        <w:rPr>
          <w:rFonts w:cs="Arial" w:ascii="Arial" w:hAnsi="Arial"/>
          <w:b/>
          <w:sz w:val="20"/>
          <w:u w:val="single"/>
        </w:rPr>
        <w:t>ENRON CAPITAL &amp; TRADE RESOURCES LIMITED (“ENRON”)</w:t>
      </w:r>
    </w:p>
    <w:p>
      <w:pPr>
        <w:pStyle w:val="Normal"/>
        <w:widowControl/>
        <w:jc w:val="center"/>
        <w:rPr>
          <w:rFonts w:ascii="Arial" w:hAnsi="Arial" w:cs="Arial"/>
          <w:b/>
          <w:sz w:val="20"/>
          <w:u w:val="single"/>
        </w:rPr>
      </w:pPr>
      <w:r>
        <w:rPr>
          <w:rFonts w:cs="Arial" w:ascii="Arial" w:hAnsi="Arial"/>
          <w:b/>
          <w:sz w:val="20"/>
          <w:u w:val="single"/>
        </w:rPr>
      </w:r>
    </w:p>
    <w:p>
      <w:pPr>
        <w:pStyle w:val="Normal"/>
        <w:widowControl/>
        <w:jc w:val="center"/>
        <w:rPr>
          <w:rFonts w:ascii="Arial" w:hAnsi="Arial" w:cs="Arial"/>
          <w:b/>
          <w:sz w:val="20"/>
        </w:rPr>
      </w:pPr>
      <w:r>
        <w:rPr>
          <w:rFonts w:cs="Arial" w:ascii="Arial" w:hAnsi="Arial"/>
          <w:b/>
          <w:sz w:val="20"/>
        </w:rPr>
        <w:t>GENERAL TERMS &amp; CONDITIONS ("GTC")</w:t>
      </w:r>
    </w:p>
    <w:p>
      <w:pPr>
        <w:pStyle w:val="Normal"/>
        <w:widowControl/>
        <w:jc w:val="center"/>
        <w:rPr>
          <w:rFonts w:ascii="Arial" w:hAnsi="Arial" w:cs="Arial"/>
          <w:b/>
          <w:sz w:val="20"/>
        </w:rPr>
      </w:pPr>
      <w:r>
        <w:rPr>
          <w:rFonts w:cs="Arial" w:ascii="Arial" w:hAnsi="Arial"/>
          <w:b/>
          <w:sz w:val="20"/>
        </w:rPr>
        <w:t>(ZEEBRUGGE GAS PHYSICAL)</w:t>
      </w:r>
    </w:p>
    <w:p>
      <w:pPr>
        <w:pStyle w:val="Normal"/>
        <w:widowControl/>
        <w:jc w:val="center"/>
        <w:rPr>
          <w:rFonts w:ascii="Arial" w:hAnsi="Arial" w:cs="Arial"/>
          <w:b/>
          <w:sz w:val="20"/>
        </w:rPr>
      </w:pPr>
      <w:r>
        <w:rPr>
          <w:rFonts w:cs="Arial" w:ascii="Arial" w:hAnsi="Arial"/>
          <w:b/>
          <w:sz w:val="20"/>
        </w:rPr>
      </w:r>
    </w:p>
    <w:p>
      <w:pPr>
        <w:pStyle w:val="Normal"/>
        <w:widowControl/>
        <w:jc w:val="both"/>
        <w:rPr/>
      </w:pPr>
      <w:r>
        <w:rPr>
          <w:rFonts w:cs="Arial" w:ascii="Arial" w:hAnsi="Arial"/>
          <w:b/>
          <w:sz w:val="20"/>
        </w:rPr>
        <w:t>1.</w:t>
        <w:tab/>
      </w:r>
      <w:r>
        <w:rPr>
          <w:rFonts w:cs="Arial" w:ascii="Arial" w:hAnsi="Arial"/>
          <w:b/>
          <w:sz w:val="20"/>
          <w:u w:val="single"/>
        </w:rPr>
        <w:t>Transactions</w:t>
      </w:r>
      <w:r>
        <w:rPr>
          <w:rFonts w:cs="Arial" w:ascii="Arial" w:hAnsi="Arial"/>
          <w:b/>
          <w:sz w:val="20"/>
        </w:rPr>
        <w:t xml:space="preserve"> </w:t>
      </w:r>
      <w:r>
        <w:rPr>
          <w:rFonts w:cs="Arial" w:ascii="Arial" w:hAnsi="Arial"/>
          <w:sz w:val="20"/>
        </w:rPr>
        <w:t xml:space="preserve">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records shall prevail.  All Transactions shall constitute a single integrated agreement between the parties, it being acknowledged that the parties are relying upon the fact that all such Transactions will form a single agreement and that the parties would not otherwise enter into any Transactions.  The </w:t>
      </w:r>
      <w:r>
        <w:rPr>
          <w:rFonts w:cs="Arial" w:ascii="Arial" w:hAnsi="Arial"/>
          <w:b/>
          <w:sz w:val="20"/>
        </w:rPr>
        <w:t>Designated Quantity</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Buyer</w:t>
      </w:r>
      <w:r>
        <w:rPr>
          <w:rFonts w:cs="Arial" w:ascii="Arial" w:hAnsi="Arial"/>
          <w:sz w:val="20"/>
        </w:rPr>
        <w:t xml:space="preserve"> at the</w:t>
      </w:r>
      <w:r>
        <w:rPr>
          <w:rFonts w:cs="Arial" w:ascii="Arial" w:hAnsi="Arial"/>
          <w:b/>
          <w:sz w:val="20"/>
        </w:rPr>
        <w:t xml:space="preserve"> Delivery Point(s)</w:t>
      </w:r>
      <w:r>
        <w:rPr>
          <w:rFonts w:cs="Arial" w:ascii="Arial" w:hAnsi="Arial"/>
          <w:sz w:val="20"/>
        </w:rPr>
        <w:t xml:space="preserve"> during the</w:t>
      </w:r>
      <w:r>
        <w:rPr>
          <w:rFonts w:cs="Arial" w:ascii="Arial" w:hAnsi="Arial"/>
          <w:b/>
          <w:sz w:val="20"/>
        </w:rPr>
        <w:t xml:space="preserve"> Period of Delivery</w:t>
      </w:r>
      <w:r>
        <w:rPr>
          <w:rFonts w:cs="Arial" w:ascii="Arial" w:hAnsi="Arial"/>
          <w:sz w:val="20"/>
        </w:rPr>
        <w:t xml:space="preserve"> and at the </w:t>
      </w:r>
      <w:r>
        <w:rPr>
          <w:rFonts w:cs="Arial" w:ascii="Arial" w:hAnsi="Arial"/>
          <w:b/>
          <w:sz w:val="20"/>
        </w:rPr>
        <w:t>Contract Price</w:t>
      </w:r>
      <w:r>
        <w:rPr>
          <w:rFonts w:cs="Arial" w:ascii="Arial" w:hAnsi="Arial"/>
          <w:sz w:val="20"/>
        </w:rPr>
        <w:t xml:space="preserve"> as provided in each Transaction.</w:t>
      </w:r>
      <w:r>
        <w:rPr>
          <w:rFonts w:cs="Arial" w:ascii="Arial" w:hAnsi="Arial"/>
          <w:sz w:val="20"/>
          <w:u w:val="double"/>
        </w:rPr>
        <w:t xml:space="preserve">  For the purposes of this GTC and each Transaction, one Therm equals 29.3071 kilowatt hours.</w:t>
      </w:r>
    </w:p>
    <w:p>
      <w:pPr>
        <w:pStyle w:val="Normal"/>
        <w:widowControl/>
        <w:tabs>
          <w:tab w:val="left" w:pos="567" w:leader="none"/>
        </w:tabs>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r>
    </w:p>
    <w:p>
      <w:pPr>
        <w:pStyle w:val="Normal"/>
        <w:widowControl/>
        <w:tabs>
          <w:tab w:val="left" w:pos="567" w:leader="none"/>
        </w:tabs>
        <w:jc w:val="both"/>
        <w:rPr/>
      </w:pPr>
      <w:r>
        <w:rPr>
          <w:rFonts w:cs="Arial" w:ascii="Arial" w:hAnsi="Arial"/>
          <w:sz w:val="20"/>
        </w:rPr>
        <w:t>2.</w:t>
        <w:tab/>
      </w:r>
      <w:r>
        <w:rPr>
          <w:rFonts w:cs="Arial" w:ascii="Arial" w:hAnsi="Arial"/>
          <w:b/>
          <w:sz w:val="20"/>
          <w:u w:val="single"/>
        </w:rPr>
        <w:t>Quantity Obligations</w:t>
      </w:r>
      <w:r>
        <w:rPr>
          <w:rFonts w:cs="Arial" w:ascii="Arial" w:hAnsi="Arial"/>
          <w:b/>
          <w:sz w:val="20"/>
        </w:rPr>
        <w:t xml:space="preserve"> </w:t>
      </w:r>
      <w:r>
        <w:rPr>
          <w:rFonts w:cs="Arial" w:ascii="Arial" w:hAnsi="Arial"/>
          <w:sz w:val="20"/>
        </w:rPr>
        <w:t>In respect of each Transaction, gas shall be “scheduled” (which term when used in relation to Seller, means tendered for delivery at the Delivery Point(s) and in relation to Buyer, means having made proper nominations and having made available at the Delivery Point(s) sufficient transportation capacity to permit Buyer to take delivery of quantities of gas scheduled by Seller) at the Delivery Point(s) and in the Designated Quantity on every Day of the Period of Delivery; “Day” means the period of 24 hours commencing at 0600 hours on one Day and ending at 0600 hours on the following Day. If on any Day a party fails (other than by reason of Force Majeure) to schedule the Designated Quantity, this constitutes a “Default” and the “Default Quantity” means the numerical difference between the Designated Quantity and the amount of gas scheduled. Upon Default, the defaulting party shall pay to the other party an amount equal to the Default Quantity multiplied by the Replacement Price Differential, as determined by the non-defaulting party in a commercially reasonable manner. “Replacement Price Differential” means (i) in the event of Seller’s Default, the  difference (if positive) obtained by subtracting the Contract Price from the cost to Buyer, plus incremental transportation charges incurred by Buyer, to replace the Default Quantity for such Day, and (ii) in the event of Buyer’s Default, the difference (if positive) obtained by subtracting the price obtained by Seller in an incremental, arms-length sale(s) to a third party of a quantity equal to the Default Quantity for such Day, less incremental transportation charges incurred by Seller, from the Contract Price.</w:t>
      </w:r>
    </w:p>
    <w:p>
      <w:pPr>
        <w:pStyle w:val="Normal"/>
        <w:widowControl/>
        <w:jc w:val="both"/>
        <w:rPr>
          <w:rFonts w:ascii="Arial" w:hAnsi="Arial" w:cs="Arial"/>
          <w:b/>
          <w:sz w:val="20"/>
        </w:rPr>
      </w:pPr>
      <w:r>
        <w:rPr>
          <w:rFonts w:cs="Arial" w:ascii="Arial" w:hAnsi="Arial"/>
          <w:b/>
          <w:sz w:val="20"/>
        </w:rPr>
      </w:r>
    </w:p>
    <w:p>
      <w:pPr>
        <w:pStyle w:val="Normal"/>
        <w:widowControl/>
        <w:jc w:val="both"/>
        <w:rPr/>
      </w:pPr>
      <w:r>
        <w:rPr>
          <w:rFonts w:cs="Arial" w:ascii="Arial" w:hAnsi="Arial"/>
          <w:sz w:val="20"/>
        </w:rPr>
        <w:br/>
        <w:t>3.</w:t>
      </w:r>
      <w:r>
        <w:rPr>
          <w:rFonts w:cs="Arial" w:ascii="Arial" w:hAnsi="Arial"/>
          <w:b/>
          <w:sz w:val="20"/>
        </w:rPr>
        <w:tab/>
      </w:r>
      <w:r>
        <w:rPr>
          <w:rFonts w:cs="Arial" w:ascii="Arial" w:hAnsi="Arial"/>
          <w:b/>
          <w:sz w:val="20"/>
          <w:u w:val="single"/>
        </w:rPr>
        <w:t>Operations and Delivery</w:t>
      </w:r>
      <w:r>
        <w:rPr>
          <w:rFonts w:cs="Arial" w:ascii="Arial" w:hAnsi="Arial"/>
          <w:b/>
          <w:sz w:val="20"/>
        </w:rPr>
        <w:t xml:space="preserve"> </w:t>
      </w:r>
      <w:r>
        <w:rPr>
          <w:rFonts w:cs="Arial" w:ascii="Arial" w:hAnsi="Arial"/>
          <w:sz w:val="20"/>
        </w:rPr>
        <w:t>The parties acknowledge that nomination provisions will need to be agreed (which may need to be co-ordinated with the nomination provisions required of applicable transportation system shippers), and agree to co-operate in good faith and exchange any information to enable them to perform their obligations under a Transaction. Seller shall cause transportation to the Delivery Point to be obtained and Buyer shall cause transportation from the Delivery Point(s) to be obtained. Gas delivered by Seller shall at the Delivery Point(s) conform to the quality and pressure required in respect of the applicable transportation system downstream of the Delivery Point(s), failing which Buyer may reject such non-conforming gas, provided that Seller’s liability therefor shall be limited to 10% of the Contract Price multiplied by the quantity of such non-conforming gas. All gas delivered under a Transaction shall be measured and tested in accordance with the standards, methods and practices employed at the Delivery Point(s).</w:t>
      </w:r>
    </w:p>
    <w:p>
      <w:pPr>
        <w:pStyle w:val="Normal"/>
        <w:widowControl/>
        <w:ind w:start="567" w:end="0"/>
        <w:jc w:val="both"/>
        <w:rPr>
          <w:rFonts w:ascii="Arial" w:hAnsi="Arial" w:cs="Arial"/>
          <w:sz w:val="20"/>
        </w:rPr>
      </w:pPr>
      <w:r>
        <w:rPr>
          <w:rFonts w:cs="Arial" w:ascii="Arial" w:hAnsi="Arial"/>
          <w:sz w:val="20"/>
        </w:rPr>
      </w:r>
    </w:p>
    <w:p>
      <w:pPr>
        <w:pStyle w:val="Normal"/>
        <w:widowControl/>
        <w:tabs>
          <w:tab w:val="left" w:pos="567" w:leader="none"/>
        </w:tabs>
        <w:jc w:val="both"/>
        <w:rPr/>
      </w:pPr>
      <w:r>
        <w:rPr>
          <w:rFonts w:cs="Arial" w:ascii="Arial" w:hAnsi="Arial"/>
          <w:sz w:val="20"/>
        </w:rPr>
        <w:t>4.</w:t>
      </w:r>
      <w:r>
        <w:rPr>
          <w:rFonts w:cs="Arial" w:ascii="Arial" w:hAnsi="Arial"/>
          <w:b/>
          <w:sz w:val="20"/>
        </w:rPr>
        <w:tab/>
      </w:r>
      <w:r>
        <w:rPr>
          <w:rFonts w:cs="Arial" w:ascii="Arial" w:hAnsi="Arial"/>
          <w:b/>
          <w:sz w:val="20"/>
          <w:u w:val="single"/>
        </w:rPr>
        <w:t>Payments</w:t>
      </w:r>
      <w:r>
        <w:rPr>
          <w:rFonts w:cs="Arial" w:ascii="Arial" w:hAnsi="Arial"/>
          <w:b/>
          <w:sz w:val="20"/>
        </w:rPr>
        <w:t xml:space="preserve"> </w:t>
      </w:r>
      <w:r>
        <w:rPr>
          <w:rFonts w:cs="Arial" w:ascii="Arial" w:hAnsi="Arial"/>
          <w:sz w:val="20"/>
        </w:rPr>
        <w:t>Seller shall provide Buyer with a written statement (including a valid VAT invoice) covering the preceding month. Billing and payment will be based on delivered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hereunder are due by the 20th day of the month in which the statement therefor was received or 10 days after the date of receipt of the statement, if later. If the due date for any payment to be made hereunder is not a Business Day, the due date of such payment shall be the following Business Day. Payments shall be made by bank transfer in immediately available funds to the payee on the due date. Interest on overdue amounts shall accrue at 3% over the base rate of Barclays Bank plc. Obligations to make payments due on the same day under two or more Transactions shall be netted for payment. All amounts payable hereunder shall be exclusive of VAT or analogous tax, where applicable, which the Buyer shall also pay at the rate applicable thereto from time to time .  Seller shall provide Buyer with a valid VAT invoice. “Business Day” means any day other than a Saturday, Sunday or UK public holiday.</w:t>
      </w:r>
    </w:p>
    <w:p>
      <w:pPr>
        <w:pStyle w:val="Normal"/>
        <w:widowControl/>
        <w:jc w:val="both"/>
        <w:rPr>
          <w:rFonts w:ascii="Arial" w:hAnsi="Arial" w:cs="Arial"/>
          <w:sz w:val="20"/>
        </w:rPr>
      </w:pPr>
      <w:r>
        <w:rPr>
          <w:rFonts w:cs="Arial" w:ascii="Arial" w:hAnsi="Arial"/>
          <w:sz w:val="20"/>
        </w:rPr>
      </w:r>
    </w:p>
    <w:p>
      <w:pPr>
        <w:pStyle w:val="Normal"/>
        <w:widowControl/>
        <w:numPr>
          <w:ilvl w:val="8"/>
          <w:numId w:val="1"/>
        </w:numPr>
        <w:tabs>
          <w:tab w:val="clear" w:pos="567"/>
          <w:tab w:val="left" w:pos="0" w:leader="none"/>
        </w:tabs>
        <w:ind w:hanging="570" w:start="570"/>
        <w:jc w:val="both"/>
        <w:rPr/>
      </w:pPr>
      <w:r>
        <w:rPr>
          <w:rFonts w:cs="Arial" w:ascii="Arial" w:hAnsi="Arial"/>
          <w:b/>
          <w:sz w:val="20"/>
          <w:u w:val="single"/>
        </w:rPr>
        <w:t>Force Majeure</w:t>
      </w:r>
      <w:r>
        <w:rPr>
          <w:rFonts w:cs="Arial" w:ascii="Arial" w:hAnsi="Arial"/>
          <w:b/>
          <w:sz w:val="20"/>
        </w:rPr>
        <w:t xml:space="preserve"> </w:t>
      </w:r>
      <w:r>
        <w:rPr>
          <w:rFonts w:cs="Arial" w:ascii="Arial" w:hAnsi="Arial"/>
          <w:sz w:val="20"/>
        </w:rPr>
        <w:t>To the extent that a party is unable by reason of Force Majeure to carry out all or part of its obligations, then upon such party notifying the other party thereof as soon as reasonably possible, such party shall be relieved from liability for failure to perform its obligations during the continuance of such Force Majeure for a period of up to 60 days. “Force Majeure” means an event not anticipated as of the transaction date (the “Transaction Date”), which is outside the reasonable control of the party (or in the case of third party obligations or facilities, the third party) claiming relief and which by the use of reasonable endeavours, such party (or third party) is unable to overcome, and includes Force Majeure occurring with respect to either party’s transporter, and also includes a change in the direction of the physical flow of gas (from reverse flow to forward flow or vice versa) in the Interconnector.</w:t>
      </w:r>
    </w:p>
    <w:p>
      <w:pPr>
        <w:pStyle w:val="Normal"/>
        <w:widowControl/>
        <w:jc w:val="both"/>
        <w:rPr>
          <w:rFonts w:ascii="Arial" w:hAnsi="Arial" w:cs="Arial"/>
          <w:sz w:val="20"/>
        </w:rPr>
      </w:pPr>
      <w:r>
        <w:rPr>
          <w:rFonts w:cs="Arial" w:ascii="Arial" w:hAnsi="Arial"/>
          <w:sz w:val="20"/>
        </w:rPr>
      </w:r>
    </w:p>
    <w:p>
      <w:pPr>
        <w:pStyle w:val="Normal"/>
        <w:widowControl/>
        <w:jc w:val="both"/>
        <w:rPr/>
      </w:pPr>
      <w:r>
        <w:rPr>
          <w:rFonts w:cs="Arial" w:ascii="Arial" w:hAnsi="Arial"/>
          <w:sz w:val="20"/>
        </w:rPr>
        <w:t>6.</w:t>
      </w:r>
      <w:r>
        <w:rPr>
          <w:rFonts w:cs="Arial" w:ascii="Arial" w:hAnsi="Arial"/>
          <w:b/>
          <w:sz w:val="20"/>
        </w:rPr>
        <w:tab/>
      </w:r>
      <w:r>
        <w:rPr>
          <w:rFonts w:cs="Arial" w:ascii="Arial" w:hAnsi="Arial"/>
          <w:b/>
          <w:sz w:val="20"/>
          <w:u w:val="single"/>
        </w:rPr>
        <w:t>Taxes.</w:t>
      </w:r>
      <w:r>
        <w:rPr>
          <w:rFonts w:cs="Arial" w:ascii="Arial" w:hAnsi="Arial"/>
          <w:b/>
          <w:sz w:val="20"/>
        </w:rPr>
        <w:t xml:space="preserve"> </w:t>
      </w:r>
      <w:r>
        <w:rPr>
          <w:rFonts w:cs="Arial" w:ascii="Arial" w:hAnsi="Arial"/>
          <w:sz w:val="20"/>
        </w:rPr>
        <w:t>Seller shall pay, or cause to be paid, all royalties, Taxes, tariffs and other sums or charges arising upstream of the Delivery Point(s) in respect of the gas made available to Buyer and shall indemnify, defend and hold harmless Buyer from any claims arising therefrom.  Buyer shall pay, or cause to be paid, all royalties, Taxes, tariffs and other sums or charges arising on or downstream from the Delivery Point(s) in respect of the gas of which it takes delivery under this Transaction and shall indemnify, defend and hold harmless Seller from any claims arising therefrom.  Notwithstanding the foregoing, if a tax payable by either party is enacted and effective after the Transaction Date, or if there is an increase in the rate of or the law, order, rule, regulation or interpretation of an existing tax, (a "New Tax"), the party affected by the New Tax shall firstly seek to pass on the cost of the New Tax to its customer.  If the party affected by the New Tax is unable to pass on the cost of the New Tax, such party shall be entitled to, but not obliged to, designate an Early Termination.  A New Tax shall not include VAT, the proposed Climate Change Levy or a Tax imposed generally on income or profits.</w:t>
      </w:r>
    </w:p>
    <w:p>
      <w:pPr>
        <w:pStyle w:val="Normal"/>
        <w:widowControl/>
        <w:jc w:val="both"/>
        <w:rPr/>
      </w:pPr>
      <w:r>
        <w:rPr>
          <w:rFonts w:cs="Arial" w:ascii="Arial" w:hAnsi="Arial"/>
          <w:sz w:val="20"/>
        </w:rPr>
        <w:br/>
        <w:t>7.</w:t>
        <w:tab/>
      </w:r>
      <w:r>
        <w:rPr>
          <w:rFonts w:cs="Arial" w:ascii="Arial" w:hAnsi="Arial"/>
          <w:b/>
          <w:sz w:val="20"/>
          <w:u w:val="single"/>
        </w:rPr>
        <w:t>Events of Default</w:t>
      </w:r>
      <w:r>
        <w:rPr>
          <w:rFonts w:cs="Arial" w:ascii="Arial" w:hAnsi="Arial"/>
          <w:b/>
          <w:sz w:val="20"/>
        </w:rPr>
        <w:t xml:space="preserve"> </w:t>
      </w:r>
      <w:r>
        <w:rPr>
          <w:rFonts w:cs="Arial" w:ascii="Arial" w:hAnsi="Arial"/>
          <w:sz w:val="20"/>
        </w:rPr>
        <w:t xml:space="preserve"> “Event of Default” means, with respect to a party (“Affected Party”): (A) the failure by the Affected Party to make due payment or to perform any other obligation hereunder within 3 Business Days of receipt of notice; or (B) the Affected Party (i) making an assignment or arrangement for the benefit of creditors, (ii) filing a petition or commencing a proceeding under any bankruptcy or similar law, or having such a petition filed against it which petition remains undismissed for 30 days, (iii) becoming insolvent or (iv) being unable to pay its debts as they fall due (v) the Affected Party is unable to pass on the cost of a New Tax to its customer; or (C) a default occurs under any other gas transaction between the parties. If an Event of Default occurs, the non-Affected Party may by written notice terminate any or all existing Transactions, and withhold any payments then due; provided that in respect of Event of Default (B) above, all Transactions shall automatically terminate. The non-Affected Party shall calculate in a commercially reasonable manner a Termination Amount, which will be an amount reflecting the value of all terminated  Transaction(s) to the non-Affected Party and will be determined by comparing the value of (i) the remaining term(s), quantities and prices under all terminated Transaction(s) (as if these had not been terminated) to (ii) the equivalent quantities and estimated market prices for the remaining term(s). All terminated Transactions shall be netted against each other and upon netting, if the calculation of the Termination Payment does not result in a payment due to the non-Affected Party, the Termination Payment shall be zero, except for those Transactions terminated pursuant to Event of Default (B) above, in which event, if the calculation of the Termination Payment results in a payment due to either party, the other party shall pay such Termination Payment. The Termination Amount shall be payable, together with any costs and expenses incurred by the non-Affected Party, within five Business Days of receipt of notice. </w:t>
      </w:r>
    </w:p>
    <w:p>
      <w:pPr>
        <w:pStyle w:val="BodyTextIndent"/>
        <w:widowControl/>
        <w:rPr>
          <w:rFonts w:ascii="Arial" w:hAnsi="Arial" w:cs="Arial"/>
          <w:sz w:val="20"/>
        </w:rPr>
      </w:pPr>
      <w:r>
        <w:rPr>
          <w:rFonts w:cs="Arial" w:ascii="Arial" w:hAnsi="Arial"/>
          <w:sz w:val="20"/>
        </w:rPr>
      </w:r>
    </w:p>
    <w:p>
      <w:pPr>
        <w:pStyle w:val="Normal"/>
        <w:widowControl/>
        <w:jc w:val="both"/>
        <w:rPr/>
      </w:pPr>
      <w:r>
        <w:rPr>
          <w:rFonts w:cs="Arial" w:ascii="Arial" w:hAnsi="Arial"/>
          <w:sz w:val="20"/>
        </w:rPr>
        <w:t>8.</w:t>
        <w:tab/>
      </w:r>
      <w:r>
        <w:rPr>
          <w:rFonts w:cs="Arial" w:ascii="Arial" w:hAnsi="Arial"/>
          <w:b/>
          <w:sz w:val="20"/>
          <w:u w:val="single"/>
        </w:rPr>
        <w:t>Illegality</w:t>
      </w:r>
      <w:r>
        <w:rPr>
          <w:rFonts w:cs="Arial" w:ascii="Arial" w:hAnsi="Arial"/>
          <w:b/>
          <w:sz w:val="20"/>
        </w:rPr>
        <w:t xml:space="preserve"> </w:t>
      </w:r>
      <w:r>
        <w:rPr>
          <w:rFonts w:cs="Arial" w:ascii="Arial" w:hAnsi="Arial"/>
          <w:sz w:val="20"/>
        </w:rPr>
        <w:t>If a party is unable to perform all of its obligations under a Transaction by reason of any law or regulation coming into force after the Transaction Date rendering such performance illegal (otherwise than as a result of such party’s own act or omission), such party shall be entitled to terminate the affected Transaction forthwith without penalty.</w:t>
      </w:r>
    </w:p>
    <w:p>
      <w:pPr>
        <w:pStyle w:val="Normal"/>
        <w:widowControl/>
        <w:jc w:val="both"/>
        <w:rPr>
          <w:rFonts w:ascii="Arial" w:hAnsi="Arial" w:cs="Arial"/>
          <w:sz w:val="20"/>
        </w:rPr>
      </w:pPr>
      <w:r>
        <w:rPr>
          <w:rFonts w:cs="Arial" w:ascii="Arial" w:hAnsi="Arial"/>
          <w:sz w:val="20"/>
        </w:rPr>
      </w:r>
    </w:p>
    <w:p>
      <w:pPr>
        <w:pStyle w:val="Normal"/>
        <w:widowControl/>
        <w:jc w:val="both"/>
        <w:rPr/>
      </w:pPr>
      <w:r>
        <w:rPr>
          <w:rFonts w:cs="Arial" w:ascii="Arial" w:hAnsi="Arial"/>
          <w:sz w:val="20"/>
        </w:rPr>
        <w:t>9.</w:t>
        <w:tab/>
      </w:r>
      <w:r>
        <w:rPr>
          <w:rFonts w:cs="Arial" w:ascii="Arial" w:hAnsi="Arial"/>
          <w:b/>
          <w:sz w:val="20"/>
          <w:u w:val="single"/>
        </w:rPr>
        <w:t>Confidentiality</w:t>
      </w:r>
      <w:r>
        <w:rPr>
          <w:rFonts w:cs="Arial" w:ascii="Arial" w:hAnsi="Arial"/>
          <w:sz w:val="20"/>
        </w:rPr>
        <w:t xml:space="preserve">  Each party undertakes not to disclose the terms of a Transaction to a third party (other than the party's affiliates' employees, lenders, professional advisers or any bona fide intended assignee of a party's rights and obligations under a Transaction, each having agreed to keep such terms confidential) except in order to comply with any applicable law, order or regulation; provided that each party shall notify the other party of any proceeding of which it is aware which may result in disclosure and use reasonable efforts to prevent or limit the disclosure.  The provisions of this GTC other than the terms of a Transaction are not subject to this confidential obligation.  The parties shall be entitled to all remedies available at law or in equity to enforce, or seek relief in connection with, this confidentiality obligation; provided that all monetary damages shall be limited to actual direct damages.</w:t>
      </w:r>
    </w:p>
    <w:p>
      <w:pPr>
        <w:pStyle w:val="Normal"/>
        <w:widowControl/>
        <w:rPr>
          <w:rFonts w:ascii="Arial" w:hAnsi="Arial" w:cs="Arial"/>
          <w:sz w:val="20"/>
        </w:rPr>
      </w:pPr>
      <w:r>
        <w:rPr>
          <w:rFonts w:cs="Arial" w:ascii="Arial" w:hAnsi="Arial"/>
          <w:sz w:val="20"/>
        </w:rPr>
      </w:r>
    </w:p>
    <w:p>
      <w:pPr>
        <w:pStyle w:val="Normal"/>
        <w:widowControl/>
        <w:jc w:val="both"/>
        <w:rPr/>
      </w:pPr>
      <w:r>
        <w:rPr>
          <w:rFonts w:cs="Arial" w:ascii="Arial" w:hAnsi="Arial"/>
          <w:sz w:val="20"/>
        </w:rPr>
        <w:t>10.</w:t>
      </w:r>
      <w:r>
        <w:rPr>
          <w:rFonts w:cs="Arial" w:ascii="Arial" w:hAnsi="Arial"/>
          <w:b/>
          <w:sz w:val="20"/>
        </w:rPr>
        <w:tab/>
      </w:r>
      <w:r>
        <w:rPr>
          <w:rFonts w:cs="Arial" w:ascii="Arial" w:hAnsi="Arial"/>
          <w:b/>
          <w:sz w:val="20"/>
          <w:u w:val="single"/>
        </w:rPr>
        <w:t>Assignment/Damages</w:t>
      </w:r>
      <w:r>
        <w:rPr>
          <w:rFonts w:cs="Arial" w:ascii="Arial" w:hAnsi="Arial"/>
          <w:b/>
          <w:sz w:val="20"/>
        </w:rPr>
        <w:t xml:space="preserve"> </w:t>
      </w:r>
      <w:r>
        <w:rPr>
          <w:rFonts w:cs="Arial" w:ascii="Arial" w:hAnsi="Arial"/>
          <w:sz w:val="20"/>
        </w:rPr>
        <w:t>Either party may assign or transfer its rights and obligations under a Transaction to an affiliate without consent, provided that the assigning party remains fully liable for all obligations arising thereunder. Unless expressly herein provided, neither party shall be liable for consequential or indirect damages, lost profits or other business interruption damages, in tort, contract or otherwise.  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widowControl/>
        <w:jc w:val="both"/>
        <w:rPr>
          <w:rFonts w:ascii="Arial" w:hAnsi="Arial" w:cs="Arial"/>
          <w:sz w:val="20"/>
        </w:rPr>
      </w:pPr>
      <w:r>
        <w:rPr>
          <w:rFonts w:cs="Arial" w:ascii="Arial" w:hAnsi="Arial"/>
          <w:sz w:val="20"/>
        </w:rPr>
      </w:r>
    </w:p>
    <w:p>
      <w:pPr>
        <w:pStyle w:val="Normal"/>
        <w:widowControl/>
        <w:jc w:val="both"/>
        <w:rPr/>
      </w:pPr>
      <w:r>
        <w:rPr>
          <w:rFonts w:cs="Arial" w:ascii="Arial" w:hAnsi="Arial"/>
          <w:sz w:val="20"/>
        </w:rPr>
        <w:t>11.</w:t>
        <w:tab/>
      </w:r>
      <w:r>
        <w:rPr>
          <w:rFonts w:cs="Arial" w:ascii="Arial" w:hAnsi="Arial"/>
          <w:b/>
          <w:sz w:val="20"/>
          <w:u w:val="single"/>
        </w:rPr>
        <w:t>Law</w:t>
      </w:r>
      <w:r>
        <w:rPr>
          <w:rFonts w:cs="Arial" w:ascii="Arial" w:hAnsi="Arial"/>
          <w:i/>
          <w:sz w:val="20"/>
          <w:u w:val="single"/>
        </w:rPr>
        <w:t xml:space="preserve"> </w:t>
      </w:r>
      <w:r>
        <w:rPr>
          <w:rFonts w:cs="Arial" w:ascii="Arial" w:hAnsi="Arial"/>
          <w:sz w:val="20"/>
        </w:rPr>
        <w:t xml:space="preserve">This GTC, each Transaction entered into hereunder and the rights and duties of the parties arising therefrom shall be governed by and construed in accordance with the laws of England, and the parties hereby submit to the exclusive jurisdiction of the English courts. </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 COMPARISON OF HEADERS ------------------</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-HEADER 1-</w:t>
      </w:r>
    </w:p>
    <w:p>
      <w:pPr>
        <w:pStyle w:val="Normal"/>
        <w:widowControl/>
        <w:jc w:val="both"/>
        <w:rPr/>
      </w:pPr>
      <w:r>
        <w:rPr>
          <w:rFonts w:cs="Arial" w:ascii="Arial" w:hAnsi="Arial"/>
          <w:strike/>
          <w:sz w:val="20"/>
        </w:rPr>
        <w:t>16</w:t>
      </w:r>
      <w:r>
        <w:rPr>
          <w:rFonts w:cs="Arial" w:ascii="Arial" w:hAnsi="Arial"/>
          <w:sz w:val="20"/>
        </w:rPr>
        <w:t xml:space="preserve"> </w:t>
      </w:r>
      <w:r>
        <w:rPr>
          <w:rFonts w:cs="Arial" w:ascii="Arial" w:hAnsi="Arial"/>
          <w:sz w:val="20"/>
          <w:u w:val="double"/>
        </w:rPr>
        <w:t>20</w:t>
      </w:r>
      <w:r>
        <w:rPr>
          <w:rFonts w:cs="Arial" w:ascii="Arial" w:hAnsi="Arial"/>
          <w:sz w:val="20"/>
        </w:rPr>
        <w:t xml:space="preserve"> JULY 1999</w:t>
      </w:r>
    </w:p>
    <w:p>
      <w:pPr>
        <w:pStyle w:val="Normal"/>
        <w:widowControl/>
        <w:jc w:val="both"/>
        <w:rPr>
          <w:rFonts w:ascii="Arial" w:hAnsi="Arial" w:cs="Arial"/>
          <w:sz w:val="20"/>
        </w:rPr>
      </w:pPr>
      <w:r>
        <w:rPr>
          <w:rFonts w:cs="Arial" w:ascii="Arial" w:hAnsi="Arial"/>
          <w:sz w:val="20"/>
        </w:rPr>
        <w:t xml:space="preserve">VERSION </w:t>
      </w:r>
      <w:r>
        <w:rPr>
          <w:rFonts w:cs="Arial" w:ascii="Arial" w:hAnsi="Arial"/>
          <w:strike/>
          <w:sz w:val="20"/>
        </w:rPr>
        <w:t>8</w:t>
      </w:r>
      <w:r>
        <w:rPr>
          <w:rFonts w:cs="Arial" w:ascii="Arial" w:hAnsi="Arial"/>
          <w:sz w:val="20"/>
        </w:rPr>
        <w:t xml:space="preserve"> </w:t>
      </w:r>
      <w:r>
        <w:rPr>
          <w:rFonts w:cs="Arial" w:ascii="Arial" w:hAnsi="Arial"/>
          <w:sz w:val="20"/>
          <w:u w:val="double"/>
        </w:rPr>
        <w:t>9</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 COMPARISON OF FOOTERS ------------------</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-FOOTER 1-</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-FOOTER 2-</w:t>
      </w:r>
    </w:p>
    <w:p>
      <w:pPr>
        <w:pStyle w:val="Normal"/>
        <w:widowControl/>
        <w:jc w:val="both"/>
        <w:rPr>
          <w:rFonts w:ascii="Arial" w:hAnsi="Arial" w:cs="Arial"/>
          <w:sz w:val="20"/>
        </w:rPr>
      </w:pPr>
      <w:r>
        <w:rPr>
          <w:rFonts w:cs="Arial" w:ascii="Arial" w:hAnsi="Arial"/>
          <w:sz w:val="20"/>
        </w:rPr>
        <w:t>boydj\continental gas trading/GTC I</w:t>
      </w:r>
    </w:p>
    <w:p>
      <w:pPr>
        <w:pStyle w:val="Normal"/>
        <w:widowControl/>
        <w:jc w:val="both"/>
        <w:rPr>
          <w:rFonts w:ascii="Arial" w:hAnsi="Arial" w:cs="Arial"/>
          <w:sz w:val="20"/>
        </w:rPr>
      </w:pPr>
      <w:r>
        <w:rPr>
          <w:rFonts w:cs="Arial" w:ascii="Arial" w:hAnsi="Arial"/>
          <w:sz w:val="20"/>
        </w:rPr>
        <w:t>London-</w:t>
      </w:r>
      <w:r>
        <w:rPr>
          <w:rFonts w:cs="Arial" w:ascii="Arial" w:hAnsi="Arial"/>
          <w:strike/>
          <w:sz w:val="20"/>
        </w:rPr>
        <w:t>1/364787/07</w:t>
      </w:r>
      <w:r>
        <w:rPr>
          <w:rFonts w:cs="Arial" w:ascii="Arial" w:hAnsi="Arial"/>
          <w:sz w:val="20"/>
        </w:rPr>
        <w:t xml:space="preserve"> </w:t>
      </w:r>
      <w:r>
        <w:rPr>
          <w:rFonts w:cs="Arial" w:ascii="Arial" w:hAnsi="Arial"/>
          <w:sz w:val="20"/>
          <w:u w:val="double"/>
        </w:rPr>
        <w:t>1/364787/09</w:t>
      </w:r>
    </w:p>
    <w:p>
      <w:pPr>
        <w:pStyle w:val="Normal"/>
        <w:widowControl/>
        <w:jc w:val="both"/>
        <w:rPr>
          <w:rFonts w:ascii="Arial" w:hAnsi="Arial" w:cs="Arial"/>
          <w:sz w:val="20"/>
        </w:rPr>
      </w:pPr>
      <w:r>
        <w:rPr>
          <w:rFonts w:cs="Arial" w:ascii="Arial" w:hAnsi="Arial"/>
          <w:sz w:val="20"/>
        </w:rPr>
        <w:t>E</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 xml:space="preserve">This redlined draft, generated by CompareRite (TM) - The Instant Redliner, shows the differences between - </w:t>
      </w:r>
    </w:p>
    <w:p>
      <w:pPr>
        <w:pStyle w:val="Normal"/>
        <w:widowControl/>
        <w:jc w:val="both"/>
        <w:rPr>
          <w:rFonts w:ascii="Arial" w:hAnsi="Arial" w:cs="Arial"/>
          <w:sz w:val="20"/>
        </w:rPr>
      </w:pPr>
      <w:r>
        <w:rPr>
          <w:rFonts w:cs="Arial" w:ascii="Arial" w:hAnsi="Arial"/>
          <w:sz w:val="20"/>
        </w:rPr>
        <w:t>original document   : F:\LONDON-1\001893\7TGZ08!.DOC</w:t>
      </w:r>
    </w:p>
    <w:p>
      <w:pPr>
        <w:pStyle w:val="Normal"/>
        <w:widowControl/>
        <w:jc w:val="both"/>
        <w:rPr>
          <w:rFonts w:ascii="Arial" w:hAnsi="Arial" w:cs="Arial"/>
          <w:sz w:val="20"/>
        </w:rPr>
      </w:pPr>
      <w:r>
        <w:rPr>
          <w:rFonts w:cs="Arial" w:ascii="Arial" w:hAnsi="Arial"/>
          <w:sz w:val="20"/>
        </w:rPr>
        <w:t>and revised document: F:\LONDON-1\001893\7TGZ09!.DOC</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CompareRite found    1 change(s) in the text</w:t>
      </w:r>
    </w:p>
    <w:p>
      <w:pPr>
        <w:pStyle w:val="Normal"/>
        <w:widowControl/>
        <w:jc w:val="both"/>
        <w:rPr>
          <w:rFonts w:ascii="Arial" w:hAnsi="Arial" w:cs="Arial"/>
          <w:sz w:val="20"/>
        </w:rPr>
      </w:pPr>
      <w:r>
        <w:rPr>
          <w:rFonts w:cs="Arial" w:ascii="Arial" w:hAnsi="Arial"/>
          <w:sz w:val="20"/>
        </w:rPr>
        <w:t>CompareRite found    3 change(s) in the notes</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 xml:space="preserve">Deletions appear as Overstrike text </w:t>
      </w:r>
    </w:p>
    <w:p>
      <w:pPr>
        <w:pStyle w:val="Normal"/>
        <w:widowControl/>
        <w:jc w:val="both"/>
        <w:rPr>
          <w:rFonts w:ascii="Arial" w:hAnsi="Arial" w:cs="Arial"/>
          <w:sz w:val="20"/>
        </w:rPr>
      </w:pPr>
      <w:r>
        <w:rPr>
          <w:rFonts w:cs="Arial" w:ascii="Arial" w:hAnsi="Arial"/>
          <w:sz w:val="20"/>
        </w:rPr>
        <w:t xml:space="preserve">Additions appear as Double Underline text </w:t>
      </w:r>
    </w:p>
    <w:sectPr>
      <w:headerReference w:type="default" r:id="rId2"/>
      <w:footerReference w:type="default" r:id="rId3"/>
      <w:type w:val="nextPage"/>
      <w:pgSz w:w="11906" w:h="16838"/>
      <w:pgMar w:left="144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boydj\continental gas trading/GTC I</w:t>
    </w:r>
  </w:p>
  <w:p>
    <w:pPr>
      <w:pStyle w:val="Footer"/>
      <w:widowControl/>
      <w:rPr>
        <w:sz w:val="16"/>
      </w:rPr>
    </w:pPr>
    <w:r>
      <w:rPr>
        <w:sz w:val="16"/>
      </w:rPr>
      <w:t>London-1/364787/09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Arial" w:hAnsi="Arial" w:cs="Arial"/>
        <w:b/>
        <w:sz w:val="20"/>
      </w:rPr>
    </w:pPr>
    <w:r>
      <w:rPr>
        <w:rFonts w:cs="Arial" w:ascii="Arial" w:hAnsi="Arial"/>
        <w:b/>
        <w:sz w:val="20"/>
      </w:rPr>
      <w:t>20 JULY 1999</w:t>
    </w:r>
  </w:p>
  <w:p>
    <w:pPr>
      <w:pStyle w:val="Header"/>
      <w:widowControl/>
      <w:jc w:val="end"/>
      <w:rPr>
        <w:rFonts w:ascii="Arial" w:hAnsi="Arial" w:cs="Arial"/>
        <w:b/>
        <w:sz w:val="20"/>
      </w:rPr>
    </w:pPr>
    <w:r>
      <w:rPr>
        <w:rFonts w:cs="Arial" w:ascii="Arial" w:hAnsi="Arial"/>
        <w:b/>
        <w:sz w:val="20"/>
      </w:rPr>
      <w:t>VERSION 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5"/>
      <w:numFmt w:val="decimal"/>
      <w:lvlText w:val="%9."/>
      <w:lvlJc w:val="start"/>
      <w:pPr>
        <w:tabs>
          <w:tab w:val="num" w:pos="570"/>
        </w:tabs>
        <w:ind w:start="570" w:hanging="57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567"/>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Header">
    <w:name w:val="header"/>
    <w:basedOn w:val="Normal"/>
    <w:pPr>
      <w:tabs>
        <w:tab w:val="clear" w:pos="567"/>
        <w:tab w:val="center" w:pos="4153" w:leader="none"/>
        <w:tab w:val="right" w:pos="8306" w:leader="none"/>
      </w:tabs>
    </w:pPr>
    <w:rPr/>
  </w:style>
  <w:style w:type="paragraph" w:styleId="Footer">
    <w:name w:val="footer"/>
    <w:basedOn w:val="Normal"/>
    <w:pPr>
      <w:tabs>
        <w:tab w:val="clear" w:pos="567"/>
        <w:tab w:val="center" w:pos="4153" w:leader="none"/>
        <w:tab w:val="right" w:pos="8306" w:leader="none"/>
      </w:tabs>
    </w:pPr>
    <w:rPr/>
  </w:style>
  <w:style w:type="paragraph" w:styleId="BodyTextIndent">
    <w:name w:val="Body Text Indent"/>
    <w:basedOn w:val="Normal"/>
    <w:pPr>
      <w:ind w:hanging="0" w:start="567" w:end="0"/>
      <w:jc w:val="both"/>
    </w:pPr>
    <w:rPr>
      <w:sz w:val="20"/>
    </w:rPr>
  </w:style>
  <w:style w:type="paragraph" w:styleId="BodyTextIndent2">
    <w:name w:val="Body Text Indent 2"/>
    <w:basedOn w:val="Normal"/>
    <w:qFormat/>
    <w:pPr>
      <w:ind w:hanging="540" w:start="540" w:end="0"/>
      <w:jc w:val="both"/>
    </w:pPr>
    <w:rPr>
      <w:sz w:val="20"/>
    </w:rPr>
  </w:style>
  <w:style w:type="paragraph" w:styleId="BodyTextIndent3">
    <w:name w:val="Body Text Indent 3"/>
    <w:basedOn w:val="Normal"/>
    <w:qFormat/>
    <w:pPr>
      <w:ind w:hanging="0" w:start="567" w:end="0"/>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1999-07-19T17:06:00Z</dcterms:created>
  <dc:creator>Unknown</dc:creator>
  <dc:description/>
  <dc:language>en-CA</dc:language>
  <cp:lastModifiedBy>003659</cp:lastModifiedBy>
  <cp:lastPrinted>1999-07-19T20:58:00Z</cp:lastPrinted>
  <dcterms:modified xsi:type="dcterms:W3CDTF">1999-07-20T13:36:00Z</dcterms:modified>
  <cp:revision>6</cp:revision>
  <dc:subject/>
  <dc:title>ENRON GAS TRADING LIMITED</dc:title>
</cp:coreProperties>
</file>